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2988" w:val="left" w:leader="none"/>
          <w:tab w:pos="4144" w:val="left" w:leader="none"/>
          <w:tab w:pos="4780" w:val="left" w:leader="none"/>
        </w:tabs>
        <w:spacing w:line="240" w:lineRule="auto"/>
        <w:ind w:left="1498" w:right="0" w:firstLine="0"/>
        <w:rPr>
          <w:rFonts w:ascii="Times New Roman"/>
          <w:sz w:val="20"/>
        </w:rPr>
      </w:pPr>
      <w:r>
        <w:rPr>
          <w:rFonts w:ascii="Times New Roman"/>
          <w:position w:val="81"/>
          <w:sz w:val="20"/>
        </w:rPr>
        <w:drawing>
          <wp:inline distT="0" distB="0" distL="0" distR="0">
            <wp:extent cx="341378" cy="60274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41378" cy="602742"/>
                    </a:xfrm>
                    <a:prstGeom prst="rect">
                      <a:avLst/>
                    </a:prstGeom>
                  </pic:spPr>
                </pic:pic>
              </a:graphicData>
            </a:graphic>
          </wp:inline>
        </w:drawing>
      </w:r>
      <w:r>
        <w:rPr>
          <w:rFonts w:ascii="Times New Roman"/>
          <w:position w:val="81"/>
          <w:sz w:val="20"/>
        </w:rPr>
      </w:r>
      <w:r>
        <w:rPr>
          <w:rFonts w:ascii="Times New Roman"/>
          <w:spacing w:val="98"/>
          <w:position w:val="81"/>
          <w:sz w:val="20"/>
        </w:rPr>
        <w:t> </w:t>
      </w:r>
      <w:r>
        <w:rPr>
          <w:rFonts w:ascii="Times New Roman"/>
          <w:spacing w:val="98"/>
          <w:position w:val="81"/>
          <w:sz w:val="20"/>
        </w:rPr>
        <w:drawing>
          <wp:inline distT="0" distB="0" distL="0" distR="0">
            <wp:extent cx="341378" cy="60274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41378" cy="602742"/>
                    </a:xfrm>
                    <a:prstGeom prst="rect">
                      <a:avLst/>
                    </a:prstGeom>
                  </pic:spPr>
                </pic:pic>
              </a:graphicData>
            </a:graphic>
          </wp:inline>
        </w:drawing>
      </w:r>
      <w:r>
        <w:rPr>
          <w:rFonts w:ascii="Times New Roman"/>
          <w:spacing w:val="98"/>
          <w:position w:val="81"/>
          <w:sz w:val="20"/>
        </w:rPr>
      </w:r>
      <w:r>
        <w:rPr>
          <w:rFonts w:ascii="Times New Roman"/>
          <w:spacing w:val="98"/>
          <w:position w:val="81"/>
          <w:sz w:val="20"/>
        </w:rPr>
        <w:tab/>
      </w:r>
      <w:r>
        <w:rPr>
          <w:rFonts w:ascii="Times New Roman"/>
          <w:spacing w:val="98"/>
          <w:position w:val="81"/>
          <w:sz w:val="20"/>
        </w:rPr>
        <w:drawing>
          <wp:inline distT="0" distB="0" distL="0" distR="0">
            <wp:extent cx="533403" cy="60274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33403" cy="602742"/>
                    </a:xfrm>
                    <a:prstGeom prst="rect">
                      <a:avLst/>
                    </a:prstGeom>
                  </pic:spPr>
                </pic:pic>
              </a:graphicData>
            </a:graphic>
          </wp:inline>
        </w:drawing>
      </w:r>
      <w:r>
        <w:rPr>
          <w:rFonts w:ascii="Times New Roman"/>
          <w:spacing w:val="98"/>
          <w:position w:val="81"/>
          <w:sz w:val="20"/>
        </w:rPr>
      </w:r>
      <w:r>
        <w:rPr>
          <w:rFonts w:ascii="Times New Roman"/>
          <w:spacing w:val="98"/>
          <w:position w:val="81"/>
          <w:sz w:val="20"/>
        </w:rPr>
        <w:tab/>
      </w:r>
      <w:r>
        <w:rPr>
          <w:rFonts w:ascii="Times New Roman"/>
          <w:spacing w:val="98"/>
          <w:sz w:val="20"/>
        </w:rPr>
        <w:drawing>
          <wp:inline distT="0" distB="0" distL="0" distR="0">
            <wp:extent cx="154687" cy="1114805"/>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54687" cy="1114805"/>
                    </a:xfrm>
                    <a:prstGeom prst="rect">
                      <a:avLst/>
                    </a:prstGeom>
                  </pic:spPr>
                </pic:pic>
              </a:graphicData>
            </a:graphic>
          </wp:inline>
        </w:drawing>
      </w:r>
      <w:r>
        <w:rPr>
          <w:rFonts w:ascii="Times New Roman"/>
          <w:spacing w:val="98"/>
          <w:sz w:val="20"/>
        </w:rPr>
      </w:r>
      <w:r>
        <w:rPr>
          <w:rFonts w:ascii="Times New Roman"/>
          <w:spacing w:val="98"/>
          <w:sz w:val="20"/>
        </w:rPr>
        <w:tab/>
      </w:r>
      <w:r>
        <w:rPr>
          <w:rFonts w:ascii="Times New Roman"/>
          <w:spacing w:val="98"/>
          <w:position w:val="81"/>
          <w:sz w:val="20"/>
        </w:rPr>
        <w:drawing>
          <wp:inline distT="0" distB="0" distL="0" distR="0">
            <wp:extent cx="261367" cy="602742"/>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261367" cy="602742"/>
                    </a:xfrm>
                    <a:prstGeom prst="rect">
                      <a:avLst/>
                    </a:prstGeom>
                  </pic:spPr>
                </pic:pic>
              </a:graphicData>
            </a:graphic>
          </wp:inline>
        </w:drawing>
      </w:r>
      <w:r>
        <w:rPr>
          <w:rFonts w:ascii="Times New Roman"/>
          <w:spacing w:val="98"/>
          <w:position w:val="81"/>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r>
        <w:rPr/>
        <w:drawing>
          <wp:anchor distT="0" distB="0" distL="0" distR="0" allowOverlap="1" layoutInCell="1" locked="0" behindDoc="0" simplePos="0" relativeHeight="0">
            <wp:simplePos x="0" y="0"/>
            <wp:positionH relativeFrom="page">
              <wp:posOffset>909042</wp:posOffset>
            </wp:positionH>
            <wp:positionV relativeFrom="paragraph">
              <wp:posOffset>184199</wp:posOffset>
            </wp:positionV>
            <wp:extent cx="2122946" cy="634746"/>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2122946" cy="634746"/>
                    </a:xfrm>
                    <a:prstGeom prst="rect">
                      <a:avLst/>
                    </a:prstGeom>
                  </pic:spPr>
                </pic:pic>
              </a:graphicData>
            </a:graphic>
          </wp:anchor>
        </w:drawing>
      </w:r>
    </w:p>
    <w:p>
      <w:pPr>
        <w:pStyle w:val="BodyText"/>
        <w:rPr>
          <w:rFonts w:ascii="Times New Roman"/>
          <w:sz w:val="20"/>
        </w:rPr>
      </w:pPr>
    </w:p>
    <w:p>
      <w:pPr>
        <w:pStyle w:val="BodyText"/>
        <w:spacing w:before="3"/>
        <w:rPr>
          <w:rFonts w:ascii="Times New Roman"/>
          <w:sz w:val="17"/>
        </w:rPr>
      </w:pPr>
    </w:p>
    <w:p>
      <w:pPr>
        <w:spacing w:before="88"/>
        <w:ind w:left="1420" w:right="0" w:firstLine="0"/>
        <w:jc w:val="left"/>
        <w:rPr>
          <w:sz w:val="49"/>
        </w:rPr>
      </w:pPr>
      <w:bookmarkStart w:name="Leeds LFRMS 2018 Update_Page_01" w:id="1"/>
      <w:bookmarkEnd w:id="1"/>
      <w:r>
        <w:rPr/>
      </w:r>
      <w:r>
        <w:rPr>
          <w:color w:val="F75649"/>
          <w:sz w:val="49"/>
        </w:rPr>
        <w:t>Leeds </w:t>
      </w:r>
      <w:r>
        <w:rPr>
          <w:color w:val="EF502D"/>
          <w:sz w:val="49"/>
        </w:rPr>
        <w:t>City </w:t>
      </w:r>
      <w:r>
        <w:rPr>
          <w:color w:val="F2493A"/>
          <w:sz w:val="49"/>
        </w:rPr>
        <w:t>Council</w:t>
      </w:r>
    </w:p>
    <w:p>
      <w:pPr>
        <w:pStyle w:val="BodyText"/>
        <w:spacing w:before="6"/>
      </w:pPr>
      <w:r>
        <w:rPr/>
        <w:pict>
          <v:line style="position:absolute;mso-position-horizontal-relative:page;mso-position-vertical-relative:paragraph;z-index:-1000;mso-wrap-distance-left:0;mso-wrap-distance-right:0" from="69.736366pt,15.991154pt" to="562.634821pt,15.991154pt" stroked="true" strokeweight=".948788pt" strokecolor="#eb442f">
            <v:stroke dashstyle="solid"/>
            <w10:wrap type="topAndBottom"/>
          </v:line>
        </w:pict>
      </w:r>
    </w:p>
    <w:p>
      <w:pPr>
        <w:spacing w:before="77"/>
        <w:ind w:left="1414" w:right="0" w:firstLine="0"/>
        <w:jc w:val="left"/>
        <w:rPr>
          <w:sz w:val="58"/>
        </w:rPr>
      </w:pPr>
      <w:r>
        <w:rPr>
          <w:sz w:val="58"/>
        </w:rPr>
        <w:t>LOCAL FLOOD RISK</w:t>
      </w:r>
      <w:r>
        <w:rPr>
          <w:spacing w:val="-51"/>
          <w:sz w:val="58"/>
        </w:rPr>
        <w:t> </w:t>
      </w:r>
      <w:r>
        <w:rPr>
          <w:sz w:val="58"/>
        </w:rPr>
        <w:t>MANAGEMENT</w:t>
      </w:r>
    </w:p>
    <w:p>
      <w:pPr>
        <w:spacing w:before="56"/>
        <w:ind w:left="1403" w:right="0" w:firstLine="0"/>
        <w:jc w:val="left"/>
        <w:rPr>
          <w:sz w:val="60"/>
        </w:rPr>
      </w:pPr>
      <w:r>
        <w:rPr>
          <w:sz w:val="60"/>
        </w:rPr>
        <w:t>STRATEGY</w:t>
      </w:r>
    </w:p>
    <w:p>
      <w:pPr>
        <w:spacing w:before="205"/>
        <w:ind w:left="1418" w:right="0" w:firstLine="0"/>
        <w:jc w:val="left"/>
        <w:rPr>
          <w:sz w:val="44"/>
        </w:rPr>
      </w:pPr>
      <w:r>
        <w:rPr/>
        <w:drawing>
          <wp:anchor distT="0" distB="0" distL="0" distR="0" allowOverlap="1" layoutInCell="1" locked="0" behindDoc="0" simplePos="0" relativeHeight="1072">
            <wp:simplePos x="0" y="0"/>
            <wp:positionH relativeFrom="page">
              <wp:posOffset>0</wp:posOffset>
            </wp:positionH>
            <wp:positionV relativeFrom="paragraph">
              <wp:posOffset>666022</wp:posOffset>
            </wp:positionV>
            <wp:extent cx="7559405" cy="3987002"/>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7559405" cy="3987002"/>
                    </a:xfrm>
                    <a:prstGeom prst="rect">
                      <a:avLst/>
                    </a:prstGeom>
                  </pic:spPr>
                </pic:pic>
              </a:graphicData>
            </a:graphic>
          </wp:anchor>
        </w:drawing>
      </w:r>
      <w:r>
        <w:rPr>
          <w:sz w:val="44"/>
        </w:rPr>
        <w:t>2018 Update</w:t>
      </w: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spacing w:before="3"/>
        <w:rPr>
          <w:sz w:val="39"/>
        </w:rPr>
      </w:pPr>
    </w:p>
    <w:p>
      <w:pPr>
        <w:pStyle w:val="BodyText"/>
        <w:spacing w:line="258" w:lineRule="exact"/>
        <w:ind w:left="1413"/>
      </w:pPr>
      <w:r>
        <w:rPr/>
        <w:t>003</w:t>
      </w:r>
    </w:p>
    <w:p>
      <w:pPr>
        <w:pStyle w:val="BodyText"/>
        <w:tabs>
          <w:tab w:pos="10389" w:val="left" w:leader="none"/>
        </w:tabs>
        <w:spacing w:line="258" w:lineRule="exact"/>
        <w:ind w:left="1413"/>
      </w:pPr>
      <w:r>
        <w:rPr>
          <w:w w:val="90"/>
        </w:rPr>
        <w:t>DECEMBER,</w:t>
      </w:r>
      <w:r>
        <w:rPr>
          <w:spacing w:val="31"/>
          <w:w w:val="90"/>
        </w:rPr>
        <w:t> </w:t>
      </w:r>
      <w:r>
        <w:rPr>
          <w:color w:val="050505"/>
          <w:w w:val="90"/>
        </w:rPr>
        <w:t>2018</w:t>
        <w:tab/>
      </w:r>
      <w:r>
        <w:rPr>
          <w:color w:val="050505"/>
          <w:position w:val="-2"/>
        </w:rPr>
        <w:drawing>
          <wp:inline distT="0" distB="0" distL="0" distR="0">
            <wp:extent cx="536919" cy="127584"/>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536919" cy="127584"/>
                    </a:xfrm>
                    <a:prstGeom prst="rect">
                      <a:avLst/>
                    </a:prstGeom>
                  </pic:spPr>
                </pic:pic>
              </a:graphicData>
            </a:graphic>
          </wp:inline>
        </w:drawing>
      </w:r>
      <w:r>
        <w:rPr>
          <w:color w:val="050505"/>
          <w:position w:val="-2"/>
        </w:rPr>
      </w:r>
    </w:p>
    <w:p>
      <w:pPr>
        <w:spacing w:after="0" w:line="258" w:lineRule="exact"/>
        <w:sectPr>
          <w:type w:val="continuous"/>
          <w:pgSz w:w="11910" w:h="16850"/>
          <w:pgMar w:top="1220" w:bottom="0" w:left="0" w:right="0"/>
        </w:sectPr>
      </w:pPr>
    </w:p>
    <w:p>
      <w:pPr>
        <w:pStyle w:val="BodyText"/>
        <w:ind w:right="-42"/>
        <w:rPr>
          <w:sz w:val="20"/>
        </w:rPr>
      </w:pPr>
      <w:bookmarkStart w:name="Leeds LFRMS 2018 Update_Page_02" w:id="2"/>
      <w:bookmarkEnd w:id="2"/>
      <w:r>
        <w:rPr/>
      </w:r>
      <w:r>
        <w:rPr>
          <w:sz w:val="20"/>
        </w:rPr>
        <w:drawing>
          <wp:inline distT="0" distB="0" distL="0" distR="0">
            <wp:extent cx="7562190" cy="10693908"/>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7562190" cy="10693908"/>
                    </a:xfrm>
                    <a:prstGeom prst="rect">
                      <a:avLst/>
                    </a:prstGeom>
                  </pic:spPr>
                </pic:pic>
              </a:graphicData>
            </a:graphic>
          </wp:inline>
        </w:drawing>
      </w:r>
      <w:r>
        <w:rPr>
          <w:sz w:val="20"/>
        </w:rPr>
      </w:r>
    </w:p>
    <w:p>
      <w:pPr>
        <w:spacing w:after="0"/>
        <w:rPr>
          <w:sz w:val="20"/>
        </w:rPr>
        <w:sectPr>
          <w:pgSz w:w="11910" w:h="16840"/>
          <w:pgMar w:top="0" w:bottom="0" w:left="0" w:right="0"/>
        </w:sectPr>
      </w:pPr>
    </w:p>
    <w:p>
      <w:pPr>
        <w:pStyle w:val="BodyText"/>
        <w:rPr>
          <w:sz w:val="20"/>
        </w:rPr>
      </w:pPr>
      <w:r>
        <w:rPr/>
        <w:pict>
          <v:line style="position:absolute;mso-position-horizontal-relative:page;mso-position-vertical-relative:page;z-index:1096" from="69.114151pt,766.736267pt" to="562.032251pt,766.736267pt" stroked="true" strokeweight="1.43988pt" strokecolor="#ff3b42">
            <v:stroke dashstyle="solid"/>
            <w10:wrap type="none"/>
          </v:line>
        </w:pict>
      </w:r>
      <w:r>
        <w:rPr/>
        <w:pict>
          <v:line style="position:absolute;mso-position-horizontal-relative:page;mso-position-vertical-relative:page;z-index:1120" from="70.074074pt,238.419861pt" to="562.752194pt,238.419861pt" stroked="true" strokeweight="1.1999pt" strokecolor="#f43f2f">
            <v:stroke dashstyle="solid"/>
            <w10:wrap type="none"/>
          </v:line>
        </w:pict>
      </w:r>
      <w:r>
        <w:rPr/>
        <w:pict>
          <v:group style="position:absolute;margin-left:123.349602pt;margin-top:29.757116pt;width:5.3pt;height:35.050pt;mso-position-horizontal-relative:page;mso-position-vertical-relative:page;z-index:1144" coordorigin="2467,595" coordsize="106,701">
            <v:shape style="position:absolute;left:2467;top:595;width:106;height:48" type="#_x0000_t75" stroked="false">
              <v:imagedata r:id="rId14" o:title=""/>
            </v:shape>
            <v:shape style="position:absolute;left:2486;top:1257;width:87;height:39" type="#_x0000_t75" stroked="false">
              <v:imagedata r:id="rId15" o:title=""/>
            </v:shape>
            <v:line style="position:absolute" from="2515,595" to="2515,1286" stroked="true" strokeweight="4.799592pt" strokecolor="#ff6477">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87"/>
        <w:ind w:left="140" w:right="0" w:firstLine="0"/>
        <w:jc w:val="left"/>
        <w:rPr>
          <w:sz w:val="40"/>
        </w:rPr>
      </w:pPr>
      <w:bookmarkStart w:name="Leeds LFRMS 2018 Update_Page_03" w:id="3"/>
      <w:bookmarkEnd w:id="3"/>
      <w:r>
        <w:rPr/>
      </w:r>
      <w:r>
        <w:rPr>
          <w:color w:val="E8463B"/>
          <w:sz w:val="40"/>
        </w:rPr>
        <w:t>Leeds </w:t>
      </w:r>
      <w:r>
        <w:rPr>
          <w:color w:val="FF4946"/>
          <w:sz w:val="40"/>
        </w:rPr>
        <w:t>City </w:t>
      </w:r>
      <w:r>
        <w:rPr>
          <w:color w:val="FF3F49"/>
          <w:sz w:val="40"/>
        </w:rPr>
        <w:t>Council</w:t>
      </w:r>
    </w:p>
    <w:p>
      <w:pPr>
        <w:pStyle w:val="BodyText"/>
        <w:spacing w:before="11"/>
        <w:rPr>
          <w:sz w:val="38"/>
        </w:rPr>
      </w:pPr>
    </w:p>
    <w:p>
      <w:pPr>
        <w:spacing w:line="276" w:lineRule="auto" w:before="0"/>
        <w:ind w:left="139" w:right="0" w:hanging="3"/>
        <w:jc w:val="left"/>
        <w:rPr>
          <w:sz w:val="44"/>
        </w:rPr>
      </w:pPr>
      <w:r>
        <w:rPr>
          <w:color w:val="151515"/>
          <w:sz w:val="44"/>
        </w:rPr>
        <w:t>LOCAL </w:t>
      </w:r>
      <w:r>
        <w:rPr>
          <w:color w:val="131313"/>
          <w:sz w:val="44"/>
        </w:rPr>
        <w:t>FLOOD </w:t>
      </w:r>
      <w:r>
        <w:rPr>
          <w:color w:val="0F0F0F"/>
          <w:sz w:val="44"/>
        </w:rPr>
        <w:t>RISK </w:t>
      </w:r>
      <w:r>
        <w:rPr>
          <w:color w:val="0A0A0A"/>
          <w:sz w:val="44"/>
        </w:rPr>
        <w:t>MANAGEMENT </w:t>
      </w:r>
      <w:r>
        <w:rPr>
          <w:color w:val="111111"/>
          <w:sz w:val="44"/>
        </w:rPr>
        <w:t>STRATEGY</w:t>
      </w:r>
    </w:p>
    <w:p>
      <w:pPr>
        <w:spacing w:before="164"/>
        <w:ind w:left="140" w:right="0" w:firstLine="0"/>
        <w:jc w:val="left"/>
        <w:rPr>
          <w:sz w:val="35"/>
        </w:rPr>
      </w:pPr>
      <w:r>
        <w:rPr>
          <w:sz w:val="35"/>
        </w:rPr>
        <w:t>2018 Update</w:t>
      </w:r>
    </w:p>
    <w:p>
      <w:pPr>
        <w:pStyle w:val="BodyText"/>
        <w:rPr>
          <w:sz w:val="38"/>
        </w:rPr>
      </w:pPr>
    </w:p>
    <w:p>
      <w:pPr>
        <w:pStyle w:val="BodyText"/>
        <w:spacing w:before="11"/>
        <w:rPr>
          <w:sz w:val="36"/>
        </w:rPr>
      </w:pPr>
    </w:p>
    <w:p>
      <w:pPr>
        <w:pStyle w:val="Heading3"/>
        <w:ind w:left="144"/>
      </w:pPr>
      <w:r>
        <w:rPr/>
        <w:t>TYPE OF DOCUMENT (VERSION) PUBLIC</w:t>
      </w:r>
    </w:p>
    <w:p>
      <w:pPr>
        <w:pStyle w:val="BodyText"/>
        <w:rPr>
          <w:sz w:val="26"/>
        </w:rPr>
      </w:pPr>
    </w:p>
    <w:p>
      <w:pPr>
        <w:pStyle w:val="BodyText"/>
        <w:spacing w:before="11"/>
        <w:rPr>
          <w:sz w:val="25"/>
        </w:rPr>
      </w:pPr>
    </w:p>
    <w:p>
      <w:pPr>
        <w:pStyle w:val="Heading3"/>
        <w:spacing w:line="384" w:lineRule="auto"/>
        <w:ind w:left="138" w:right="6052" w:firstLine="2"/>
      </w:pPr>
      <w:r>
        <w:rPr/>
        <w:t>PROJECT NO. 70046860 OUR REF. NO. 003</w:t>
      </w:r>
    </w:p>
    <w:p>
      <w:pPr>
        <w:pStyle w:val="BodyText"/>
        <w:spacing w:before="4"/>
        <w:rPr>
          <w:sz w:val="38"/>
        </w:rPr>
      </w:pPr>
    </w:p>
    <w:p>
      <w:pPr>
        <w:pStyle w:val="BodyText"/>
        <w:ind w:left="142"/>
      </w:pPr>
      <w:r>
        <w:rPr>
          <w:w w:val="105"/>
        </w:rPr>
        <w:t>DATE: DECEMBER 2018</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3"/>
        <w:spacing w:before="160"/>
        <w:ind w:left="137"/>
      </w:pPr>
      <w:r>
        <w:rPr>
          <w:color w:val="C35772"/>
        </w:rPr>
        <w:t>WSP</w:t>
      </w:r>
    </w:p>
    <w:p>
      <w:pPr>
        <w:pStyle w:val="Heading3"/>
        <w:spacing w:before="165"/>
        <w:ind w:left="133"/>
      </w:pPr>
      <w:r>
        <w:rPr>
          <w:color w:val="C15954"/>
        </w:rPr>
        <w:t>1st </w:t>
      </w:r>
      <w:r>
        <w:rPr>
          <w:color w:val="E6493B"/>
        </w:rPr>
        <w:t>Floor</w:t>
      </w:r>
    </w:p>
    <w:p>
      <w:pPr>
        <w:pStyle w:val="Heading3"/>
        <w:spacing w:before="41"/>
        <w:ind w:left="142"/>
      </w:pPr>
      <w:r>
        <w:rPr>
          <w:color w:val="A06272"/>
        </w:rPr>
        <w:t>LS1 </w:t>
      </w:r>
      <w:r>
        <w:rPr>
          <w:color w:val="D4596E"/>
        </w:rPr>
        <w:t>Fleadrow</w:t>
      </w:r>
    </w:p>
    <w:p>
      <w:pPr>
        <w:pStyle w:val="Heading3"/>
        <w:spacing w:line="276" w:lineRule="auto" w:before="41"/>
        <w:ind w:left="142" w:right="5611" w:hanging="2"/>
      </w:pPr>
      <w:r>
        <w:rPr>
          <w:color w:val="D44449"/>
        </w:rPr>
        <w:t>Unit </w:t>
      </w:r>
      <w:r>
        <w:rPr>
          <w:color w:val="AF6772"/>
        </w:rPr>
        <w:t>113 </w:t>
      </w:r>
      <w:r>
        <w:rPr>
          <w:color w:val="A35B66"/>
        </w:rPr>
        <w:t>The </w:t>
      </w:r>
      <w:r>
        <w:rPr>
          <w:color w:val="896970"/>
        </w:rPr>
        <w:t>Headrow, </w:t>
      </w:r>
      <w:r>
        <w:rPr>
          <w:color w:val="B85260"/>
        </w:rPr>
        <w:t>Leeds </w:t>
      </w:r>
      <w:r>
        <w:rPr>
          <w:color w:val="C1645E"/>
        </w:rPr>
        <w:t>LS1 </w:t>
      </w:r>
      <w:r>
        <w:rPr>
          <w:color w:val="CD5B5D"/>
        </w:rPr>
        <w:t>SJW</w:t>
      </w:r>
    </w:p>
    <w:p>
      <w:pPr>
        <w:pStyle w:val="BodyText"/>
        <w:rPr>
          <w:sz w:val="26"/>
        </w:rPr>
      </w:pPr>
    </w:p>
    <w:p>
      <w:pPr>
        <w:pStyle w:val="BodyText"/>
        <w:rPr>
          <w:sz w:val="26"/>
        </w:rPr>
      </w:pPr>
    </w:p>
    <w:p>
      <w:pPr>
        <w:pStyle w:val="BodyText"/>
        <w:spacing w:before="6"/>
        <w:rPr>
          <w:sz w:val="35"/>
        </w:rPr>
      </w:pPr>
    </w:p>
    <w:p>
      <w:pPr>
        <w:pStyle w:val="BodyText"/>
        <w:ind w:left="137"/>
      </w:pPr>
      <w:r>
        <w:rPr>
          <w:color w:val="F65967"/>
          <w:w w:val="105"/>
        </w:rPr>
        <w:t>WSP.com</w:t>
      </w:r>
    </w:p>
    <w:p>
      <w:pPr>
        <w:spacing w:after="0"/>
        <w:sectPr>
          <w:pgSz w:w="11920" w:h="16850"/>
          <w:pgMar w:top="580" w:bottom="280" w:left="1280" w:right="1680"/>
        </w:sectPr>
      </w:pPr>
    </w:p>
    <w:p>
      <w:pPr>
        <w:pStyle w:val="BodyText"/>
        <w:ind w:right="-42"/>
        <w:rPr>
          <w:sz w:val="20"/>
        </w:rPr>
      </w:pPr>
      <w:bookmarkStart w:name="Leeds LFRMS 2018 Update_Page_04" w:id="4"/>
      <w:bookmarkEnd w:id="4"/>
      <w:r>
        <w:rPr/>
      </w:r>
      <w:r>
        <w:rPr>
          <w:sz w:val="20"/>
        </w:rPr>
        <w:drawing>
          <wp:inline distT="0" distB="0" distL="0" distR="0">
            <wp:extent cx="7562190" cy="10693908"/>
            <wp:effectExtent l="0" t="0" r="0" b="0"/>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3" cstate="print"/>
                    <a:stretch>
                      <a:fillRect/>
                    </a:stretch>
                  </pic:blipFill>
                  <pic:spPr>
                    <a:xfrm>
                      <a:off x="0" y="0"/>
                      <a:ext cx="7562190" cy="10693908"/>
                    </a:xfrm>
                    <a:prstGeom prst="rect">
                      <a:avLst/>
                    </a:prstGeom>
                  </pic:spPr>
                </pic:pic>
              </a:graphicData>
            </a:graphic>
          </wp:inline>
        </w:drawing>
      </w:r>
      <w:r>
        <w:rPr>
          <w:sz w:val="20"/>
        </w:rPr>
      </w:r>
    </w:p>
    <w:p>
      <w:pPr>
        <w:spacing w:after="0"/>
        <w:rPr>
          <w:sz w:val="20"/>
        </w:rPr>
        <w:sectPr>
          <w:pgSz w:w="11910" w:h="16840"/>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87"/>
        <w:ind w:left="118" w:right="0" w:firstLine="0"/>
        <w:jc w:val="left"/>
        <w:rPr>
          <w:sz w:val="48"/>
        </w:rPr>
      </w:pPr>
      <w:r>
        <w:rPr/>
        <w:pict>
          <v:line style="position:absolute;mso-position-horizontal-relative:page;mso-position-vertical-relative:paragraph;z-index:-880;mso-wrap-distance-left:0;mso-wrap-distance-right:0" from="70.074074pt,35.742374pt" to="562.752194pt,35.742374pt" stroked="true" strokeweight="1.184069pt" strokecolor="#b35b57">
            <v:stroke dashstyle="solid"/>
            <w10:wrap type="topAndBottom"/>
          </v:line>
        </w:pict>
      </w:r>
      <w:r>
        <w:rPr/>
        <w:pict>
          <v:group style="position:absolute;margin-left:123.349602pt;margin-top:-63.12746pt;width:5.3pt;height:34.6pt;mso-position-horizontal-relative:page;mso-position-vertical-relative:paragraph;z-index:1312" coordorigin="2467,-1263" coordsize="106,692">
            <v:shape style="position:absolute;left:2467;top:-1263;width:106;height:692" type="#_x0000_t75" stroked="false">
              <v:imagedata r:id="rId17" o:title=""/>
            </v:shape>
            <v:line style="position:absolute" from="2515,-1263" to="2515,-581" stroked="true" strokeweight="4.799592pt" strokecolor="#da626e">
              <v:stroke dashstyle="solid"/>
            </v:line>
            <w10:wrap type="none"/>
          </v:group>
        </w:pict>
      </w:r>
      <w:bookmarkStart w:name="Leeds LFRMS 2018 Update_Page_05" w:id="5"/>
      <w:bookmarkEnd w:id="5"/>
      <w:r>
        <w:rPr/>
      </w:r>
      <w:r>
        <w:rPr>
          <w:sz w:val="48"/>
        </w:rPr>
        <w:t>QUALITY CONTROL</w:t>
      </w:r>
    </w:p>
    <w:p>
      <w:pPr>
        <w:pStyle w:val="BodyText"/>
        <w:rPr>
          <w:sz w:val="20"/>
        </w:rPr>
      </w:pPr>
    </w:p>
    <w:p>
      <w:pPr>
        <w:pStyle w:val="BodyText"/>
        <w:rPr>
          <w:sz w:val="20"/>
        </w:rPr>
      </w:pPr>
    </w:p>
    <w:p>
      <w:pPr>
        <w:pStyle w:val="BodyText"/>
        <w:rPr>
          <w:sz w:val="20"/>
        </w:rPr>
      </w:pPr>
    </w:p>
    <w:p>
      <w:pPr>
        <w:spacing w:after="0"/>
        <w:rPr>
          <w:sz w:val="20"/>
        </w:rPr>
        <w:sectPr>
          <w:footerReference w:type="default" r:id="rId16"/>
          <w:pgSz w:w="11920" w:h="16850"/>
          <w:pgMar w:footer="1240" w:header="0" w:top="600" w:bottom="1440" w:left="1300" w:right="540"/>
        </w:sectPr>
      </w:pPr>
    </w:p>
    <w:p>
      <w:pPr>
        <w:pStyle w:val="BodyText"/>
        <w:spacing w:before="8"/>
        <w:rPr>
          <w:sz w:val="18"/>
        </w:rPr>
      </w:pPr>
    </w:p>
    <w:p>
      <w:pPr>
        <w:spacing w:before="0"/>
        <w:ind w:left="226" w:right="0" w:firstLine="0"/>
        <w:jc w:val="left"/>
        <w:rPr>
          <w:sz w:val="19"/>
        </w:rPr>
      </w:pPr>
      <w:r>
        <w:rPr>
          <w:color w:val="FF2F60"/>
          <w:w w:val="115"/>
          <w:sz w:val="19"/>
        </w:rPr>
        <w:t>Issue/revision</w:t>
      </w:r>
    </w:p>
    <w:p>
      <w:pPr>
        <w:pStyle w:val="BodyText"/>
        <w:spacing w:before="8"/>
        <w:rPr>
          <w:sz w:val="18"/>
        </w:rPr>
      </w:pPr>
      <w:r>
        <w:rPr/>
        <w:br w:type="column"/>
      </w:r>
      <w:r>
        <w:rPr>
          <w:sz w:val="18"/>
        </w:rPr>
      </w:r>
    </w:p>
    <w:p>
      <w:pPr>
        <w:spacing w:before="0"/>
        <w:ind w:left="226" w:right="0" w:firstLine="0"/>
        <w:jc w:val="left"/>
        <w:rPr>
          <w:sz w:val="19"/>
        </w:rPr>
      </w:pPr>
      <w:r>
        <w:rPr>
          <w:color w:val="E44654"/>
          <w:w w:val="115"/>
          <w:sz w:val="19"/>
        </w:rPr>
        <w:t>First </w:t>
      </w:r>
      <w:r>
        <w:rPr>
          <w:color w:val="E1464D"/>
          <w:w w:val="115"/>
          <w:sz w:val="19"/>
        </w:rPr>
        <w:t>issue</w:t>
      </w:r>
    </w:p>
    <w:p>
      <w:pPr>
        <w:pStyle w:val="BodyText"/>
        <w:spacing w:before="8"/>
        <w:rPr>
          <w:sz w:val="18"/>
        </w:rPr>
      </w:pPr>
      <w:r>
        <w:rPr/>
        <w:br w:type="column"/>
      </w:r>
      <w:r>
        <w:rPr>
          <w:sz w:val="18"/>
        </w:rPr>
      </w:r>
    </w:p>
    <w:p>
      <w:pPr>
        <w:spacing w:before="0"/>
        <w:ind w:left="226" w:right="0" w:firstLine="0"/>
        <w:jc w:val="left"/>
        <w:rPr>
          <w:sz w:val="19"/>
        </w:rPr>
      </w:pPr>
      <w:r>
        <w:rPr>
          <w:color w:val="FD385E"/>
          <w:w w:val="115"/>
          <w:sz w:val="19"/>
        </w:rPr>
        <w:t>Revision </w:t>
      </w:r>
      <w:r>
        <w:rPr>
          <w:color w:val="E44F59"/>
          <w:w w:val="115"/>
          <w:sz w:val="19"/>
        </w:rPr>
        <w:t>1</w:t>
      </w:r>
    </w:p>
    <w:p>
      <w:pPr>
        <w:pStyle w:val="BodyText"/>
        <w:spacing w:before="8"/>
        <w:rPr>
          <w:sz w:val="18"/>
        </w:rPr>
      </w:pPr>
      <w:r>
        <w:rPr/>
        <w:br w:type="column"/>
      </w:r>
      <w:r>
        <w:rPr>
          <w:sz w:val="18"/>
        </w:rPr>
      </w:r>
    </w:p>
    <w:p>
      <w:pPr>
        <w:spacing w:before="0"/>
        <w:ind w:left="226" w:right="0" w:firstLine="0"/>
        <w:jc w:val="left"/>
        <w:rPr>
          <w:sz w:val="19"/>
        </w:rPr>
      </w:pPr>
      <w:r>
        <w:rPr>
          <w:color w:val="EF5646"/>
          <w:w w:val="110"/>
          <w:sz w:val="19"/>
        </w:rPr>
        <w:t>Revision </w:t>
      </w:r>
      <w:r>
        <w:rPr>
          <w:color w:val="FF6470"/>
          <w:w w:val="110"/>
          <w:sz w:val="19"/>
        </w:rPr>
        <w:t>2</w:t>
      </w:r>
    </w:p>
    <w:p>
      <w:pPr>
        <w:spacing w:after="0"/>
        <w:jc w:val="left"/>
        <w:rPr>
          <w:sz w:val="19"/>
        </w:rPr>
        <w:sectPr>
          <w:type w:val="continuous"/>
          <w:pgSz w:w="11920" w:h="16850"/>
          <w:pgMar w:top="1220" w:bottom="0" w:left="1300" w:right="540"/>
          <w:cols w:num="4" w:equalWidth="0">
            <w:col w:w="1622" w:space="1020"/>
            <w:col w:w="1264" w:space="1040"/>
            <w:col w:w="1273" w:space="1146"/>
            <w:col w:w="2715"/>
          </w:cols>
        </w:sectPr>
      </w:pPr>
    </w:p>
    <w:p>
      <w:pPr>
        <w:pStyle w:val="BodyText"/>
        <w:spacing w:before="2"/>
        <w:rPr>
          <w:sz w:val="5"/>
        </w:rPr>
      </w:pPr>
    </w:p>
    <w:p>
      <w:pPr>
        <w:pStyle w:val="BodyText"/>
        <w:spacing w:line="66" w:lineRule="exact"/>
        <w:ind w:left="111"/>
        <w:rPr>
          <w:sz w:val="6"/>
        </w:rPr>
      </w:pPr>
      <w:r>
        <w:rPr>
          <w:position w:val="0"/>
          <w:sz w:val="6"/>
        </w:rPr>
        <w:drawing>
          <wp:inline distT="0" distB="0" distL="0" distR="0">
            <wp:extent cx="6208674" cy="42005"/>
            <wp:effectExtent l="0" t="0" r="0" b="0"/>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18" cstate="print"/>
                    <a:stretch>
                      <a:fillRect/>
                    </a:stretch>
                  </pic:blipFill>
                  <pic:spPr>
                    <a:xfrm>
                      <a:off x="0" y="0"/>
                      <a:ext cx="6208674" cy="42005"/>
                    </a:xfrm>
                    <a:prstGeom prst="rect">
                      <a:avLst/>
                    </a:prstGeom>
                  </pic:spPr>
                </pic:pic>
              </a:graphicData>
            </a:graphic>
          </wp:inline>
        </w:drawing>
      </w:r>
      <w:r>
        <w:rPr>
          <w:position w:val="0"/>
          <w:sz w:val="6"/>
        </w:rPr>
      </w:r>
    </w:p>
    <w:p>
      <w:pPr>
        <w:tabs>
          <w:tab w:pos="2869" w:val="left" w:leader="none"/>
          <w:tab w:pos="5173" w:val="left" w:leader="none"/>
          <w:tab w:pos="7592" w:val="left" w:leader="none"/>
        </w:tabs>
        <w:spacing w:before="130"/>
        <w:ind w:left="239" w:right="0" w:firstLine="0"/>
        <w:jc w:val="left"/>
        <w:rPr>
          <w:sz w:val="19"/>
        </w:rPr>
      </w:pPr>
      <w:r>
        <w:rPr>
          <w:color w:val="282828"/>
          <w:sz w:val="19"/>
        </w:rPr>
        <w:t>Rem</w:t>
      </w:r>
      <w:r>
        <w:rPr>
          <w:color w:val="282828"/>
          <w:spacing w:val="-27"/>
          <w:sz w:val="19"/>
        </w:rPr>
        <w:t> </w:t>
      </w:r>
      <w:r>
        <w:rPr>
          <w:color w:val="2A2A2A"/>
          <w:sz w:val="19"/>
        </w:rPr>
        <w:t>arks</w:t>
        <w:tab/>
      </w:r>
      <w:r>
        <w:rPr>
          <w:color w:val="1F1F1F"/>
          <w:sz w:val="19"/>
        </w:rPr>
        <w:t>Draft</w:t>
      </w:r>
      <w:r>
        <w:rPr>
          <w:color w:val="1F1F1F"/>
          <w:spacing w:val="22"/>
          <w:sz w:val="19"/>
        </w:rPr>
        <w:t> </w:t>
      </w:r>
      <w:r>
        <w:rPr>
          <w:color w:val="313131"/>
          <w:sz w:val="19"/>
        </w:rPr>
        <w:t>for</w:t>
      </w:r>
      <w:r>
        <w:rPr>
          <w:color w:val="313131"/>
          <w:spacing w:val="16"/>
          <w:sz w:val="19"/>
        </w:rPr>
        <w:t> </w:t>
      </w:r>
      <w:r>
        <w:rPr>
          <w:color w:val="1C1C1C"/>
          <w:sz w:val="19"/>
        </w:rPr>
        <w:t>consultation</w:t>
        <w:tab/>
      </w:r>
      <w:r>
        <w:rPr>
          <w:color w:val="1F1F1F"/>
          <w:sz w:val="19"/>
        </w:rPr>
        <w:t>Draft  </w:t>
      </w:r>
      <w:r>
        <w:rPr>
          <w:color w:val="313131"/>
          <w:sz w:val="19"/>
        </w:rPr>
        <w:t>for</w:t>
      </w:r>
      <w:r>
        <w:rPr>
          <w:color w:val="313131"/>
          <w:spacing w:val="-4"/>
          <w:sz w:val="19"/>
        </w:rPr>
        <w:t> </w:t>
      </w:r>
      <w:r>
        <w:rPr>
          <w:color w:val="1A1A1A"/>
          <w:sz w:val="19"/>
        </w:rPr>
        <w:t>executive</w:t>
      </w:r>
      <w:r>
        <w:rPr>
          <w:color w:val="1A1A1A"/>
          <w:spacing w:val="14"/>
          <w:sz w:val="19"/>
        </w:rPr>
        <w:t> </w:t>
      </w:r>
      <w:r>
        <w:rPr>
          <w:color w:val="262626"/>
          <w:sz w:val="19"/>
        </w:rPr>
        <w:t>board</w:t>
        <w:tab/>
      </w:r>
      <w:r>
        <w:rPr>
          <w:color w:val="1F1F1F"/>
          <w:sz w:val="19"/>
        </w:rPr>
        <w:t>Draft </w:t>
      </w:r>
      <w:r>
        <w:rPr>
          <w:color w:val="2A2A2A"/>
          <w:sz w:val="19"/>
        </w:rPr>
        <w:t>for </w:t>
      </w:r>
      <w:r>
        <w:rPr>
          <w:color w:val="232323"/>
          <w:sz w:val="19"/>
        </w:rPr>
        <w:t>executive</w:t>
      </w:r>
      <w:r>
        <w:rPr>
          <w:color w:val="232323"/>
          <w:spacing w:val="5"/>
          <w:sz w:val="19"/>
        </w:rPr>
        <w:t> </w:t>
      </w:r>
      <w:r>
        <w:rPr>
          <w:color w:val="2F2F2F"/>
          <w:sz w:val="19"/>
        </w:rPr>
        <w:t>board</w:t>
      </w:r>
    </w:p>
    <w:p>
      <w:pPr>
        <w:pStyle w:val="BodyText"/>
        <w:spacing w:before="5"/>
        <w:rPr>
          <w:sz w:val="13"/>
        </w:rPr>
      </w:pPr>
    </w:p>
    <w:p>
      <w:pPr>
        <w:spacing w:after="0"/>
        <w:rPr>
          <w:sz w:val="13"/>
        </w:rPr>
        <w:sectPr>
          <w:type w:val="continuous"/>
          <w:pgSz w:w="11920" w:h="16850"/>
          <w:pgMar w:top="1220" w:bottom="0" w:left="1300" w:right="540"/>
        </w:sectPr>
      </w:pPr>
    </w:p>
    <w:p>
      <w:pPr>
        <w:spacing w:before="101"/>
        <w:ind w:left="239" w:right="0" w:firstLine="0"/>
        <w:jc w:val="left"/>
        <w:rPr>
          <w:sz w:val="19"/>
        </w:rPr>
      </w:pPr>
      <w:r>
        <w:rPr>
          <w:color w:val="262626"/>
          <w:sz w:val="19"/>
        </w:rPr>
        <w:t>Date</w:t>
      </w:r>
    </w:p>
    <w:p>
      <w:pPr>
        <w:pStyle w:val="BodyText"/>
      </w:pPr>
    </w:p>
    <w:p>
      <w:pPr>
        <w:spacing w:line="652" w:lineRule="auto" w:before="0"/>
        <w:ind w:left="235" w:right="0" w:firstLine="4"/>
        <w:jc w:val="left"/>
        <w:rPr>
          <w:sz w:val="19"/>
        </w:rPr>
      </w:pPr>
      <w:r>
        <w:rPr>
          <w:color w:val="282828"/>
          <w:w w:val="105"/>
          <w:sz w:val="18"/>
        </w:rPr>
        <w:t>Prepared </w:t>
      </w:r>
      <w:r>
        <w:rPr>
          <w:color w:val="262626"/>
          <w:w w:val="105"/>
          <w:sz w:val="18"/>
        </w:rPr>
        <w:t>by </w:t>
      </w:r>
      <w:r>
        <w:rPr>
          <w:color w:val="1F1F1F"/>
          <w:w w:val="105"/>
          <w:sz w:val="19"/>
        </w:rPr>
        <w:t>Signature </w:t>
      </w:r>
      <w:r>
        <w:rPr>
          <w:color w:val="2A2A2A"/>
          <w:w w:val="105"/>
          <w:sz w:val="19"/>
        </w:rPr>
        <w:t>Checked </w:t>
      </w:r>
      <w:r>
        <w:rPr>
          <w:color w:val="181818"/>
          <w:w w:val="105"/>
          <w:sz w:val="19"/>
        </w:rPr>
        <w:t>by</w:t>
      </w:r>
    </w:p>
    <w:p>
      <w:pPr>
        <w:spacing w:line="717" w:lineRule="auto" w:before="67"/>
        <w:ind w:left="236" w:right="140" w:firstLine="0"/>
        <w:jc w:val="left"/>
        <w:rPr>
          <w:sz w:val="19"/>
        </w:rPr>
      </w:pPr>
      <w:r>
        <w:rPr>
          <w:color w:val="1F1F1F"/>
          <w:w w:val="105"/>
          <w:sz w:val="19"/>
        </w:rPr>
        <w:t>Signature </w:t>
      </w:r>
      <w:r>
        <w:rPr>
          <w:color w:val="212121"/>
          <w:w w:val="105"/>
          <w:sz w:val="19"/>
        </w:rPr>
        <w:t>Authorised by</w:t>
      </w:r>
    </w:p>
    <w:p>
      <w:pPr>
        <w:spacing w:before="10"/>
        <w:ind w:left="236" w:right="0" w:firstLine="0"/>
        <w:jc w:val="left"/>
        <w:rPr>
          <w:sz w:val="19"/>
        </w:rPr>
      </w:pPr>
      <w:r>
        <w:rPr>
          <w:color w:val="1C1C1C"/>
          <w:w w:val="105"/>
          <w:sz w:val="19"/>
        </w:rPr>
        <w:t>Signature</w:t>
      </w:r>
    </w:p>
    <w:p>
      <w:pPr>
        <w:pStyle w:val="BodyText"/>
        <w:rPr>
          <w:sz w:val="22"/>
        </w:rPr>
      </w:pPr>
    </w:p>
    <w:p>
      <w:pPr>
        <w:spacing w:line="520" w:lineRule="auto" w:before="192"/>
        <w:ind w:left="239" w:right="0" w:firstLine="0"/>
        <w:jc w:val="left"/>
        <w:rPr>
          <w:sz w:val="19"/>
        </w:rPr>
      </w:pPr>
      <w:r>
        <w:rPr>
          <w:color w:val="1F1F1F"/>
          <w:sz w:val="19"/>
        </w:rPr>
        <w:t>Project </w:t>
      </w:r>
      <w:r>
        <w:rPr>
          <w:color w:val="262626"/>
          <w:sz w:val="19"/>
        </w:rPr>
        <w:t>number </w:t>
      </w:r>
      <w:r>
        <w:rPr>
          <w:color w:val="2D2D2D"/>
          <w:sz w:val="19"/>
        </w:rPr>
        <w:t>Report </w:t>
      </w:r>
      <w:r>
        <w:rPr>
          <w:color w:val="2A2A2A"/>
          <w:sz w:val="19"/>
        </w:rPr>
        <w:t>number</w:t>
      </w:r>
    </w:p>
    <w:p>
      <w:pPr>
        <w:spacing w:before="101"/>
        <w:ind w:left="239" w:right="0" w:firstLine="0"/>
        <w:jc w:val="left"/>
        <w:rPr>
          <w:sz w:val="19"/>
        </w:rPr>
      </w:pPr>
      <w:r>
        <w:rPr/>
        <w:br w:type="column"/>
      </w:r>
      <w:r>
        <w:rPr>
          <w:color w:val="363636"/>
          <w:w w:val="105"/>
          <w:sz w:val="19"/>
        </w:rPr>
        <w:t>1</w:t>
      </w:r>
      <w:r>
        <w:rPr>
          <w:color w:val="181818"/>
          <w:w w:val="105"/>
          <w:sz w:val="19"/>
        </w:rPr>
        <w:t>9/1</w:t>
      </w:r>
      <w:r>
        <w:rPr>
          <w:color w:val="282828"/>
          <w:w w:val="105"/>
          <w:sz w:val="19"/>
        </w:rPr>
        <w:t>0/2018</w:t>
      </w:r>
    </w:p>
    <w:p>
      <w:pPr>
        <w:pStyle w:val="BodyText"/>
        <w:spacing w:before="2"/>
        <w:rPr>
          <w:sz w:val="22"/>
        </w:rPr>
      </w:pPr>
    </w:p>
    <w:p>
      <w:pPr>
        <w:spacing w:before="0"/>
        <w:ind w:left="242" w:right="0" w:firstLine="0"/>
        <w:jc w:val="left"/>
        <w:rPr>
          <w:sz w:val="19"/>
        </w:rPr>
      </w:pPr>
      <w:r>
        <w:rPr>
          <w:color w:val="2F2F2F"/>
          <w:w w:val="105"/>
          <w:sz w:val="19"/>
        </w:rPr>
        <w:t>Alex </w:t>
      </w:r>
      <w:r>
        <w:rPr>
          <w:color w:val="262626"/>
          <w:w w:val="105"/>
          <w:sz w:val="19"/>
        </w:rPr>
        <w:t>Fionda</w:t>
      </w:r>
    </w:p>
    <w:p>
      <w:pPr>
        <w:pStyle w:val="BodyText"/>
        <w:rPr>
          <w:sz w:val="22"/>
        </w:rPr>
      </w:pPr>
    </w:p>
    <w:p>
      <w:pPr>
        <w:pStyle w:val="BodyText"/>
        <w:rPr>
          <w:sz w:val="22"/>
        </w:rPr>
      </w:pPr>
    </w:p>
    <w:p>
      <w:pPr>
        <w:pStyle w:val="BodyText"/>
        <w:rPr>
          <w:sz w:val="22"/>
        </w:rPr>
      </w:pPr>
    </w:p>
    <w:p>
      <w:pPr>
        <w:spacing w:before="188"/>
        <w:ind w:left="235" w:right="0" w:firstLine="0"/>
        <w:jc w:val="left"/>
        <w:rPr>
          <w:sz w:val="19"/>
        </w:rPr>
      </w:pPr>
      <w:r>
        <w:rPr>
          <w:color w:val="313131"/>
          <w:w w:val="105"/>
          <w:sz w:val="19"/>
        </w:rPr>
        <w:t>Helen</w:t>
      </w:r>
      <w:r>
        <w:rPr>
          <w:color w:val="313131"/>
          <w:spacing w:val="-10"/>
          <w:w w:val="105"/>
          <w:sz w:val="19"/>
        </w:rPr>
        <w:t> </w:t>
      </w:r>
      <w:r>
        <w:rPr>
          <w:color w:val="232323"/>
          <w:w w:val="105"/>
          <w:sz w:val="19"/>
        </w:rPr>
        <w:t>Grayson</w:t>
      </w:r>
    </w:p>
    <w:p>
      <w:pPr>
        <w:pStyle w:val="BodyText"/>
        <w:spacing w:before="5"/>
        <w:rPr>
          <w:sz w:val="26"/>
        </w:rPr>
      </w:pPr>
      <w:r>
        <w:rPr/>
        <w:drawing>
          <wp:anchor distT="0" distB="0" distL="0" distR="0" allowOverlap="1" layoutInCell="1" locked="0" behindDoc="0" simplePos="0" relativeHeight="7">
            <wp:simplePos x="0" y="0"/>
            <wp:positionH relativeFrom="page">
              <wp:posOffset>2651535</wp:posOffset>
            </wp:positionH>
            <wp:positionV relativeFrom="paragraph">
              <wp:posOffset>217982</wp:posOffset>
            </wp:positionV>
            <wp:extent cx="395359" cy="219455"/>
            <wp:effectExtent l="0" t="0" r="0" b="0"/>
            <wp:wrapTopAndBottom/>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19" cstate="print"/>
                    <a:stretch>
                      <a:fillRect/>
                    </a:stretch>
                  </pic:blipFill>
                  <pic:spPr>
                    <a:xfrm>
                      <a:off x="0" y="0"/>
                      <a:ext cx="395359" cy="219455"/>
                    </a:xfrm>
                    <a:prstGeom prst="rect">
                      <a:avLst/>
                    </a:prstGeom>
                  </pic:spPr>
                </pic:pic>
              </a:graphicData>
            </a:graphic>
          </wp:anchor>
        </w:drawing>
      </w:r>
    </w:p>
    <w:p>
      <w:pPr>
        <w:pStyle w:val="BodyText"/>
        <w:rPr>
          <w:sz w:val="22"/>
        </w:rPr>
      </w:pPr>
    </w:p>
    <w:p>
      <w:pPr>
        <w:spacing w:before="127"/>
        <w:ind w:left="235" w:right="0" w:firstLine="0"/>
        <w:jc w:val="left"/>
        <w:rPr>
          <w:sz w:val="19"/>
        </w:rPr>
      </w:pPr>
      <w:r>
        <w:rPr>
          <w:color w:val="212121"/>
          <w:w w:val="105"/>
          <w:sz w:val="19"/>
        </w:rPr>
        <w:t>Helen</w:t>
      </w:r>
      <w:r>
        <w:rPr>
          <w:color w:val="212121"/>
          <w:spacing w:val="-10"/>
          <w:w w:val="105"/>
          <w:sz w:val="19"/>
        </w:rPr>
        <w:t> </w:t>
      </w:r>
      <w:r>
        <w:rPr>
          <w:color w:val="232323"/>
          <w:w w:val="105"/>
          <w:sz w:val="19"/>
        </w:rPr>
        <w:t>Grayson</w:t>
      </w:r>
    </w:p>
    <w:p>
      <w:pPr>
        <w:pStyle w:val="BodyText"/>
        <w:spacing w:before="5"/>
        <w:rPr>
          <w:sz w:val="26"/>
        </w:rPr>
      </w:pPr>
      <w:r>
        <w:rPr/>
        <w:drawing>
          <wp:anchor distT="0" distB="0" distL="0" distR="0" allowOverlap="1" layoutInCell="1" locked="0" behindDoc="0" simplePos="0" relativeHeight="8">
            <wp:simplePos x="0" y="0"/>
            <wp:positionH relativeFrom="page">
              <wp:posOffset>2688108</wp:posOffset>
            </wp:positionH>
            <wp:positionV relativeFrom="paragraph">
              <wp:posOffset>218202</wp:posOffset>
            </wp:positionV>
            <wp:extent cx="345939" cy="268224"/>
            <wp:effectExtent l="0" t="0" r="0" b="0"/>
            <wp:wrapTopAndBottom/>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20" cstate="print"/>
                    <a:stretch>
                      <a:fillRect/>
                    </a:stretch>
                  </pic:blipFill>
                  <pic:spPr>
                    <a:xfrm>
                      <a:off x="0" y="0"/>
                      <a:ext cx="345939" cy="268224"/>
                    </a:xfrm>
                    <a:prstGeom prst="rect">
                      <a:avLst/>
                    </a:prstGeom>
                  </pic:spPr>
                </pic:pic>
              </a:graphicData>
            </a:graphic>
          </wp:anchor>
        </w:drawing>
      </w:r>
    </w:p>
    <w:p>
      <w:pPr>
        <w:pStyle w:val="BodyText"/>
        <w:spacing w:before="2"/>
        <w:rPr>
          <w:sz w:val="27"/>
        </w:rPr>
      </w:pPr>
    </w:p>
    <w:p>
      <w:pPr>
        <w:spacing w:before="0"/>
        <w:ind w:left="242" w:right="0" w:firstLine="0"/>
        <w:jc w:val="left"/>
        <w:rPr>
          <w:sz w:val="19"/>
        </w:rPr>
      </w:pPr>
      <w:r>
        <w:rPr>
          <w:color w:val="1D1D1D"/>
          <w:w w:val="105"/>
          <w:sz w:val="19"/>
        </w:rPr>
        <w:t>70046860</w:t>
      </w:r>
    </w:p>
    <w:p>
      <w:pPr>
        <w:pStyle w:val="BodyText"/>
        <w:spacing w:before="2"/>
        <w:rPr>
          <w:sz w:val="22"/>
        </w:rPr>
      </w:pPr>
    </w:p>
    <w:p>
      <w:pPr>
        <w:spacing w:before="0"/>
        <w:ind w:left="243" w:right="0" w:firstLine="0"/>
        <w:jc w:val="left"/>
        <w:rPr>
          <w:sz w:val="19"/>
        </w:rPr>
      </w:pPr>
      <w:r>
        <w:rPr>
          <w:color w:val="2A2A2A"/>
          <w:w w:val="105"/>
          <w:sz w:val="19"/>
        </w:rPr>
        <w:t>001</w:t>
      </w:r>
    </w:p>
    <w:p>
      <w:pPr>
        <w:spacing w:before="101"/>
        <w:ind w:left="243" w:right="0" w:firstLine="0"/>
        <w:jc w:val="left"/>
        <w:rPr>
          <w:sz w:val="19"/>
        </w:rPr>
      </w:pPr>
      <w:r>
        <w:rPr/>
        <w:br w:type="column"/>
      </w:r>
      <w:r>
        <w:rPr>
          <w:color w:val="2A2A2A"/>
          <w:w w:val="105"/>
          <w:sz w:val="19"/>
        </w:rPr>
        <w:t>08/1</w:t>
      </w:r>
      <w:r>
        <w:rPr>
          <w:color w:val="161616"/>
          <w:w w:val="105"/>
          <w:sz w:val="19"/>
        </w:rPr>
        <w:t>1/2018</w:t>
      </w:r>
    </w:p>
    <w:p>
      <w:pPr>
        <w:pStyle w:val="BodyText"/>
        <w:spacing w:before="2"/>
        <w:rPr>
          <w:sz w:val="22"/>
        </w:rPr>
      </w:pPr>
    </w:p>
    <w:p>
      <w:pPr>
        <w:spacing w:before="0"/>
        <w:ind w:left="242" w:right="0" w:firstLine="0"/>
        <w:jc w:val="left"/>
        <w:rPr>
          <w:sz w:val="19"/>
        </w:rPr>
      </w:pPr>
      <w:r>
        <w:rPr>
          <w:color w:val="2A2A2A"/>
          <w:w w:val="105"/>
          <w:sz w:val="19"/>
        </w:rPr>
        <w:t>Alex </w:t>
      </w:r>
      <w:r>
        <w:rPr>
          <w:color w:val="212121"/>
          <w:w w:val="105"/>
          <w:sz w:val="19"/>
        </w:rPr>
        <w:t>Fionda</w:t>
      </w:r>
    </w:p>
    <w:p>
      <w:pPr>
        <w:pStyle w:val="BodyText"/>
        <w:rPr>
          <w:sz w:val="22"/>
        </w:rPr>
      </w:pPr>
    </w:p>
    <w:p>
      <w:pPr>
        <w:pStyle w:val="BodyText"/>
        <w:rPr>
          <w:sz w:val="22"/>
        </w:rPr>
      </w:pPr>
    </w:p>
    <w:p>
      <w:pPr>
        <w:pStyle w:val="BodyText"/>
        <w:rPr>
          <w:sz w:val="22"/>
        </w:rPr>
      </w:pPr>
    </w:p>
    <w:p>
      <w:pPr>
        <w:spacing w:before="188"/>
        <w:ind w:left="235" w:right="0" w:firstLine="0"/>
        <w:jc w:val="left"/>
        <w:rPr>
          <w:sz w:val="19"/>
        </w:rPr>
      </w:pPr>
      <w:r>
        <w:rPr>
          <w:color w:val="343434"/>
          <w:w w:val="105"/>
          <w:sz w:val="19"/>
        </w:rPr>
        <w:t>Helen</w:t>
      </w:r>
      <w:r>
        <w:rPr>
          <w:color w:val="343434"/>
          <w:spacing w:val="-20"/>
          <w:w w:val="105"/>
          <w:sz w:val="19"/>
        </w:rPr>
        <w:t> </w:t>
      </w:r>
      <w:r>
        <w:rPr>
          <w:color w:val="232323"/>
          <w:w w:val="105"/>
          <w:sz w:val="19"/>
        </w:rPr>
        <w:t>Grayson</w:t>
      </w:r>
    </w:p>
    <w:p>
      <w:pPr>
        <w:pStyle w:val="BodyText"/>
        <w:spacing w:before="5"/>
        <w:rPr>
          <w:sz w:val="26"/>
        </w:rPr>
      </w:pPr>
      <w:r>
        <w:rPr/>
        <w:drawing>
          <wp:anchor distT="0" distB="0" distL="0" distR="0" allowOverlap="1" layoutInCell="1" locked="0" behindDoc="0" simplePos="0" relativeHeight="9">
            <wp:simplePos x="0" y="0"/>
            <wp:positionH relativeFrom="page">
              <wp:posOffset>4126642</wp:posOffset>
            </wp:positionH>
            <wp:positionV relativeFrom="paragraph">
              <wp:posOffset>217983</wp:posOffset>
            </wp:positionV>
            <wp:extent cx="345939" cy="225551"/>
            <wp:effectExtent l="0" t="0" r="0" b="0"/>
            <wp:wrapTopAndBottom/>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21" cstate="print"/>
                    <a:stretch>
                      <a:fillRect/>
                    </a:stretch>
                  </pic:blipFill>
                  <pic:spPr>
                    <a:xfrm>
                      <a:off x="0" y="0"/>
                      <a:ext cx="345939" cy="225551"/>
                    </a:xfrm>
                    <a:prstGeom prst="rect">
                      <a:avLst/>
                    </a:prstGeom>
                  </pic:spPr>
                </pic:pic>
              </a:graphicData>
            </a:graphic>
          </wp:anchor>
        </w:drawing>
      </w:r>
    </w:p>
    <w:p>
      <w:pPr>
        <w:pStyle w:val="BodyText"/>
        <w:spacing w:before="2"/>
        <w:rPr>
          <w:sz w:val="32"/>
        </w:rPr>
      </w:pPr>
    </w:p>
    <w:p>
      <w:pPr>
        <w:spacing w:before="0"/>
        <w:ind w:left="235" w:right="0" w:firstLine="0"/>
        <w:jc w:val="left"/>
        <w:rPr>
          <w:sz w:val="19"/>
        </w:rPr>
      </w:pPr>
      <w:r>
        <w:rPr>
          <w:color w:val="2A2A2A"/>
          <w:w w:val="105"/>
          <w:sz w:val="19"/>
        </w:rPr>
        <w:t>Helen</w:t>
      </w:r>
      <w:r>
        <w:rPr>
          <w:color w:val="2A2A2A"/>
          <w:spacing w:val="-20"/>
          <w:w w:val="105"/>
          <w:sz w:val="19"/>
        </w:rPr>
        <w:t> </w:t>
      </w:r>
      <w:r>
        <w:rPr>
          <w:color w:val="212121"/>
          <w:w w:val="105"/>
          <w:sz w:val="19"/>
        </w:rPr>
        <w:t>Grayson</w:t>
      </w:r>
    </w:p>
    <w:p>
      <w:pPr>
        <w:pStyle w:val="BodyText"/>
        <w:rPr>
          <w:sz w:val="22"/>
        </w:rPr>
      </w:pPr>
    </w:p>
    <w:p>
      <w:pPr>
        <w:pStyle w:val="BodyText"/>
        <w:rPr>
          <w:sz w:val="22"/>
        </w:rPr>
      </w:pPr>
    </w:p>
    <w:p>
      <w:pPr>
        <w:pStyle w:val="BodyText"/>
        <w:rPr>
          <w:sz w:val="22"/>
        </w:rPr>
      </w:pPr>
    </w:p>
    <w:p>
      <w:pPr>
        <w:pStyle w:val="BodyText"/>
        <w:spacing w:before="4"/>
        <w:rPr>
          <w:sz w:val="30"/>
        </w:rPr>
      </w:pPr>
    </w:p>
    <w:p>
      <w:pPr>
        <w:spacing w:before="0"/>
        <w:ind w:left="242" w:right="0" w:firstLine="0"/>
        <w:jc w:val="left"/>
        <w:rPr>
          <w:sz w:val="19"/>
        </w:rPr>
      </w:pPr>
      <w:r>
        <w:rPr>
          <w:color w:val="1D1D1D"/>
          <w:w w:val="105"/>
          <w:sz w:val="19"/>
        </w:rPr>
        <w:t>70046860</w:t>
      </w:r>
    </w:p>
    <w:p>
      <w:pPr>
        <w:pStyle w:val="BodyText"/>
        <w:spacing w:before="2"/>
        <w:rPr>
          <w:sz w:val="22"/>
        </w:rPr>
      </w:pPr>
    </w:p>
    <w:p>
      <w:pPr>
        <w:spacing w:before="0"/>
        <w:ind w:left="243" w:right="0" w:firstLine="0"/>
        <w:jc w:val="left"/>
        <w:rPr>
          <w:sz w:val="19"/>
        </w:rPr>
      </w:pPr>
      <w:r>
        <w:rPr>
          <w:color w:val="282828"/>
          <w:w w:val="105"/>
          <w:sz w:val="19"/>
        </w:rPr>
        <w:t>002</w:t>
      </w:r>
    </w:p>
    <w:p>
      <w:pPr>
        <w:spacing w:before="101"/>
        <w:ind w:left="236" w:right="0" w:firstLine="0"/>
        <w:jc w:val="left"/>
        <w:rPr>
          <w:sz w:val="19"/>
        </w:rPr>
      </w:pPr>
      <w:r>
        <w:rPr/>
        <w:br w:type="column"/>
      </w:r>
      <w:r>
        <w:rPr>
          <w:color w:val="131313"/>
          <w:w w:val="105"/>
          <w:sz w:val="19"/>
        </w:rPr>
        <w:t>07/1</w:t>
      </w:r>
      <w:r>
        <w:rPr>
          <w:color w:val="212121"/>
          <w:w w:val="105"/>
          <w:sz w:val="19"/>
        </w:rPr>
        <w:t>2/2018</w:t>
      </w:r>
    </w:p>
    <w:p>
      <w:pPr>
        <w:pStyle w:val="BodyText"/>
        <w:spacing w:before="2"/>
        <w:rPr>
          <w:sz w:val="22"/>
        </w:rPr>
      </w:pPr>
    </w:p>
    <w:p>
      <w:pPr>
        <w:spacing w:before="0"/>
        <w:ind w:left="235" w:right="0" w:firstLine="0"/>
        <w:jc w:val="left"/>
        <w:rPr>
          <w:sz w:val="19"/>
        </w:rPr>
      </w:pPr>
      <w:r>
        <w:rPr>
          <w:color w:val="212121"/>
          <w:w w:val="105"/>
          <w:sz w:val="19"/>
        </w:rPr>
        <w:t>Alex </w:t>
      </w:r>
      <w:r>
        <w:rPr>
          <w:color w:val="282828"/>
          <w:w w:val="105"/>
          <w:sz w:val="19"/>
        </w:rPr>
        <w:t>Fionda</w:t>
      </w:r>
    </w:p>
    <w:p>
      <w:pPr>
        <w:pStyle w:val="BodyText"/>
        <w:rPr>
          <w:sz w:val="22"/>
        </w:rPr>
      </w:pPr>
    </w:p>
    <w:p>
      <w:pPr>
        <w:pStyle w:val="BodyText"/>
        <w:rPr>
          <w:sz w:val="22"/>
        </w:rPr>
      </w:pPr>
    </w:p>
    <w:p>
      <w:pPr>
        <w:pStyle w:val="BodyText"/>
        <w:rPr>
          <w:sz w:val="22"/>
        </w:rPr>
      </w:pPr>
    </w:p>
    <w:p>
      <w:pPr>
        <w:spacing w:before="197"/>
        <w:ind w:left="239" w:right="0" w:firstLine="0"/>
        <w:jc w:val="left"/>
        <w:rPr>
          <w:sz w:val="18"/>
        </w:rPr>
      </w:pPr>
      <w:r>
        <w:rPr>
          <w:color w:val="232323"/>
          <w:w w:val="110"/>
          <w:sz w:val="18"/>
        </w:rPr>
        <w:t>Paul</w:t>
      </w:r>
      <w:r>
        <w:rPr>
          <w:color w:val="232323"/>
          <w:spacing w:val="-25"/>
          <w:w w:val="110"/>
          <w:sz w:val="18"/>
        </w:rPr>
        <w:t> </w:t>
      </w:r>
      <w:r>
        <w:rPr>
          <w:color w:val="232323"/>
          <w:w w:val="110"/>
          <w:sz w:val="18"/>
        </w:rPr>
        <w:t>Lambert</w:t>
      </w:r>
    </w:p>
    <w:p>
      <w:pPr>
        <w:pStyle w:val="BodyText"/>
        <w:spacing w:before="5"/>
        <w:rPr>
          <w:sz w:val="27"/>
        </w:rPr>
      </w:pPr>
      <w:r>
        <w:rPr/>
        <w:drawing>
          <wp:anchor distT="0" distB="0" distL="0" distR="0" allowOverlap="1" layoutInCell="1" locked="0" behindDoc="0" simplePos="0" relativeHeight="10">
            <wp:simplePos x="0" y="0"/>
            <wp:positionH relativeFrom="page">
              <wp:posOffset>5680990</wp:posOffset>
            </wp:positionH>
            <wp:positionV relativeFrom="paragraph">
              <wp:posOffset>225585</wp:posOffset>
            </wp:positionV>
            <wp:extent cx="525087" cy="249936"/>
            <wp:effectExtent l="0" t="0" r="0" b="0"/>
            <wp:wrapTopAndBottom/>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22" cstate="print"/>
                    <a:stretch>
                      <a:fillRect/>
                    </a:stretch>
                  </pic:blipFill>
                  <pic:spPr>
                    <a:xfrm>
                      <a:off x="0" y="0"/>
                      <a:ext cx="525087" cy="249936"/>
                    </a:xfrm>
                    <a:prstGeom prst="rect">
                      <a:avLst/>
                    </a:prstGeom>
                  </pic:spPr>
                </pic:pic>
              </a:graphicData>
            </a:graphic>
          </wp:anchor>
        </w:drawing>
      </w:r>
    </w:p>
    <w:p>
      <w:pPr>
        <w:pStyle w:val="BodyText"/>
        <w:spacing w:before="10"/>
        <w:rPr>
          <w:sz w:val="28"/>
        </w:rPr>
      </w:pPr>
    </w:p>
    <w:p>
      <w:pPr>
        <w:spacing w:before="0"/>
        <w:ind w:left="239" w:right="0" w:firstLine="0"/>
        <w:jc w:val="left"/>
        <w:rPr>
          <w:sz w:val="18"/>
        </w:rPr>
      </w:pPr>
      <w:r>
        <w:rPr>
          <w:color w:val="1A1A1A"/>
          <w:w w:val="110"/>
          <w:sz w:val="18"/>
        </w:rPr>
        <w:t>Paul</w:t>
      </w:r>
      <w:r>
        <w:rPr>
          <w:color w:val="1A1A1A"/>
          <w:spacing w:val="-25"/>
          <w:w w:val="110"/>
          <w:sz w:val="18"/>
        </w:rPr>
        <w:t> </w:t>
      </w:r>
      <w:r>
        <w:rPr>
          <w:color w:val="181818"/>
          <w:w w:val="110"/>
          <w:sz w:val="18"/>
        </w:rPr>
        <w:t>Lambert</w:t>
      </w:r>
    </w:p>
    <w:p>
      <w:pPr>
        <w:pStyle w:val="BodyText"/>
        <w:spacing w:before="7"/>
        <w:rPr>
          <w:sz w:val="26"/>
        </w:rPr>
      </w:pPr>
      <w:r>
        <w:rPr/>
        <w:drawing>
          <wp:anchor distT="0" distB="0" distL="0" distR="0" allowOverlap="1" layoutInCell="1" locked="0" behindDoc="0" simplePos="0" relativeHeight="11">
            <wp:simplePos x="0" y="0"/>
            <wp:positionH relativeFrom="page">
              <wp:posOffset>5680990</wp:posOffset>
            </wp:positionH>
            <wp:positionV relativeFrom="paragraph">
              <wp:posOffset>219491</wp:posOffset>
            </wp:positionV>
            <wp:extent cx="543619" cy="256032"/>
            <wp:effectExtent l="0" t="0" r="0" b="0"/>
            <wp:wrapTopAndBottom/>
            <wp:docPr id="31" name="image18.png" descr=""/>
            <wp:cNvGraphicFramePr>
              <a:graphicFrameLocks noChangeAspect="1"/>
            </wp:cNvGraphicFramePr>
            <a:graphic>
              <a:graphicData uri="http://schemas.openxmlformats.org/drawingml/2006/picture">
                <pic:pic>
                  <pic:nvPicPr>
                    <pic:cNvPr id="32" name="image18.png"/>
                    <pic:cNvPicPr/>
                  </pic:nvPicPr>
                  <pic:blipFill>
                    <a:blip r:embed="rId23" cstate="print"/>
                    <a:stretch>
                      <a:fillRect/>
                    </a:stretch>
                  </pic:blipFill>
                  <pic:spPr>
                    <a:xfrm>
                      <a:off x="0" y="0"/>
                      <a:ext cx="543619" cy="256032"/>
                    </a:xfrm>
                    <a:prstGeom prst="rect">
                      <a:avLst/>
                    </a:prstGeom>
                  </pic:spPr>
                </pic:pic>
              </a:graphicData>
            </a:graphic>
          </wp:anchor>
        </w:drawing>
      </w:r>
    </w:p>
    <w:p>
      <w:pPr>
        <w:pStyle w:val="BodyText"/>
        <w:spacing w:before="10"/>
        <w:rPr>
          <w:sz w:val="28"/>
        </w:rPr>
      </w:pPr>
    </w:p>
    <w:p>
      <w:pPr>
        <w:spacing w:before="0"/>
        <w:ind w:left="235" w:right="0" w:firstLine="0"/>
        <w:jc w:val="left"/>
        <w:rPr>
          <w:sz w:val="19"/>
        </w:rPr>
      </w:pPr>
      <w:r>
        <w:rPr>
          <w:color w:val="262626"/>
          <w:w w:val="105"/>
          <w:sz w:val="19"/>
        </w:rPr>
        <w:t>70046860</w:t>
      </w:r>
    </w:p>
    <w:p>
      <w:pPr>
        <w:pStyle w:val="BodyText"/>
        <w:spacing w:before="2"/>
        <w:rPr>
          <w:sz w:val="22"/>
        </w:rPr>
      </w:pPr>
    </w:p>
    <w:p>
      <w:pPr>
        <w:spacing w:before="0"/>
        <w:ind w:left="236" w:right="0" w:firstLine="0"/>
        <w:jc w:val="left"/>
        <w:rPr>
          <w:sz w:val="19"/>
        </w:rPr>
      </w:pPr>
      <w:r>
        <w:rPr>
          <w:color w:val="2A2A2A"/>
          <w:w w:val="105"/>
          <w:sz w:val="19"/>
        </w:rPr>
        <w:t>003</w:t>
      </w:r>
    </w:p>
    <w:p>
      <w:pPr>
        <w:spacing w:after="0"/>
        <w:jc w:val="left"/>
        <w:rPr>
          <w:sz w:val="19"/>
        </w:rPr>
        <w:sectPr>
          <w:type w:val="continuous"/>
          <w:pgSz w:w="11920" w:h="16850"/>
          <w:pgMar w:top="1220" w:bottom="0" w:left="1300" w:right="540"/>
          <w:cols w:num="4" w:equalWidth="0">
            <w:col w:w="1616" w:space="1008"/>
            <w:col w:w="1607" w:space="697"/>
            <w:col w:w="1597" w:space="829"/>
            <w:col w:w="2726"/>
          </w:cols>
        </w:sectPr>
      </w:pPr>
    </w:p>
    <w:p>
      <w:pPr>
        <w:spacing w:line="218" w:lineRule="exact" w:before="0"/>
        <w:ind w:left="238" w:right="0" w:firstLine="0"/>
        <w:jc w:val="left"/>
        <w:rPr>
          <w:sz w:val="19"/>
        </w:rPr>
      </w:pPr>
      <w:r>
        <w:rPr>
          <w:color w:val="181818"/>
          <w:w w:val="105"/>
          <w:sz w:val="19"/>
        </w:rPr>
        <w:t>File reference</w:t>
      </w:r>
    </w:p>
    <w:p>
      <w:pPr>
        <w:tabs>
          <w:tab w:pos="2553" w:val="left" w:leader="none"/>
          <w:tab w:pos="4972" w:val="left" w:leader="none"/>
        </w:tabs>
        <w:spacing w:line="218" w:lineRule="exact" w:before="0"/>
        <w:ind w:left="249" w:right="0" w:firstLine="0"/>
        <w:jc w:val="left"/>
        <w:rPr>
          <w:sz w:val="19"/>
        </w:rPr>
      </w:pPr>
      <w:r>
        <w:rPr/>
        <w:br w:type="column"/>
      </w:r>
      <w:r>
        <w:rPr>
          <w:color w:val="181818"/>
          <w:w w:val="105"/>
          <w:sz w:val="19"/>
        </w:rPr>
        <w:t>Leeds</w:t>
      </w:r>
      <w:r>
        <w:rPr>
          <w:color w:val="181818"/>
          <w:spacing w:val="-1"/>
          <w:w w:val="105"/>
          <w:sz w:val="19"/>
        </w:rPr>
        <w:t> </w:t>
      </w:r>
      <w:r>
        <w:rPr>
          <w:color w:val="242424"/>
          <w:w w:val="105"/>
          <w:sz w:val="19"/>
        </w:rPr>
        <w:t>LFRMS</w:t>
      </w:r>
      <w:r>
        <w:rPr>
          <w:color w:val="242424"/>
          <w:spacing w:val="-1"/>
          <w:w w:val="105"/>
          <w:sz w:val="19"/>
        </w:rPr>
        <w:t> </w:t>
      </w:r>
      <w:r>
        <w:rPr>
          <w:color w:val="282828"/>
          <w:w w:val="105"/>
          <w:sz w:val="19"/>
        </w:rPr>
        <w:t>2018</w:t>
        <w:tab/>
      </w:r>
      <w:r>
        <w:rPr>
          <w:color w:val="181818"/>
          <w:w w:val="105"/>
          <w:sz w:val="19"/>
        </w:rPr>
        <w:t>Leeds</w:t>
      </w:r>
      <w:r>
        <w:rPr>
          <w:color w:val="181818"/>
          <w:spacing w:val="5"/>
          <w:w w:val="105"/>
          <w:sz w:val="19"/>
        </w:rPr>
        <w:t> </w:t>
      </w:r>
      <w:r>
        <w:rPr>
          <w:color w:val="242424"/>
          <w:w w:val="105"/>
          <w:sz w:val="19"/>
        </w:rPr>
        <w:t>LFRMS</w:t>
      </w:r>
      <w:r>
        <w:rPr>
          <w:color w:val="242424"/>
          <w:spacing w:val="1"/>
          <w:w w:val="105"/>
          <w:sz w:val="19"/>
        </w:rPr>
        <w:t> </w:t>
      </w:r>
      <w:r>
        <w:rPr>
          <w:color w:val="282828"/>
          <w:w w:val="105"/>
          <w:sz w:val="19"/>
        </w:rPr>
        <w:t>2018</w:t>
        <w:tab/>
      </w:r>
      <w:r>
        <w:rPr>
          <w:color w:val="2D2D2D"/>
          <w:w w:val="105"/>
          <w:sz w:val="19"/>
        </w:rPr>
        <w:t>Leeds </w:t>
      </w:r>
      <w:r>
        <w:rPr>
          <w:color w:val="262626"/>
          <w:w w:val="105"/>
          <w:sz w:val="19"/>
        </w:rPr>
        <w:t>LFRMS</w:t>
      </w:r>
      <w:r>
        <w:rPr>
          <w:color w:val="262626"/>
          <w:spacing w:val="21"/>
          <w:w w:val="105"/>
          <w:sz w:val="19"/>
        </w:rPr>
        <w:t> </w:t>
      </w:r>
      <w:r>
        <w:rPr>
          <w:color w:val="2D2D2D"/>
          <w:w w:val="105"/>
          <w:sz w:val="19"/>
        </w:rPr>
        <w:t>2018</w:t>
      </w:r>
    </w:p>
    <w:p>
      <w:pPr>
        <w:tabs>
          <w:tab w:pos="2542" w:val="left" w:leader="none"/>
          <w:tab w:pos="4961" w:val="left" w:leader="none"/>
        </w:tabs>
        <w:spacing w:before="9"/>
        <w:ind w:left="238" w:right="0" w:firstLine="0"/>
        <w:jc w:val="left"/>
        <w:rPr>
          <w:sz w:val="19"/>
        </w:rPr>
      </w:pPr>
      <w:r>
        <w:rPr>
          <w:color w:val="181818"/>
          <w:w w:val="105"/>
          <w:sz w:val="19"/>
        </w:rPr>
        <w:t>Update</w:t>
      </w:r>
      <w:r>
        <w:rPr>
          <w:color w:val="181818"/>
          <w:spacing w:val="3"/>
          <w:w w:val="105"/>
          <w:sz w:val="19"/>
        </w:rPr>
        <w:t> </w:t>
      </w:r>
      <w:r>
        <w:rPr>
          <w:color w:val="2B2B2B"/>
          <w:w w:val="105"/>
          <w:sz w:val="19"/>
        </w:rPr>
        <w:t>v8</w:t>
        <w:tab/>
      </w:r>
      <w:r>
        <w:rPr>
          <w:color w:val="181818"/>
          <w:w w:val="105"/>
          <w:sz w:val="19"/>
        </w:rPr>
        <w:t>Update</w:t>
      </w:r>
      <w:r>
        <w:rPr>
          <w:color w:val="181818"/>
          <w:spacing w:val="3"/>
          <w:w w:val="105"/>
          <w:sz w:val="19"/>
        </w:rPr>
        <w:t> </w:t>
      </w:r>
      <w:r>
        <w:rPr>
          <w:color w:val="2F2F2F"/>
          <w:w w:val="105"/>
          <w:sz w:val="19"/>
        </w:rPr>
        <w:t>v11</w:t>
        <w:tab/>
      </w:r>
      <w:r>
        <w:rPr>
          <w:color w:val="1F1F1F"/>
          <w:w w:val="105"/>
          <w:sz w:val="19"/>
        </w:rPr>
        <w:t>Update</w:t>
      </w:r>
      <w:r>
        <w:rPr>
          <w:color w:val="1F1F1F"/>
          <w:spacing w:val="10"/>
          <w:w w:val="105"/>
          <w:sz w:val="19"/>
        </w:rPr>
        <w:t> </w:t>
      </w:r>
      <w:r>
        <w:rPr>
          <w:color w:val="2D2D2D"/>
          <w:w w:val="105"/>
          <w:sz w:val="19"/>
        </w:rPr>
        <w:t>v11.1</w:t>
      </w:r>
    </w:p>
    <w:p>
      <w:pPr>
        <w:spacing w:after="0"/>
        <w:jc w:val="left"/>
        <w:rPr>
          <w:sz w:val="19"/>
        </w:rPr>
        <w:sectPr>
          <w:type w:val="continuous"/>
          <w:pgSz w:w="11920" w:h="16850"/>
          <w:pgMar w:top="1220" w:bottom="0" w:left="1300" w:right="540"/>
          <w:cols w:num="2" w:equalWidth="0">
            <w:col w:w="1484" w:space="1137"/>
            <w:col w:w="7459"/>
          </w:cols>
        </w:sectPr>
      </w:pPr>
    </w:p>
    <w:p>
      <w:pPr>
        <w:pStyle w:val="BodyText"/>
        <w:ind w:right="-42"/>
        <w:rPr>
          <w:sz w:val="20"/>
        </w:rPr>
      </w:pPr>
      <w:bookmarkStart w:name="Leeds LFRMS 2018 Update_Page_06" w:id="6"/>
      <w:bookmarkEnd w:id="6"/>
      <w:r>
        <w:rPr/>
      </w:r>
      <w:r>
        <w:rPr>
          <w:sz w:val="20"/>
        </w:rPr>
        <w:drawing>
          <wp:inline distT="0" distB="0" distL="0" distR="0">
            <wp:extent cx="7562190" cy="10693908"/>
            <wp:effectExtent l="0" t="0" r="0" b="0"/>
            <wp:docPr id="33" name="image9.png" descr=""/>
            <wp:cNvGraphicFramePr>
              <a:graphicFrameLocks noChangeAspect="1"/>
            </wp:cNvGraphicFramePr>
            <a:graphic>
              <a:graphicData uri="http://schemas.openxmlformats.org/drawingml/2006/picture">
                <pic:pic>
                  <pic:nvPicPr>
                    <pic:cNvPr id="34" name="image9.png"/>
                    <pic:cNvPicPr/>
                  </pic:nvPicPr>
                  <pic:blipFill>
                    <a:blip r:embed="rId13" cstate="print"/>
                    <a:stretch>
                      <a:fillRect/>
                    </a:stretch>
                  </pic:blipFill>
                  <pic:spPr>
                    <a:xfrm>
                      <a:off x="0" y="0"/>
                      <a:ext cx="7562190" cy="10693908"/>
                    </a:xfrm>
                    <a:prstGeom prst="rect">
                      <a:avLst/>
                    </a:prstGeom>
                  </pic:spPr>
                </pic:pic>
              </a:graphicData>
            </a:graphic>
          </wp:inline>
        </w:drawing>
      </w:r>
      <w:r>
        <w:rPr>
          <w:sz w:val="20"/>
        </w:rPr>
      </w:r>
    </w:p>
    <w:p>
      <w:pPr>
        <w:spacing w:after="0"/>
        <w:rPr>
          <w:sz w:val="20"/>
        </w:rPr>
        <w:sectPr>
          <w:footerReference w:type="even" r:id="rId24"/>
          <w:pgSz w:w="11910" w:h="16840"/>
          <w:pgMar w:footer="0" w:header="0" w:top="0" w:bottom="0" w:left="0" w:right="0"/>
        </w:sectPr>
      </w:pPr>
    </w:p>
    <w:p>
      <w:pPr>
        <w:pStyle w:val="BodyText"/>
        <w:rPr>
          <w:rFonts w:ascii="Times New Roman"/>
          <w:sz w:val="20"/>
        </w:rPr>
      </w:pPr>
      <w:r>
        <w:rPr/>
        <w:pict>
          <v:group style="position:absolute;margin-left:123.349602pt;margin-top:29.757116pt;width:5.3pt;height:35.050pt;mso-position-horizontal-relative:page;mso-position-vertical-relative:page;z-index:1336" coordorigin="2467,595" coordsize="106,701">
            <v:shape style="position:absolute;left:2467;top:595;width:106;height:48" type="#_x0000_t75" stroked="false">
              <v:imagedata r:id="rId14" o:title=""/>
            </v:shape>
            <v:shape style="position:absolute;left:2486;top:1257;width:87;height:39" type="#_x0000_t75" stroked="false">
              <v:imagedata r:id="rId15" o:title=""/>
            </v:shape>
            <v:line style="position:absolute" from="2515,595" to="2515,1286" stroked="true" strokeweight="4.799592pt" strokecolor="#ff6477">
              <v:stroke dashstyle="solid"/>
            </v:lin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4"/>
        <w:gridCol w:w="7591"/>
        <w:gridCol w:w="1817"/>
        <w:gridCol w:w="434"/>
      </w:tblGrid>
      <w:tr>
        <w:trPr>
          <w:trHeight w:val="613" w:hRule="atLeast"/>
        </w:trPr>
        <w:tc>
          <w:tcPr>
            <w:tcW w:w="864" w:type="dxa"/>
          </w:tcPr>
          <w:p>
            <w:pPr>
              <w:pStyle w:val="TableParagraph"/>
              <w:rPr>
                <w:rFonts w:ascii="Times New Roman"/>
                <w:sz w:val="24"/>
              </w:rPr>
            </w:pPr>
          </w:p>
        </w:tc>
        <w:tc>
          <w:tcPr>
            <w:tcW w:w="7591" w:type="dxa"/>
            <w:tcBorders>
              <w:bottom w:val="single" w:sz="12" w:space="0" w:color="B35B57"/>
            </w:tcBorders>
          </w:tcPr>
          <w:p>
            <w:pPr>
              <w:pStyle w:val="TableParagraph"/>
              <w:spacing w:line="547" w:lineRule="exact"/>
              <w:ind w:left="13"/>
              <w:rPr>
                <w:sz w:val="49"/>
              </w:rPr>
            </w:pPr>
            <w:bookmarkStart w:name="Leeds LFRMS 2018 Update_Page_07" w:id="7"/>
            <w:bookmarkEnd w:id="7"/>
            <w:r>
              <w:rPr/>
            </w:r>
            <w:r>
              <w:rPr>
                <w:sz w:val="49"/>
              </w:rPr>
              <w:t>CONTENTS</w:t>
            </w:r>
          </w:p>
        </w:tc>
        <w:tc>
          <w:tcPr>
            <w:tcW w:w="2251" w:type="dxa"/>
            <w:gridSpan w:val="2"/>
            <w:tcBorders>
              <w:bottom w:val="single" w:sz="12" w:space="0" w:color="B35B57"/>
            </w:tcBorders>
          </w:tcPr>
          <w:p>
            <w:pPr>
              <w:pStyle w:val="TableParagraph"/>
              <w:rPr>
                <w:rFonts w:ascii="Times New Roman"/>
                <w:sz w:val="24"/>
              </w:rPr>
            </w:pPr>
          </w:p>
        </w:tc>
      </w:tr>
      <w:tr>
        <w:trPr>
          <w:trHeight w:val="1177" w:hRule="atLeast"/>
        </w:trPr>
        <w:tc>
          <w:tcPr>
            <w:tcW w:w="864" w:type="dxa"/>
            <w:tcBorders>
              <w:bottom w:val="single" w:sz="12" w:space="0" w:color="B65D5B"/>
            </w:tcBorders>
          </w:tcPr>
          <w:p>
            <w:pPr>
              <w:pStyle w:val="TableParagraph"/>
              <w:rPr>
                <w:rFonts w:ascii="Times New Roman"/>
                <w:sz w:val="30"/>
              </w:rPr>
            </w:pPr>
          </w:p>
          <w:p>
            <w:pPr>
              <w:pStyle w:val="TableParagraph"/>
              <w:spacing w:before="3"/>
              <w:rPr>
                <w:rFonts w:ascii="Times New Roman"/>
                <w:sz w:val="33"/>
              </w:rPr>
            </w:pPr>
          </w:p>
          <w:p>
            <w:pPr>
              <w:pStyle w:val="TableParagraph"/>
              <w:ind w:left="17"/>
              <w:rPr>
                <w:sz w:val="28"/>
              </w:rPr>
            </w:pPr>
            <w:r>
              <w:rPr>
                <w:color w:val="DB504D"/>
                <w:w w:val="96"/>
                <w:sz w:val="28"/>
              </w:rPr>
              <w:t>1</w:t>
            </w:r>
          </w:p>
        </w:tc>
        <w:tc>
          <w:tcPr>
            <w:tcW w:w="7591" w:type="dxa"/>
            <w:tcBorders>
              <w:top w:val="single" w:sz="12" w:space="0" w:color="B35B57"/>
              <w:bottom w:val="single" w:sz="12" w:space="0" w:color="B65D5B"/>
            </w:tcBorders>
          </w:tcPr>
          <w:p>
            <w:pPr>
              <w:pStyle w:val="TableParagraph"/>
              <w:rPr>
                <w:rFonts w:ascii="Times New Roman"/>
                <w:sz w:val="30"/>
              </w:rPr>
            </w:pPr>
          </w:p>
          <w:p>
            <w:pPr>
              <w:pStyle w:val="TableParagraph"/>
              <w:spacing w:before="3"/>
              <w:rPr>
                <w:rFonts w:ascii="Times New Roman"/>
                <w:sz w:val="33"/>
              </w:rPr>
            </w:pPr>
          </w:p>
          <w:p>
            <w:pPr>
              <w:pStyle w:val="TableParagraph"/>
              <w:ind w:left="17"/>
              <w:rPr>
                <w:sz w:val="28"/>
              </w:rPr>
            </w:pPr>
            <w:r>
              <w:rPr>
                <w:color w:val="FF4660"/>
                <w:sz w:val="28"/>
              </w:rPr>
              <w:t>LEGISLATIVE </w:t>
            </w:r>
            <w:r>
              <w:rPr>
                <w:color w:val="FF3A41"/>
                <w:sz w:val="28"/>
              </w:rPr>
              <w:t>CONTEXT</w:t>
            </w:r>
          </w:p>
        </w:tc>
        <w:tc>
          <w:tcPr>
            <w:tcW w:w="1817" w:type="dxa"/>
            <w:tcBorders>
              <w:top w:val="single" w:sz="12" w:space="0" w:color="B35B57"/>
              <w:bottom w:val="single" w:sz="12" w:space="0" w:color="B65D5B"/>
            </w:tcBorders>
          </w:tcPr>
          <w:p>
            <w:pPr>
              <w:pStyle w:val="TableParagraph"/>
              <w:rPr>
                <w:rFonts w:ascii="Times New Roman"/>
                <w:sz w:val="24"/>
              </w:rPr>
            </w:pPr>
          </w:p>
        </w:tc>
        <w:tc>
          <w:tcPr>
            <w:tcW w:w="434" w:type="dxa"/>
            <w:tcBorders>
              <w:top w:val="single" w:sz="12" w:space="0" w:color="B35B57"/>
              <w:bottom w:val="single" w:sz="12" w:space="0" w:color="B65D5B"/>
            </w:tcBorders>
          </w:tcPr>
          <w:p>
            <w:pPr>
              <w:pStyle w:val="TableParagraph"/>
              <w:rPr>
                <w:rFonts w:ascii="Times New Roman"/>
                <w:sz w:val="30"/>
              </w:rPr>
            </w:pPr>
          </w:p>
          <w:p>
            <w:pPr>
              <w:pStyle w:val="TableParagraph"/>
              <w:spacing w:before="3"/>
              <w:rPr>
                <w:rFonts w:ascii="Times New Roman"/>
                <w:sz w:val="33"/>
              </w:rPr>
            </w:pPr>
          </w:p>
          <w:p>
            <w:pPr>
              <w:pStyle w:val="TableParagraph"/>
              <w:ind w:right="51"/>
              <w:jc w:val="right"/>
              <w:rPr>
                <w:sz w:val="28"/>
              </w:rPr>
            </w:pPr>
            <w:r>
              <w:rPr>
                <w:color w:val="FF363D"/>
                <w:w w:val="98"/>
                <w:sz w:val="28"/>
              </w:rPr>
              <w:t>1</w:t>
            </w:r>
          </w:p>
        </w:tc>
      </w:tr>
      <w:tr>
        <w:trPr>
          <w:trHeight w:val="597" w:hRule="atLeast"/>
        </w:trPr>
        <w:tc>
          <w:tcPr>
            <w:tcW w:w="864" w:type="dxa"/>
            <w:tcBorders>
              <w:top w:val="single" w:sz="12" w:space="0" w:color="B65D5B"/>
            </w:tcBorders>
          </w:tcPr>
          <w:p>
            <w:pPr>
              <w:pStyle w:val="TableParagraph"/>
              <w:spacing w:before="5"/>
              <w:rPr>
                <w:rFonts w:ascii="Times New Roman"/>
                <w:sz w:val="22"/>
              </w:rPr>
            </w:pPr>
          </w:p>
          <w:p>
            <w:pPr>
              <w:pStyle w:val="TableParagraph"/>
              <w:ind w:left="24"/>
              <w:rPr>
                <w:sz w:val="22"/>
              </w:rPr>
            </w:pPr>
            <w:r>
              <w:rPr>
                <w:w w:val="110"/>
                <w:sz w:val="22"/>
              </w:rPr>
              <w:t>1.1</w:t>
            </w:r>
          </w:p>
        </w:tc>
        <w:tc>
          <w:tcPr>
            <w:tcW w:w="7591" w:type="dxa"/>
            <w:tcBorders>
              <w:top w:val="single" w:sz="12" w:space="0" w:color="B65D5B"/>
            </w:tcBorders>
          </w:tcPr>
          <w:p>
            <w:pPr>
              <w:pStyle w:val="TableParagraph"/>
              <w:spacing w:before="9"/>
              <w:rPr>
                <w:rFonts w:ascii="Times New Roman"/>
                <w:sz w:val="20"/>
              </w:rPr>
            </w:pPr>
          </w:p>
          <w:p>
            <w:pPr>
              <w:pStyle w:val="TableParagraph"/>
              <w:spacing w:before="1"/>
              <w:ind w:left="16"/>
              <w:rPr>
                <w:sz w:val="24"/>
              </w:rPr>
            </w:pPr>
            <w:r>
              <w:rPr>
                <w:sz w:val="24"/>
              </w:rPr>
              <w:t>INTRODUCTION</w:t>
            </w:r>
          </w:p>
        </w:tc>
        <w:tc>
          <w:tcPr>
            <w:tcW w:w="1817" w:type="dxa"/>
            <w:tcBorders>
              <w:top w:val="single" w:sz="12" w:space="0" w:color="B65D5B"/>
            </w:tcBorders>
          </w:tcPr>
          <w:p>
            <w:pPr>
              <w:pStyle w:val="TableParagraph"/>
              <w:rPr>
                <w:rFonts w:ascii="Times New Roman"/>
                <w:sz w:val="24"/>
              </w:rPr>
            </w:pPr>
          </w:p>
        </w:tc>
        <w:tc>
          <w:tcPr>
            <w:tcW w:w="434" w:type="dxa"/>
            <w:tcBorders>
              <w:top w:val="single" w:sz="12" w:space="0" w:color="B65D5B"/>
            </w:tcBorders>
          </w:tcPr>
          <w:p>
            <w:pPr>
              <w:pStyle w:val="TableParagraph"/>
              <w:spacing w:before="9"/>
              <w:rPr>
                <w:rFonts w:ascii="Times New Roman"/>
                <w:sz w:val="20"/>
              </w:rPr>
            </w:pPr>
          </w:p>
          <w:p>
            <w:pPr>
              <w:pStyle w:val="TableParagraph"/>
              <w:spacing w:before="1"/>
              <w:ind w:right="41"/>
              <w:jc w:val="right"/>
              <w:rPr>
                <w:sz w:val="24"/>
              </w:rPr>
            </w:pPr>
            <w:r>
              <w:rPr>
                <w:w w:val="104"/>
                <w:sz w:val="24"/>
              </w:rPr>
              <w:t>1</w:t>
            </w:r>
          </w:p>
        </w:tc>
      </w:tr>
      <w:tr>
        <w:trPr>
          <w:trHeight w:val="436" w:hRule="atLeast"/>
        </w:trPr>
        <w:tc>
          <w:tcPr>
            <w:tcW w:w="864" w:type="dxa"/>
          </w:tcPr>
          <w:p>
            <w:pPr>
              <w:pStyle w:val="TableParagraph"/>
              <w:spacing w:before="83"/>
              <w:ind w:left="23"/>
              <w:rPr>
                <w:sz w:val="23"/>
              </w:rPr>
            </w:pPr>
            <w:r>
              <w:rPr>
                <w:w w:val="105"/>
                <w:sz w:val="23"/>
              </w:rPr>
              <w:t>1.2</w:t>
            </w:r>
          </w:p>
        </w:tc>
        <w:tc>
          <w:tcPr>
            <w:tcW w:w="7591" w:type="dxa"/>
          </w:tcPr>
          <w:p>
            <w:pPr>
              <w:pStyle w:val="TableParagraph"/>
              <w:spacing w:before="74"/>
              <w:ind w:left="19"/>
              <w:rPr>
                <w:sz w:val="24"/>
              </w:rPr>
            </w:pPr>
            <w:r>
              <w:rPr>
                <w:sz w:val="24"/>
              </w:rPr>
              <w:t>EUROPEAN UNION WITHDRAWAL ACT</w:t>
            </w:r>
          </w:p>
        </w:tc>
        <w:tc>
          <w:tcPr>
            <w:tcW w:w="1817" w:type="dxa"/>
          </w:tcPr>
          <w:p>
            <w:pPr>
              <w:pStyle w:val="TableParagraph"/>
              <w:rPr>
                <w:rFonts w:ascii="Times New Roman"/>
                <w:sz w:val="24"/>
              </w:rPr>
            </w:pPr>
          </w:p>
        </w:tc>
        <w:tc>
          <w:tcPr>
            <w:tcW w:w="434" w:type="dxa"/>
          </w:tcPr>
          <w:p>
            <w:pPr>
              <w:pStyle w:val="TableParagraph"/>
              <w:spacing w:before="74"/>
              <w:ind w:right="41"/>
              <w:jc w:val="right"/>
              <w:rPr>
                <w:sz w:val="24"/>
              </w:rPr>
            </w:pPr>
            <w:r>
              <w:rPr>
                <w:w w:val="104"/>
                <w:sz w:val="24"/>
              </w:rPr>
              <w:t>1</w:t>
            </w:r>
          </w:p>
        </w:tc>
      </w:tr>
      <w:tr>
        <w:trPr>
          <w:trHeight w:val="436" w:hRule="atLeast"/>
        </w:trPr>
        <w:tc>
          <w:tcPr>
            <w:tcW w:w="864" w:type="dxa"/>
          </w:tcPr>
          <w:p>
            <w:pPr>
              <w:pStyle w:val="TableParagraph"/>
              <w:spacing w:before="88"/>
              <w:ind w:left="23"/>
              <w:rPr>
                <w:sz w:val="23"/>
              </w:rPr>
            </w:pPr>
            <w:r>
              <w:rPr>
                <w:w w:val="105"/>
                <w:sz w:val="23"/>
              </w:rPr>
              <w:t>1.3</w:t>
            </w:r>
          </w:p>
        </w:tc>
        <w:tc>
          <w:tcPr>
            <w:tcW w:w="7591" w:type="dxa"/>
          </w:tcPr>
          <w:p>
            <w:pPr>
              <w:pStyle w:val="TableParagraph"/>
              <w:spacing w:before="79"/>
              <w:ind w:left="23"/>
              <w:rPr>
                <w:sz w:val="24"/>
              </w:rPr>
            </w:pPr>
            <w:r>
              <w:rPr>
                <w:sz w:val="24"/>
              </w:rPr>
              <w:t>THE FLOOD RISK REGULATIONS</w:t>
            </w:r>
          </w:p>
        </w:tc>
        <w:tc>
          <w:tcPr>
            <w:tcW w:w="1817" w:type="dxa"/>
          </w:tcPr>
          <w:p>
            <w:pPr>
              <w:pStyle w:val="TableParagraph"/>
              <w:rPr>
                <w:rFonts w:ascii="Times New Roman"/>
                <w:sz w:val="24"/>
              </w:rPr>
            </w:pPr>
          </w:p>
        </w:tc>
        <w:tc>
          <w:tcPr>
            <w:tcW w:w="434" w:type="dxa"/>
          </w:tcPr>
          <w:p>
            <w:pPr>
              <w:pStyle w:val="TableParagraph"/>
              <w:spacing w:before="79"/>
              <w:ind w:right="32"/>
              <w:jc w:val="right"/>
              <w:rPr>
                <w:sz w:val="24"/>
              </w:rPr>
            </w:pPr>
            <w:r>
              <w:rPr>
                <w:w w:val="104"/>
                <w:sz w:val="24"/>
              </w:rPr>
              <w:t>1</w:t>
            </w:r>
          </w:p>
        </w:tc>
      </w:tr>
      <w:tr>
        <w:trPr>
          <w:trHeight w:val="436" w:hRule="atLeast"/>
        </w:trPr>
        <w:tc>
          <w:tcPr>
            <w:tcW w:w="864" w:type="dxa"/>
          </w:tcPr>
          <w:p>
            <w:pPr>
              <w:pStyle w:val="TableParagraph"/>
              <w:spacing w:before="83"/>
              <w:ind w:left="23"/>
              <w:rPr>
                <w:sz w:val="23"/>
              </w:rPr>
            </w:pPr>
            <w:r>
              <w:rPr>
                <w:w w:val="105"/>
                <w:sz w:val="23"/>
              </w:rPr>
              <w:t>1.4</w:t>
            </w:r>
          </w:p>
        </w:tc>
        <w:tc>
          <w:tcPr>
            <w:tcW w:w="7591" w:type="dxa"/>
          </w:tcPr>
          <w:p>
            <w:pPr>
              <w:pStyle w:val="TableParagraph"/>
              <w:spacing w:before="74"/>
              <w:ind w:left="23"/>
              <w:rPr>
                <w:sz w:val="24"/>
              </w:rPr>
            </w:pPr>
            <w:r>
              <w:rPr>
                <w:sz w:val="24"/>
              </w:rPr>
              <w:t>THE WATER ENVIRONMENT</w:t>
            </w:r>
            <w:r>
              <w:rPr>
                <w:spacing w:val="59"/>
                <w:sz w:val="24"/>
              </w:rPr>
              <w:t> </w:t>
            </w:r>
            <w:r>
              <w:rPr>
                <w:sz w:val="24"/>
              </w:rPr>
              <w:t>REGULATIONS</w:t>
            </w:r>
          </w:p>
        </w:tc>
        <w:tc>
          <w:tcPr>
            <w:tcW w:w="1817" w:type="dxa"/>
          </w:tcPr>
          <w:p>
            <w:pPr>
              <w:pStyle w:val="TableParagraph"/>
              <w:rPr>
                <w:rFonts w:ascii="Times New Roman"/>
                <w:sz w:val="24"/>
              </w:rPr>
            </w:pPr>
          </w:p>
        </w:tc>
        <w:tc>
          <w:tcPr>
            <w:tcW w:w="434" w:type="dxa"/>
          </w:tcPr>
          <w:p>
            <w:pPr>
              <w:pStyle w:val="TableParagraph"/>
              <w:spacing w:before="74"/>
              <w:ind w:right="38"/>
              <w:jc w:val="right"/>
              <w:rPr>
                <w:sz w:val="24"/>
              </w:rPr>
            </w:pPr>
            <w:r>
              <w:rPr>
                <w:w w:val="99"/>
                <w:sz w:val="24"/>
              </w:rPr>
              <w:t>2</w:t>
            </w:r>
          </w:p>
        </w:tc>
      </w:tr>
      <w:tr>
        <w:trPr>
          <w:trHeight w:val="441" w:hRule="atLeast"/>
        </w:trPr>
        <w:tc>
          <w:tcPr>
            <w:tcW w:w="864" w:type="dxa"/>
          </w:tcPr>
          <w:p>
            <w:pPr>
              <w:pStyle w:val="TableParagraph"/>
              <w:spacing w:before="88"/>
              <w:ind w:left="23"/>
              <w:rPr>
                <w:sz w:val="23"/>
              </w:rPr>
            </w:pPr>
            <w:r>
              <w:rPr>
                <w:w w:val="105"/>
                <w:sz w:val="23"/>
              </w:rPr>
              <w:t>1.5</w:t>
            </w:r>
          </w:p>
        </w:tc>
        <w:tc>
          <w:tcPr>
            <w:tcW w:w="7591" w:type="dxa"/>
          </w:tcPr>
          <w:p>
            <w:pPr>
              <w:pStyle w:val="TableParagraph"/>
              <w:spacing w:before="79"/>
              <w:ind w:left="19"/>
              <w:rPr>
                <w:sz w:val="24"/>
              </w:rPr>
            </w:pPr>
            <w:r>
              <w:rPr>
                <w:sz w:val="24"/>
              </w:rPr>
              <w:t>ENVIRONMENTAL ASSESSMENT OF PLANS AND PROGRAMMES</w:t>
            </w:r>
          </w:p>
        </w:tc>
        <w:tc>
          <w:tcPr>
            <w:tcW w:w="1817" w:type="dxa"/>
          </w:tcPr>
          <w:p>
            <w:pPr>
              <w:pStyle w:val="TableParagraph"/>
              <w:spacing w:before="79"/>
              <w:ind w:left="21"/>
              <w:rPr>
                <w:sz w:val="24"/>
              </w:rPr>
            </w:pPr>
            <w:r>
              <w:rPr>
                <w:sz w:val="24"/>
              </w:rPr>
              <w:t>REGULATIONS</w:t>
            </w:r>
          </w:p>
        </w:tc>
        <w:tc>
          <w:tcPr>
            <w:tcW w:w="434" w:type="dxa"/>
          </w:tcPr>
          <w:p>
            <w:pPr>
              <w:pStyle w:val="TableParagraph"/>
              <w:spacing w:before="79"/>
              <w:ind w:right="38"/>
              <w:jc w:val="right"/>
              <w:rPr>
                <w:sz w:val="24"/>
              </w:rPr>
            </w:pPr>
            <w:r>
              <w:rPr>
                <w:w w:val="99"/>
                <w:sz w:val="24"/>
              </w:rPr>
              <w:t>2</w:t>
            </w:r>
          </w:p>
        </w:tc>
      </w:tr>
      <w:tr>
        <w:trPr>
          <w:trHeight w:val="436" w:hRule="atLeast"/>
        </w:trPr>
        <w:tc>
          <w:tcPr>
            <w:tcW w:w="864" w:type="dxa"/>
          </w:tcPr>
          <w:p>
            <w:pPr>
              <w:pStyle w:val="TableParagraph"/>
              <w:spacing w:before="88"/>
              <w:ind w:left="23"/>
              <w:rPr>
                <w:sz w:val="23"/>
              </w:rPr>
            </w:pPr>
            <w:r>
              <w:rPr>
                <w:w w:val="105"/>
                <w:sz w:val="23"/>
              </w:rPr>
              <w:t>1.6</w:t>
            </w:r>
          </w:p>
        </w:tc>
        <w:tc>
          <w:tcPr>
            <w:tcW w:w="7591" w:type="dxa"/>
          </w:tcPr>
          <w:p>
            <w:pPr>
              <w:pStyle w:val="TableParagraph"/>
              <w:spacing w:before="79"/>
              <w:ind w:left="19"/>
              <w:rPr>
                <w:sz w:val="24"/>
              </w:rPr>
            </w:pPr>
            <w:r>
              <w:rPr>
                <w:sz w:val="24"/>
              </w:rPr>
              <w:t>EQUALITY IMPACT ASSESSMENT</w:t>
            </w:r>
          </w:p>
        </w:tc>
        <w:tc>
          <w:tcPr>
            <w:tcW w:w="1817" w:type="dxa"/>
          </w:tcPr>
          <w:p>
            <w:pPr>
              <w:pStyle w:val="TableParagraph"/>
              <w:rPr>
                <w:rFonts w:ascii="Times New Roman"/>
                <w:sz w:val="24"/>
              </w:rPr>
            </w:pPr>
          </w:p>
        </w:tc>
        <w:tc>
          <w:tcPr>
            <w:tcW w:w="434" w:type="dxa"/>
          </w:tcPr>
          <w:p>
            <w:pPr>
              <w:pStyle w:val="TableParagraph"/>
              <w:spacing w:before="79"/>
              <w:ind w:right="31"/>
              <w:jc w:val="right"/>
              <w:rPr>
                <w:sz w:val="24"/>
              </w:rPr>
            </w:pPr>
            <w:r>
              <w:rPr>
                <w:sz w:val="24"/>
              </w:rPr>
              <w:t>3</w:t>
            </w:r>
          </w:p>
        </w:tc>
      </w:tr>
      <w:tr>
        <w:trPr>
          <w:trHeight w:val="436" w:hRule="atLeast"/>
        </w:trPr>
        <w:tc>
          <w:tcPr>
            <w:tcW w:w="864" w:type="dxa"/>
          </w:tcPr>
          <w:p>
            <w:pPr>
              <w:pStyle w:val="TableParagraph"/>
              <w:spacing w:before="83"/>
              <w:ind w:left="23"/>
              <w:rPr>
                <w:sz w:val="23"/>
              </w:rPr>
            </w:pPr>
            <w:r>
              <w:rPr>
                <w:w w:val="105"/>
                <w:sz w:val="23"/>
              </w:rPr>
              <w:t>1.7</w:t>
            </w:r>
          </w:p>
        </w:tc>
        <w:tc>
          <w:tcPr>
            <w:tcW w:w="7591" w:type="dxa"/>
          </w:tcPr>
          <w:p>
            <w:pPr>
              <w:pStyle w:val="TableParagraph"/>
              <w:spacing w:before="74"/>
              <w:ind w:left="18"/>
              <w:rPr>
                <w:sz w:val="24"/>
              </w:rPr>
            </w:pPr>
            <w:r>
              <w:rPr>
                <w:sz w:val="24"/>
              </w:rPr>
              <w:t>FLOOD AND WATER MANAGEMENT ACT</w:t>
            </w:r>
          </w:p>
        </w:tc>
        <w:tc>
          <w:tcPr>
            <w:tcW w:w="1817" w:type="dxa"/>
          </w:tcPr>
          <w:p>
            <w:pPr>
              <w:pStyle w:val="TableParagraph"/>
              <w:rPr>
                <w:rFonts w:ascii="Times New Roman"/>
                <w:sz w:val="24"/>
              </w:rPr>
            </w:pPr>
          </w:p>
        </w:tc>
        <w:tc>
          <w:tcPr>
            <w:tcW w:w="434" w:type="dxa"/>
          </w:tcPr>
          <w:p>
            <w:pPr>
              <w:pStyle w:val="TableParagraph"/>
              <w:spacing w:before="74"/>
              <w:ind w:right="40"/>
              <w:jc w:val="right"/>
              <w:rPr>
                <w:sz w:val="24"/>
              </w:rPr>
            </w:pPr>
            <w:r>
              <w:rPr>
                <w:sz w:val="24"/>
              </w:rPr>
              <w:t>3</w:t>
            </w:r>
          </w:p>
        </w:tc>
      </w:tr>
      <w:tr>
        <w:trPr>
          <w:trHeight w:val="436" w:hRule="atLeast"/>
        </w:trPr>
        <w:tc>
          <w:tcPr>
            <w:tcW w:w="864" w:type="dxa"/>
          </w:tcPr>
          <w:p>
            <w:pPr>
              <w:pStyle w:val="TableParagraph"/>
              <w:spacing w:before="88"/>
              <w:ind w:left="23"/>
              <w:rPr>
                <w:sz w:val="23"/>
              </w:rPr>
            </w:pPr>
            <w:r>
              <w:rPr>
                <w:w w:val="105"/>
                <w:sz w:val="23"/>
              </w:rPr>
              <w:t>1.8</w:t>
            </w:r>
          </w:p>
        </w:tc>
        <w:tc>
          <w:tcPr>
            <w:tcW w:w="7591" w:type="dxa"/>
          </w:tcPr>
          <w:p>
            <w:pPr>
              <w:pStyle w:val="TableParagraph"/>
              <w:spacing w:before="79"/>
              <w:ind w:left="20"/>
              <w:rPr>
                <w:sz w:val="24"/>
              </w:rPr>
            </w:pPr>
            <w:r>
              <w:rPr>
                <w:sz w:val="24"/>
              </w:rPr>
              <w:t>NATIONAL FLOOD AND COASTAL EROSION RISK MANAGEMENT</w:t>
            </w:r>
          </w:p>
        </w:tc>
        <w:tc>
          <w:tcPr>
            <w:tcW w:w="1817" w:type="dxa"/>
          </w:tcPr>
          <w:p>
            <w:pPr>
              <w:pStyle w:val="TableParagraph"/>
              <w:spacing w:before="79"/>
              <w:ind w:left="86"/>
              <w:rPr>
                <w:sz w:val="24"/>
              </w:rPr>
            </w:pPr>
            <w:r>
              <w:rPr>
                <w:sz w:val="24"/>
              </w:rPr>
              <w:t>STRATEGY</w:t>
            </w:r>
          </w:p>
        </w:tc>
        <w:tc>
          <w:tcPr>
            <w:tcW w:w="434" w:type="dxa"/>
          </w:tcPr>
          <w:p>
            <w:pPr>
              <w:pStyle w:val="TableParagraph"/>
              <w:spacing w:before="79"/>
              <w:ind w:right="39"/>
              <w:jc w:val="right"/>
              <w:rPr>
                <w:sz w:val="24"/>
              </w:rPr>
            </w:pPr>
            <w:r>
              <w:rPr>
                <w:w w:val="103"/>
                <w:sz w:val="24"/>
              </w:rPr>
              <w:t>4</w:t>
            </w:r>
          </w:p>
        </w:tc>
      </w:tr>
      <w:tr>
        <w:trPr>
          <w:trHeight w:val="436" w:hRule="atLeast"/>
        </w:trPr>
        <w:tc>
          <w:tcPr>
            <w:tcW w:w="864" w:type="dxa"/>
          </w:tcPr>
          <w:p>
            <w:pPr>
              <w:pStyle w:val="TableParagraph"/>
              <w:spacing w:before="83"/>
              <w:ind w:left="23"/>
              <w:rPr>
                <w:sz w:val="23"/>
              </w:rPr>
            </w:pPr>
            <w:r>
              <w:rPr>
                <w:w w:val="105"/>
                <w:sz w:val="23"/>
              </w:rPr>
              <w:t>1.9</w:t>
            </w:r>
          </w:p>
        </w:tc>
        <w:tc>
          <w:tcPr>
            <w:tcW w:w="7591" w:type="dxa"/>
          </w:tcPr>
          <w:p>
            <w:pPr>
              <w:pStyle w:val="TableParagraph"/>
              <w:spacing w:before="74"/>
              <w:ind w:left="20"/>
              <w:rPr>
                <w:sz w:val="24"/>
              </w:rPr>
            </w:pPr>
            <w:r>
              <w:rPr>
                <w:sz w:val="24"/>
              </w:rPr>
              <w:t>LOCAL DEVELOPMENT</w:t>
            </w:r>
            <w:r>
              <w:rPr>
                <w:spacing w:val="64"/>
                <w:sz w:val="24"/>
              </w:rPr>
              <w:t> </w:t>
            </w:r>
            <w:r>
              <w:rPr>
                <w:sz w:val="24"/>
              </w:rPr>
              <w:t>FRAMEWORK</w:t>
            </w:r>
          </w:p>
        </w:tc>
        <w:tc>
          <w:tcPr>
            <w:tcW w:w="1817" w:type="dxa"/>
          </w:tcPr>
          <w:p>
            <w:pPr>
              <w:pStyle w:val="TableParagraph"/>
              <w:rPr>
                <w:rFonts w:ascii="Times New Roman"/>
                <w:sz w:val="24"/>
              </w:rPr>
            </w:pPr>
          </w:p>
        </w:tc>
        <w:tc>
          <w:tcPr>
            <w:tcW w:w="434" w:type="dxa"/>
          </w:tcPr>
          <w:p>
            <w:pPr>
              <w:pStyle w:val="TableParagraph"/>
              <w:spacing w:before="74"/>
              <w:ind w:right="29"/>
              <w:jc w:val="right"/>
              <w:rPr>
                <w:sz w:val="24"/>
              </w:rPr>
            </w:pPr>
            <w:r>
              <w:rPr>
                <w:w w:val="103"/>
                <w:sz w:val="24"/>
              </w:rPr>
              <w:t>4</w:t>
            </w:r>
          </w:p>
        </w:tc>
      </w:tr>
      <w:tr>
        <w:trPr>
          <w:trHeight w:val="436" w:hRule="atLeast"/>
        </w:trPr>
        <w:tc>
          <w:tcPr>
            <w:tcW w:w="864" w:type="dxa"/>
          </w:tcPr>
          <w:p>
            <w:pPr>
              <w:pStyle w:val="TableParagraph"/>
              <w:spacing w:before="97"/>
              <w:ind w:left="24"/>
              <w:rPr>
                <w:sz w:val="22"/>
              </w:rPr>
            </w:pPr>
            <w:r>
              <w:rPr>
                <w:w w:val="110"/>
                <w:sz w:val="22"/>
              </w:rPr>
              <w:t>1.10</w:t>
            </w:r>
          </w:p>
        </w:tc>
        <w:tc>
          <w:tcPr>
            <w:tcW w:w="7591" w:type="dxa"/>
          </w:tcPr>
          <w:p>
            <w:pPr>
              <w:pStyle w:val="TableParagraph"/>
              <w:spacing w:before="79"/>
              <w:ind w:left="20"/>
              <w:rPr>
                <w:sz w:val="24"/>
              </w:rPr>
            </w:pPr>
            <w:r>
              <w:rPr>
                <w:sz w:val="24"/>
              </w:rPr>
              <w:t>BEST COUNCIL PLAN 2018/19 - 2020/21</w:t>
            </w:r>
          </w:p>
        </w:tc>
        <w:tc>
          <w:tcPr>
            <w:tcW w:w="1817" w:type="dxa"/>
          </w:tcPr>
          <w:p>
            <w:pPr>
              <w:pStyle w:val="TableParagraph"/>
              <w:rPr>
                <w:rFonts w:ascii="Times New Roman"/>
                <w:sz w:val="24"/>
              </w:rPr>
            </w:pPr>
          </w:p>
        </w:tc>
        <w:tc>
          <w:tcPr>
            <w:tcW w:w="434" w:type="dxa"/>
          </w:tcPr>
          <w:p>
            <w:pPr>
              <w:pStyle w:val="TableParagraph"/>
              <w:spacing w:before="79"/>
              <w:ind w:right="42"/>
              <w:jc w:val="right"/>
              <w:rPr>
                <w:sz w:val="24"/>
              </w:rPr>
            </w:pPr>
            <w:r>
              <w:rPr>
                <w:w w:val="99"/>
                <w:sz w:val="24"/>
              </w:rPr>
              <w:t>5</w:t>
            </w:r>
          </w:p>
        </w:tc>
      </w:tr>
      <w:tr>
        <w:trPr>
          <w:trHeight w:val="436" w:hRule="atLeast"/>
        </w:trPr>
        <w:tc>
          <w:tcPr>
            <w:tcW w:w="864" w:type="dxa"/>
          </w:tcPr>
          <w:p>
            <w:pPr>
              <w:pStyle w:val="TableParagraph"/>
              <w:spacing w:before="93"/>
              <w:ind w:left="24"/>
              <w:rPr>
                <w:sz w:val="22"/>
              </w:rPr>
            </w:pPr>
            <w:r>
              <w:rPr>
                <w:w w:val="110"/>
                <w:sz w:val="22"/>
              </w:rPr>
              <w:t>1.11</w:t>
            </w:r>
          </w:p>
        </w:tc>
        <w:tc>
          <w:tcPr>
            <w:tcW w:w="7591" w:type="dxa"/>
          </w:tcPr>
          <w:p>
            <w:pPr>
              <w:pStyle w:val="TableParagraph"/>
              <w:spacing w:before="74"/>
              <w:ind w:left="20"/>
              <w:rPr>
                <w:sz w:val="24"/>
              </w:rPr>
            </w:pPr>
            <w:r>
              <w:rPr>
                <w:sz w:val="24"/>
              </w:rPr>
              <w:t>LEEDS INCLUSIVE GROWTH STRATEGY 2018 - 2023</w:t>
            </w:r>
          </w:p>
        </w:tc>
        <w:tc>
          <w:tcPr>
            <w:tcW w:w="1817" w:type="dxa"/>
          </w:tcPr>
          <w:p>
            <w:pPr>
              <w:pStyle w:val="TableParagraph"/>
              <w:rPr>
                <w:rFonts w:ascii="Times New Roman"/>
                <w:sz w:val="24"/>
              </w:rPr>
            </w:pPr>
          </w:p>
        </w:tc>
        <w:tc>
          <w:tcPr>
            <w:tcW w:w="434" w:type="dxa"/>
          </w:tcPr>
          <w:p>
            <w:pPr>
              <w:pStyle w:val="TableParagraph"/>
              <w:spacing w:before="74"/>
              <w:ind w:right="41"/>
              <w:jc w:val="right"/>
              <w:rPr>
                <w:sz w:val="24"/>
              </w:rPr>
            </w:pPr>
            <w:r>
              <w:rPr>
                <w:w w:val="99"/>
                <w:sz w:val="24"/>
              </w:rPr>
              <w:t>6</w:t>
            </w:r>
          </w:p>
        </w:tc>
      </w:tr>
      <w:tr>
        <w:trPr>
          <w:trHeight w:val="500" w:hRule="atLeast"/>
        </w:trPr>
        <w:tc>
          <w:tcPr>
            <w:tcW w:w="864" w:type="dxa"/>
          </w:tcPr>
          <w:p>
            <w:pPr>
              <w:pStyle w:val="TableParagraph"/>
              <w:spacing w:before="97"/>
              <w:ind w:left="24"/>
              <w:rPr>
                <w:sz w:val="22"/>
              </w:rPr>
            </w:pPr>
            <w:r>
              <w:rPr>
                <w:w w:val="110"/>
                <w:sz w:val="22"/>
              </w:rPr>
              <w:t>1.12</w:t>
            </w:r>
          </w:p>
        </w:tc>
        <w:tc>
          <w:tcPr>
            <w:tcW w:w="7591" w:type="dxa"/>
          </w:tcPr>
          <w:p>
            <w:pPr>
              <w:pStyle w:val="TableParagraph"/>
              <w:spacing w:before="79"/>
              <w:ind w:left="20"/>
              <w:rPr>
                <w:sz w:val="24"/>
              </w:rPr>
            </w:pPr>
            <w:r>
              <w:rPr>
                <w:sz w:val="24"/>
              </w:rPr>
              <w:t>NATIONAL INFRASTRUCTURE ASSESSMENT JULY 2018</w:t>
            </w:r>
          </w:p>
        </w:tc>
        <w:tc>
          <w:tcPr>
            <w:tcW w:w="1817" w:type="dxa"/>
          </w:tcPr>
          <w:p>
            <w:pPr>
              <w:pStyle w:val="TableParagraph"/>
              <w:rPr>
                <w:rFonts w:ascii="Times New Roman"/>
                <w:sz w:val="24"/>
              </w:rPr>
            </w:pPr>
          </w:p>
        </w:tc>
        <w:tc>
          <w:tcPr>
            <w:tcW w:w="434" w:type="dxa"/>
          </w:tcPr>
          <w:p>
            <w:pPr>
              <w:pStyle w:val="TableParagraph"/>
              <w:spacing w:before="79"/>
              <w:ind w:right="31"/>
              <w:jc w:val="right"/>
              <w:rPr>
                <w:sz w:val="24"/>
              </w:rPr>
            </w:pPr>
            <w:r>
              <w:rPr>
                <w:w w:val="99"/>
                <w:sz w:val="24"/>
              </w:rPr>
              <w:t>6</w:t>
            </w:r>
          </w:p>
        </w:tc>
      </w:tr>
      <w:tr>
        <w:trPr>
          <w:trHeight w:val="585" w:hRule="atLeast"/>
        </w:trPr>
        <w:tc>
          <w:tcPr>
            <w:tcW w:w="864" w:type="dxa"/>
            <w:tcBorders>
              <w:bottom w:val="single" w:sz="12" w:space="0" w:color="F43A4B"/>
            </w:tcBorders>
          </w:tcPr>
          <w:p>
            <w:pPr>
              <w:pStyle w:val="TableParagraph"/>
              <w:spacing w:before="136"/>
              <w:ind w:left="30"/>
              <w:rPr>
                <w:sz w:val="28"/>
              </w:rPr>
            </w:pPr>
            <w:r>
              <w:rPr>
                <w:color w:val="EB2838"/>
                <w:w w:val="99"/>
                <w:sz w:val="28"/>
              </w:rPr>
              <w:t>2</w:t>
            </w:r>
          </w:p>
        </w:tc>
        <w:tc>
          <w:tcPr>
            <w:tcW w:w="7591" w:type="dxa"/>
            <w:tcBorders>
              <w:bottom w:val="single" w:sz="12" w:space="0" w:color="F43A4B"/>
            </w:tcBorders>
          </w:tcPr>
          <w:p>
            <w:pPr>
              <w:pStyle w:val="TableParagraph"/>
              <w:spacing w:before="145"/>
              <w:ind w:left="18"/>
              <w:rPr>
                <w:sz w:val="27"/>
              </w:rPr>
            </w:pPr>
            <w:r>
              <w:rPr>
                <w:color w:val="ED423B"/>
                <w:w w:val="105"/>
                <w:sz w:val="27"/>
              </w:rPr>
              <w:t>LEEDS </w:t>
            </w:r>
            <w:r>
              <w:rPr>
                <w:color w:val="F62F36"/>
                <w:w w:val="105"/>
                <w:sz w:val="27"/>
              </w:rPr>
              <w:t>CITY </w:t>
            </w:r>
            <w:r>
              <w:rPr>
                <w:color w:val="E13426"/>
                <w:w w:val="105"/>
                <w:sz w:val="27"/>
              </w:rPr>
              <w:t>COUNCIL </w:t>
            </w:r>
            <w:r>
              <w:rPr>
                <w:color w:val="FF3A41"/>
                <w:w w:val="105"/>
                <w:sz w:val="27"/>
              </w:rPr>
              <w:t>ADMINISTRATIVE AREA</w:t>
            </w:r>
          </w:p>
        </w:tc>
        <w:tc>
          <w:tcPr>
            <w:tcW w:w="1817" w:type="dxa"/>
            <w:tcBorders>
              <w:bottom w:val="single" w:sz="12" w:space="0" w:color="F43A4B"/>
            </w:tcBorders>
          </w:tcPr>
          <w:p>
            <w:pPr>
              <w:pStyle w:val="TableParagraph"/>
              <w:rPr>
                <w:rFonts w:ascii="Times New Roman"/>
                <w:sz w:val="24"/>
              </w:rPr>
            </w:pPr>
          </w:p>
        </w:tc>
        <w:tc>
          <w:tcPr>
            <w:tcW w:w="434" w:type="dxa"/>
            <w:tcBorders>
              <w:bottom w:val="single" w:sz="12" w:space="0" w:color="F43A4B"/>
            </w:tcBorders>
          </w:tcPr>
          <w:p>
            <w:pPr>
              <w:pStyle w:val="TableParagraph"/>
              <w:spacing w:before="145"/>
              <w:ind w:right="38"/>
              <w:jc w:val="right"/>
              <w:rPr>
                <w:sz w:val="27"/>
              </w:rPr>
            </w:pPr>
            <w:r>
              <w:rPr>
                <w:color w:val="D64F3B"/>
                <w:w w:val="104"/>
                <w:sz w:val="27"/>
              </w:rPr>
              <w:t>8</w:t>
            </w:r>
          </w:p>
        </w:tc>
      </w:tr>
      <w:tr>
        <w:trPr>
          <w:trHeight w:val="582" w:hRule="atLeast"/>
        </w:trPr>
        <w:tc>
          <w:tcPr>
            <w:tcW w:w="864" w:type="dxa"/>
            <w:tcBorders>
              <w:top w:val="single" w:sz="12" w:space="0" w:color="F43A4B"/>
            </w:tcBorders>
          </w:tcPr>
          <w:p>
            <w:pPr>
              <w:pStyle w:val="TableParagraph"/>
              <w:spacing w:before="202"/>
              <w:ind w:left="30"/>
              <w:rPr>
                <w:sz w:val="27"/>
              </w:rPr>
            </w:pPr>
            <w:r>
              <w:rPr>
                <w:w w:val="95"/>
                <w:sz w:val="27"/>
              </w:rPr>
              <w:t>2.1</w:t>
            </w:r>
          </w:p>
        </w:tc>
        <w:tc>
          <w:tcPr>
            <w:tcW w:w="7591" w:type="dxa"/>
            <w:tcBorders>
              <w:top w:val="single" w:sz="12" w:space="0" w:color="F43A4B"/>
            </w:tcBorders>
          </w:tcPr>
          <w:p>
            <w:pPr>
              <w:pStyle w:val="TableParagraph"/>
              <w:spacing w:before="230"/>
              <w:ind w:left="19"/>
              <w:rPr>
                <w:sz w:val="24"/>
              </w:rPr>
            </w:pPr>
            <w:r>
              <w:rPr>
                <w:sz w:val="24"/>
              </w:rPr>
              <w:t>PHYSICAL CHARACTERISTICS</w:t>
            </w:r>
          </w:p>
        </w:tc>
        <w:tc>
          <w:tcPr>
            <w:tcW w:w="1817" w:type="dxa"/>
            <w:tcBorders>
              <w:top w:val="single" w:sz="12" w:space="0" w:color="F43A4B"/>
            </w:tcBorders>
          </w:tcPr>
          <w:p>
            <w:pPr>
              <w:pStyle w:val="TableParagraph"/>
              <w:rPr>
                <w:rFonts w:ascii="Times New Roman"/>
                <w:sz w:val="24"/>
              </w:rPr>
            </w:pPr>
          </w:p>
        </w:tc>
        <w:tc>
          <w:tcPr>
            <w:tcW w:w="434" w:type="dxa"/>
            <w:tcBorders>
              <w:top w:val="single" w:sz="12" w:space="0" w:color="F43A4B"/>
            </w:tcBorders>
          </w:tcPr>
          <w:p>
            <w:pPr>
              <w:pStyle w:val="TableParagraph"/>
              <w:spacing w:before="230"/>
              <w:ind w:right="40"/>
              <w:jc w:val="right"/>
              <w:rPr>
                <w:sz w:val="24"/>
              </w:rPr>
            </w:pPr>
            <w:r>
              <w:rPr>
                <w:sz w:val="24"/>
              </w:rPr>
              <w:t>8</w:t>
            </w:r>
          </w:p>
        </w:tc>
      </w:tr>
      <w:tr>
        <w:trPr>
          <w:trHeight w:val="436" w:hRule="atLeast"/>
        </w:trPr>
        <w:tc>
          <w:tcPr>
            <w:tcW w:w="864" w:type="dxa"/>
          </w:tcPr>
          <w:p>
            <w:pPr>
              <w:pStyle w:val="TableParagraph"/>
              <w:spacing w:before="61"/>
              <w:ind w:left="30"/>
              <w:rPr>
                <w:sz w:val="27"/>
              </w:rPr>
            </w:pPr>
            <w:r>
              <w:rPr>
                <w:sz w:val="27"/>
              </w:rPr>
              <w:t>2.2</w:t>
            </w:r>
          </w:p>
        </w:tc>
        <w:tc>
          <w:tcPr>
            <w:tcW w:w="7591" w:type="dxa"/>
          </w:tcPr>
          <w:p>
            <w:pPr>
              <w:pStyle w:val="TableParagraph"/>
              <w:spacing w:before="89"/>
              <w:ind w:left="19"/>
              <w:rPr>
                <w:sz w:val="24"/>
              </w:rPr>
            </w:pPr>
            <w:r>
              <w:rPr>
                <w:sz w:val="24"/>
              </w:rPr>
              <w:t>DRAINAGE FEATURES</w:t>
            </w:r>
          </w:p>
        </w:tc>
        <w:tc>
          <w:tcPr>
            <w:tcW w:w="1817" w:type="dxa"/>
          </w:tcPr>
          <w:p>
            <w:pPr>
              <w:pStyle w:val="TableParagraph"/>
              <w:rPr>
                <w:rFonts w:ascii="Times New Roman"/>
                <w:sz w:val="24"/>
              </w:rPr>
            </w:pPr>
          </w:p>
        </w:tc>
        <w:tc>
          <w:tcPr>
            <w:tcW w:w="434" w:type="dxa"/>
          </w:tcPr>
          <w:p>
            <w:pPr>
              <w:pStyle w:val="TableParagraph"/>
              <w:spacing w:before="89"/>
              <w:ind w:right="40"/>
              <w:jc w:val="right"/>
              <w:rPr>
                <w:sz w:val="24"/>
              </w:rPr>
            </w:pPr>
            <w:r>
              <w:rPr>
                <w:sz w:val="24"/>
              </w:rPr>
              <w:t>8</w:t>
            </w:r>
          </w:p>
        </w:tc>
      </w:tr>
      <w:tr>
        <w:trPr>
          <w:trHeight w:val="432" w:hRule="atLeast"/>
        </w:trPr>
        <w:tc>
          <w:tcPr>
            <w:tcW w:w="864" w:type="dxa"/>
          </w:tcPr>
          <w:p>
            <w:pPr>
              <w:pStyle w:val="TableParagraph"/>
              <w:spacing w:before="56"/>
              <w:ind w:left="30"/>
              <w:rPr>
                <w:sz w:val="27"/>
              </w:rPr>
            </w:pPr>
            <w:r>
              <w:rPr>
                <w:w w:val="95"/>
                <w:sz w:val="27"/>
              </w:rPr>
              <w:t>2.3</w:t>
            </w:r>
          </w:p>
        </w:tc>
        <w:tc>
          <w:tcPr>
            <w:tcW w:w="7591" w:type="dxa"/>
          </w:tcPr>
          <w:p>
            <w:pPr>
              <w:pStyle w:val="TableParagraph"/>
              <w:spacing w:before="84"/>
              <w:ind w:left="17"/>
              <w:rPr>
                <w:sz w:val="24"/>
              </w:rPr>
            </w:pPr>
            <w:r>
              <w:rPr>
                <w:sz w:val="24"/>
              </w:rPr>
              <w:t>SOURCES OF FLOOD RISK</w:t>
            </w:r>
          </w:p>
        </w:tc>
        <w:tc>
          <w:tcPr>
            <w:tcW w:w="1817" w:type="dxa"/>
          </w:tcPr>
          <w:p>
            <w:pPr>
              <w:pStyle w:val="TableParagraph"/>
              <w:rPr>
                <w:rFonts w:ascii="Times New Roman"/>
                <w:sz w:val="24"/>
              </w:rPr>
            </w:pPr>
          </w:p>
        </w:tc>
        <w:tc>
          <w:tcPr>
            <w:tcW w:w="434" w:type="dxa"/>
          </w:tcPr>
          <w:p>
            <w:pPr>
              <w:pStyle w:val="TableParagraph"/>
              <w:spacing w:before="84"/>
              <w:ind w:right="30"/>
              <w:jc w:val="right"/>
              <w:rPr>
                <w:sz w:val="24"/>
              </w:rPr>
            </w:pPr>
            <w:r>
              <w:rPr>
                <w:sz w:val="24"/>
              </w:rPr>
              <w:t>8</w:t>
            </w:r>
          </w:p>
        </w:tc>
      </w:tr>
      <w:tr>
        <w:trPr>
          <w:trHeight w:val="442" w:hRule="atLeast"/>
        </w:trPr>
        <w:tc>
          <w:tcPr>
            <w:tcW w:w="864" w:type="dxa"/>
          </w:tcPr>
          <w:p>
            <w:pPr>
              <w:pStyle w:val="TableParagraph"/>
              <w:spacing w:before="56"/>
              <w:ind w:left="30"/>
              <w:rPr>
                <w:sz w:val="28"/>
              </w:rPr>
            </w:pPr>
            <w:r>
              <w:rPr>
                <w:w w:val="95"/>
                <w:sz w:val="28"/>
              </w:rPr>
              <w:t>2.4</w:t>
            </w:r>
          </w:p>
        </w:tc>
        <w:tc>
          <w:tcPr>
            <w:tcW w:w="7591" w:type="dxa"/>
          </w:tcPr>
          <w:p>
            <w:pPr>
              <w:pStyle w:val="TableParagraph"/>
              <w:spacing w:before="93"/>
              <w:ind w:left="18"/>
              <w:rPr>
                <w:sz w:val="24"/>
              </w:rPr>
            </w:pPr>
            <w:r>
              <w:rPr>
                <w:sz w:val="24"/>
              </w:rPr>
              <w:t>FLOODING ISSUES</w:t>
            </w:r>
          </w:p>
        </w:tc>
        <w:tc>
          <w:tcPr>
            <w:tcW w:w="1817" w:type="dxa"/>
          </w:tcPr>
          <w:p>
            <w:pPr>
              <w:pStyle w:val="TableParagraph"/>
              <w:rPr>
                <w:rFonts w:ascii="Times New Roman"/>
                <w:sz w:val="24"/>
              </w:rPr>
            </w:pPr>
          </w:p>
        </w:tc>
        <w:tc>
          <w:tcPr>
            <w:tcW w:w="434" w:type="dxa"/>
          </w:tcPr>
          <w:p>
            <w:pPr>
              <w:pStyle w:val="TableParagraph"/>
              <w:spacing w:before="93"/>
              <w:ind w:right="40"/>
              <w:jc w:val="right"/>
              <w:rPr>
                <w:sz w:val="24"/>
              </w:rPr>
            </w:pPr>
            <w:r>
              <w:rPr>
                <w:sz w:val="24"/>
              </w:rPr>
              <w:t>9</w:t>
            </w:r>
          </w:p>
        </w:tc>
      </w:tr>
      <w:tr>
        <w:trPr>
          <w:trHeight w:val="435" w:hRule="atLeast"/>
        </w:trPr>
        <w:tc>
          <w:tcPr>
            <w:tcW w:w="864" w:type="dxa"/>
          </w:tcPr>
          <w:p>
            <w:pPr>
              <w:pStyle w:val="TableParagraph"/>
              <w:spacing w:before="55"/>
              <w:ind w:left="30"/>
              <w:rPr>
                <w:sz w:val="27"/>
              </w:rPr>
            </w:pPr>
            <w:r>
              <w:rPr>
                <w:w w:val="95"/>
                <w:sz w:val="27"/>
              </w:rPr>
              <w:t>2.4.1</w:t>
            </w:r>
          </w:p>
        </w:tc>
        <w:tc>
          <w:tcPr>
            <w:tcW w:w="7591" w:type="dxa"/>
          </w:tcPr>
          <w:p>
            <w:pPr>
              <w:pStyle w:val="TableParagraph"/>
              <w:spacing w:before="83"/>
              <w:ind w:left="19"/>
              <w:rPr>
                <w:sz w:val="24"/>
              </w:rPr>
            </w:pPr>
            <w:r>
              <w:rPr>
                <w:sz w:val="24"/>
              </w:rPr>
              <w:t>PREVIOUSLY REPORTED</w:t>
            </w:r>
          </w:p>
        </w:tc>
        <w:tc>
          <w:tcPr>
            <w:tcW w:w="1817" w:type="dxa"/>
          </w:tcPr>
          <w:p>
            <w:pPr>
              <w:pStyle w:val="TableParagraph"/>
              <w:rPr>
                <w:rFonts w:ascii="Times New Roman"/>
                <w:sz w:val="24"/>
              </w:rPr>
            </w:pPr>
          </w:p>
        </w:tc>
        <w:tc>
          <w:tcPr>
            <w:tcW w:w="434" w:type="dxa"/>
          </w:tcPr>
          <w:p>
            <w:pPr>
              <w:pStyle w:val="TableParagraph"/>
              <w:spacing w:before="83"/>
              <w:ind w:right="40"/>
              <w:jc w:val="right"/>
              <w:rPr>
                <w:sz w:val="24"/>
              </w:rPr>
            </w:pPr>
            <w:r>
              <w:rPr>
                <w:sz w:val="24"/>
              </w:rPr>
              <w:t>9</w:t>
            </w:r>
          </w:p>
        </w:tc>
      </w:tr>
      <w:tr>
        <w:trPr>
          <w:trHeight w:val="441" w:hRule="atLeast"/>
        </w:trPr>
        <w:tc>
          <w:tcPr>
            <w:tcW w:w="864" w:type="dxa"/>
          </w:tcPr>
          <w:p>
            <w:pPr>
              <w:pStyle w:val="TableParagraph"/>
              <w:spacing w:before="61"/>
              <w:ind w:left="30"/>
              <w:rPr>
                <w:sz w:val="27"/>
              </w:rPr>
            </w:pPr>
            <w:r>
              <w:rPr>
                <w:sz w:val="27"/>
              </w:rPr>
              <w:t>2.4.2</w:t>
            </w:r>
          </w:p>
        </w:tc>
        <w:tc>
          <w:tcPr>
            <w:tcW w:w="7591" w:type="dxa"/>
          </w:tcPr>
          <w:p>
            <w:pPr>
              <w:pStyle w:val="TableParagraph"/>
              <w:spacing w:before="89"/>
              <w:ind w:left="16"/>
              <w:rPr>
                <w:sz w:val="24"/>
              </w:rPr>
            </w:pPr>
            <w:r>
              <w:rPr>
                <w:sz w:val="24"/>
              </w:rPr>
              <w:t>IDENTIFIED SINCE 2011</w:t>
            </w:r>
          </w:p>
        </w:tc>
        <w:tc>
          <w:tcPr>
            <w:tcW w:w="1817" w:type="dxa"/>
          </w:tcPr>
          <w:p>
            <w:pPr>
              <w:pStyle w:val="TableParagraph"/>
              <w:rPr>
                <w:rFonts w:ascii="Times New Roman"/>
                <w:sz w:val="24"/>
              </w:rPr>
            </w:pPr>
          </w:p>
        </w:tc>
        <w:tc>
          <w:tcPr>
            <w:tcW w:w="434" w:type="dxa"/>
          </w:tcPr>
          <w:p>
            <w:pPr>
              <w:pStyle w:val="TableParagraph"/>
              <w:spacing w:before="89"/>
              <w:ind w:right="43"/>
              <w:jc w:val="right"/>
              <w:rPr>
                <w:sz w:val="24"/>
              </w:rPr>
            </w:pPr>
            <w:r>
              <w:rPr>
                <w:w w:val="95"/>
                <w:sz w:val="24"/>
              </w:rPr>
              <w:t>10</w:t>
            </w:r>
          </w:p>
        </w:tc>
      </w:tr>
      <w:tr>
        <w:trPr>
          <w:trHeight w:val="436" w:hRule="atLeast"/>
        </w:trPr>
        <w:tc>
          <w:tcPr>
            <w:tcW w:w="864" w:type="dxa"/>
          </w:tcPr>
          <w:p>
            <w:pPr>
              <w:pStyle w:val="TableParagraph"/>
              <w:spacing w:before="61"/>
              <w:ind w:left="30"/>
              <w:rPr>
                <w:sz w:val="27"/>
              </w:rPr>
            </w:pPr>
            <w:r>
              <w:rPr>
                <w:w w:val="95"/>
                <w:sz w:val="27"/>
              </w:rPr>
              <w:t>2.5</w:t>
            </w:r>
          </w:p>
        </w:tc>
        <w:tc>
          <w:tcPr>
            <w:tcW w:w="7591" w:type="dxa"/>
          </w:tcPr>
          <w:p>
            <w:pPr>
              <w:pStyle w:val="TableParagraph"/>
              <w:spacing w:before="89"/>
              <w:ind w:left="18"/>
              <w:rPr>
                <w:sz w:val="24"/>
              </w:rPr>
            </w:pPr>
            <w:r>
              <w:rPr>
                <w:sz w:val="24"/>
              </w:rPr>
              <w:t>FLOOD MITIGATION</w:t>
            </w:r>
          </w:p>
        </w:tc>
        <w:tc>
          <w:tcPr>
            <w:tcW w:w="1817" w:type="dxa"/>
          </w:tcPr>
          <w:p>
            <w:pPr>
              <w:pStyle w:val="TableParagraph"/>
              <w:rPr>
                <w:rFonts w:ascii="Times New Roman"/>
                <w:sz w:val="24"/>
              </w:rPr>
            </w:pPr>
          </w:p>
        </w:tc>
        <w:tc>
          <w:tcPr>
            <w:tcW w:w="434" w:type="dxa"/>
          </w:tcPr>
          <w:p>
            <w:pPr>
              <w:pStyle w:val="TableParagraph"/>
              <w:spacing w:before="98"/>
              <w:ind w:right="40"/>
              <w:jc w:val="right"/>
              <w:rPr>
                <w:sz w:val="23"/>
              </w:rPr>
            </w:pPr>
            <w:r>
              <w:rPr>
                <w:sz w:val="23"/>
              </w:rPr>
              <w:t>10</w:t>
            </w:r>
          </w:p>
        </w:tc>
      </w:tr>
      <w:tr>
        <w:trPr>
          <w:trHeight w:val="436" w:hRule="atLeast"/>
        </w:trPr>
        <w:tc>
          <w:tcPr>
            <w:tcW w:w="864" w:type="dxa"/>
          </w:tcPr>
          <w:p>
            <w:pPr>
              <w:pStyle w:val="TableParagraph"/>
              <w:spacing w:before="56"/>
              <w:ind w:left="30"/>
              <w:rPr>
                <w:sz w:val="27"/>
              </w:rPr>
            </w:pPr>
            <w:r>
              <w:rPr>
                <w:w w:val="95"/>
                <w:sz w:val="27"/>
              </w:rPr>
              <w:t>2.5.1</w:t>
            </w:r>
          </w:p>
        </w:tc>
        <w:tc>
          <w:tcPr>
            <w:tcW w:w="7591" w:type="dxa"/>
          </w:tcPr>
          <w:p>
            <w:pPr>
              <w:pStyle w:val="TableParagraph"/>
              <w:spacing w:before="84"/>
              <w:ind w:left="20"/>
              <w:rPr>
                <w:sz w:val="24"/>
              </w:rPr>
            </w:pPr>
            <w:r>
              <w:rPr>
                <w:sz w:val="24"/>
              </w:rPr>
              <w:t>MEASURES COMPLETED SINCE 2011</w:t>
            </w:r>
          </w:p>
        </w:tc>
        <w:tc>
          <w:tcPr>
            <w:tcW w:w="1817" w:type="dxa"/>
          </w:tcPr>
          <w:p>
            <w:pPr>
              <w:pStyle w:val="TableParagraph"/>
              <w:rPr>
                <w:rFonts w:ascii="Times New Roman"/>
                <w:sz w:val="24"/>
              </w:rPr>
            </w:pPr>
          </w:p>
        </w:tc>
        <w:tc>
          <w:tcPr>
            <w:tcW w:w="434" w:type="dxa"/>
          </w:tcPr>
          <w:p>
            <w:pPr>
              <w:pStyle w:val="TableParagraph"/>
              <w:spacing w:before="84"/>
              <w:ind w:right="39"/>
              <w:jc w:val="right"/>
              <w:rPr>
                <w:sz w:val="24"/>
              </w:rPr>
            </w:pPr>
            <w:r>
              <w:rPr>
                <w:sz w:val="24"/>
              </w:rPr>
              <w:t>10</w:t>
            </w:r>
          </w:p>
        </w:tc>
      </w:tr>
      <w:tr>
        <w:trPr>
          <w:trHeight w:val="513" w:hRule="atLeast"/>
        </w:trPr>
        <w:tc>
          <w:tcPr>
            <w:tcW w:w="864" w:type="dxa"/>
          </w:tcPr>
          <w:p>
            <w:pPr>
              <w:pStyle w:val="TableParagraph"/>
              <w:spacing w:before="61"/>
              <w:ind w:left="30"/>
              <w:rPr>
                <w:sz w:val="27"/>
              </w:rPr>
            </w:pPr>
            <w:r>
              <w:rPr>
                <w:sz w:val="27"/>
              </w:rPr>
              <w:t>2.5.2</w:t>
            </w:r>
          </w:p>
        </w:tc>
        <w:tc>
          <w:tcPr>
            <w:tcW w:w="7591" w:type="dxa"/>
          </w:tcPr>
          <w:p>
            <w:pPr>
              <w:pStyle w:val="TableParagraph"/>
              <w:spacing w:before="89"/>
              <w:ind w:left="16"/>
              <w:rPr>
                <w:sz w:val="24"/>
              </w:rPr>
            </w:pPr>
            <w:r>
              <w:rPr>
                <w:sz w:val="24"/>
              </w:rPr>
              <w:t>CURRENT MEASURES</w:t>
            </w:r>
          </w:p>
        </w:tc>
        <w:tc>
          <w:tcPr>
            <w:tcW w:w="1817" w:type="dxa"/>
          </w:tcPr>
          <w:p>
            <w:pPr>
              <w:pStyle w:val="TableParagraph"/>
              <w:rPr>
                <w:rFonts w:ascii="Times New Roman"/>
                <w:sz w:val="24"/>
              </w:rPr>
            </w:pPr>
          </w:p>
        </w:tc>
        <w:tc>
          <w:tcPr>
            <w:tcW w:w="434" w:type="dxa"/>
          </w:tcPr>
          <w:p>
            <w:pPr>
              <w:pStyle w:val="TableParagraph"/>
              <w:spacing w:before="89"/>
              <w:ind w:right="41"/>
              <w:jc w:val="right"/>
              <w:rPr>
                <w:sz w:val="24"/>
              </w:rPr>
            </w:pPr>
            <w:r>
              <w:rPr>
                <w:w w:val="95"/>
                <w:sz w:val="24"/>
              </w:rPr>
              <w:t>12</w:t>
            </w:r>
          </w:p>
        </w:tc>
      </w:tr>
      <w:tr>
        <w:trPr>
          <w:trHeight w:val="582" w:hRule="atLeast"/>
        </w:trPr>
        <w:tc>
          <w:tcPr>
            <w:tcW w:w="864" w:type="dxa"/>
            <w:tcBorders>
              <w:bottom w:val="single" w:sz="12" w:space="0" w:color="F43A4B"/>
            </w:tcBorders>
          </w:tcPr>
          <w:p>
            <w:pPr>
              <w:pStyle w:val="TableParagraph"/>
              <w:spacing w:before="142"/>
              <w:ind w:left="27"/>
              <w:rPr>
                <w:sz w:val="27"/>
              </w:rPr>
            </w:pPr>
            <w:r>
              <w:rPr>
                <w:color w:val="FF3F31"/>
                <w:w w:val="104"/>
                <w:sz w:val="27"/>
              </w:rPr>
              <w:t>3</w:t>
            </w:r>
          </w:p>
        </w:tc>
        <w:tc>
          <w:tcPr>
            <w:tcW w:w="7591" w:type="dxa"/>
            <w:tcBorders>
              <w:bottom w:val="single" w:sz="12" w:space="0" w:color="F43A4B"/>
            </w:tcBorders>
          </w:tcPr>
          <w:p>
            <w:pPr>
              <w:pStyle w:val="TableParagraph"/>
              <w:spacing w:before="133"/>
              <w:ind w:left="16"/>
              <w:rPr>
                <w:sz w:val="28"/>
              </w:rPr>
            </w:pPr>
            <w:r>
              <w:rPr>
                <w:color w:val="FF4638"/>
                <w:sz w:val="28"/>
              </w:rPr>
              <w:t>DUTIES </w:t>
            </w:r>
            <w:r>
              <w:rPr>
                <w:color w:val="FF462D"/>
                <w:sz w:val="28"/>
              </w:rPr>
              <w:t>OF </w:t>
            </w:r>
            <w:r>
              <w:rPr>
                <w:color w:val="FF314D"/>
                <w:sz w:val="28"/>
              </w:rPr>
              <w:t>RISK </w:t>
            </w:r>
            <w:r>
              <w:rPr>
                <w:color w:val="FF3B46"/>
                <w:sz w:val="28"/>
              </w:rPr>
              <w:t>MANAGEMENT</w:t>
            </w:r>
            <w:r>
              <w:rPr>
                <w:color w:val="FF3B46"/>
                <w:spacing w:val="58"/>
                <w:sz w:val="28"/>
              </w:rPr>
              <w:t> </w:t>
            </w:r>
            <w:r>
              <w:rPr>
                <w:color w:val="FF4942"/>
                <w:sz w:val="28"/>
              </w:rPr>
              <w:t>AUTHORITIES</w:t>
            </w:r>
          </w:p>
        </w:tc>
        <w:tc>
          <w:tcPr>
            <w:tcW w:w="1817" w:type="dxa"/>
            <w:tcBorders>
              <w:bottom w:val="single" w:sz="12" w:space="0" w:color="F43A4B"/>
            </w:tcBorders>
          </w:tcPr>
          <w:p>
            <w:pPr>
              <w:pStyle w:val="TableParagraph"/>
              <w:rPr>
                <w:rFonts w:ascii="Times New Roman"/>
                <w:sz w:val="24"/>
              </w:rPr>
            </w:pPr>
          </w:p>
        </w:tc>
        <w:tc>
          <w:tcPr>
            <w:tcW w:w="434" w:type="dxa"/>
            <w:tcBorders>
              <w:bottom w:val="single" w:sz="12" w:space="0" w:color="F43A4B"/>
            </w:tcBorders>
          </w:tcPr>
          <w:p>
            <w:pPr>
              <w:pStyle w:val="TableParagraph"/>
              <w:spacing w:before="133"/>
              <w:ind w:right="39"/>
              <w:jc w:val="right"/>
              <w:rPr>
                <w:sz w:val="28"/>
              </w:rPr>
            </w:pPr>
            <w:r>
              <w:rPr>
                <w:color w:val="FF3152"/>
                <w:sz w:val="28"/>
              </w:rPr>
              <w:t>16</w:t>
            </w:r>
          </w:p>
        </w:tc>
      </w:tr>
      <w:tr>
        <w:trPr>
          <w:trHeight w:val="506" w:hRule="atLeast"/>
        </w:trPr>
        <w:tc>
          <w:tcPr>
            <w:tcW w:w="864" w:type="dxa"/>
            <w:tcBorders>
              <w:top w:val="single" w:sz="12" w:space="0" w:color="F43A4B"/>
            </w:tcBorders>
          </w:tcPr>
          <w:p>
            <w:pPr>
              <w:pStyle w:val="TableParagraph"/>
              <w:spacing w:before="9"/>
              <w:rPr>
                <w:rFonts w:ascii="Times New Roman"/>
                <w:sz w:val="20"/>
              </w:rPr>
            </w:pPr>
          </w:p>
          <w:p>
            <w:pPr>
              <w:pStyle w:val="TableParagraph"/>
              <w:spacing w:line="247" w:lineRule="exact"/>
              <w:ind w:left="28"/>
              <w:rPr>
                <w:sz w:val="23"/>
              </w:rPr>
            </w:pPr>
            <w:r>
              <w:rPr>
                <w:sz w:val="23"/>
              </w:rPr>
              <w:t>3.1</w:t>
            </w:r>
          </w:p>
        </w:tc>
        <w:tc>
          <w:tcPr>
            <w:tcW w:w="7591" w:type="dxa"/>
            <w:tcBorders>
              <w:top w:val="single" w:sz="12" w:space="0" w:color="F43A4B"/>
            </w:tcBorders>
          </w:tcPr>
          <w:p>
            <w:pPr>
              <w:pStyle w:val="TableParagraph"/>
              <w:spacing w:line="256" w:lineRule="exact" w:before="230"/>
              <w:ind w:left="16"/>
              <w:rPr>
                <w:sz w:val="24"/>
              </w:rPr>
            </w:pPr>
            <w:r>
              <w:rPr>
                <w:sz w:val="24"/>
              </w:rPr>
              <w:t>INTRODUCTION</w:t>
            </w:r>
          </w:p>
        </w:tc>
        <w:tc>
          <w:tcPr>
            <w:tcW w:w="1817" w:type="dxa"/>
            <w:tcBorders>
              <w:top w:val="single" w:sz="12" w:space="0" w:color="F43A4B"/>
            </w:tcBorders>
          </w:tcPr>
          <w:p>
            <w:pPr>
              <w:pStyle w:val="TableParagraph"/>
              <w:rPr>
                <w:rFonts w:ascii="Times New Roman"/>
                <w:sz w:val="24"/>
              </w:rPr>
            </w:pPr>
          </w:p>
        </w:tc>
        <w:tc>
          <w:tcPr>
            <w:tcW w:w="434" w:type="dxa"/>
            <w:tcBorders>
              <w:top w:val="single" w:sz="12" w:space="0" w:color="F43A4B"/>
            </w:tcBorders>
          </w:tcPr>
          <w:p>
            <w:pPr>
              <w:pStyle w:val="TableParagraph"/>
              <w:spacing w:before="9"/>
              <w:rPr>
                <w:rFonts w:ascii="Times New Roman"/>
                <w:sz w:val="20"/>
              </w:rPr>
            </w:pPr>
          </w:p>
          <w:p>
            <w:pPr>
              <w:pStyle w:val="TableParagraph"/>
              <w:spacing w:line="247" w:lineRule="exact"/>
              <w:ind w:right="40"/>
              <w:jc w:val="right"/>
              <w:rPr>
                <w:sz w:val="23"/>
              </w:rPr>
            </w:pPr>
            <w:r>
              <w:rPr>
                <w:w w:val="105"/>
                <w:sz w:val="23"/>
              </w:rPr>
              <w:t>16</w:t>
            </w:r>
          </w:p>
        </w:tc>
      </w:tr>
    </w:tbl>
    <w:p>
      <w:pPr>
        <w:spacing w:after="0" w:line="247" w:lineRule="exact"/>
        <w:jc w:val="right"/>
        <w:rPr>
          <w:sz w:val="23"/>
        </w:rPr>
        <w:sectPr>
          <w:footerReference w:type="default" r:id="rId25"/>
          <w:pgSz w:w="11920" w:h="16850"/>
          <w:pgMar w:footer="1246" w:header="0" w:top="580" w:bottom="1440" w:left="420" w:right="5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8"/>
        </w:rPr>
      </w:pPr>
    </w:p>
    <w:p>
      <w:pPr>
        <w:pStyle w:val="Heading3"/>
        <w:numPr>
          <w:ilvl w:val="1"/>
          <w:numId w:val="1"/>
        </w:numPr>
        <w:tabs>
          <w:tab w:pos="1002" w:val="left" w:leader="none"/>
          <w:tab w:pos="1003" w:val="left" w:leader="none"/>
          <w:tab w:pos="10778" w:val="right" w:leader="none"/>
        </w:tabs>
        <w:spacing w:line="240" w:lineRule="auto" w:before="93" w:after="0"/>
        <w:ind w:left="1002" w:right="0" w:hanging="857"/>
        <w:jc w:val="left"/>
      </w:pPr>
      <w:r>
        <w:rPr/>
        <w:pict>
          <v:group style="position:absolute;margin-left:537.554504pt;margin-top:-50.568653pt;width:5.8pt;height:34.6pt;mso-position-horizontal-relative:page;mso-position-vertical-relative:paragraph;z-index:1432" coordorigin="10751,-1011" coordsize="116,692">
            <v:shape style="position:absolute;left:10751;top:-1012;width:116;height:39" type="#_x0000_t75" stroked="false">
              <v:imagedata r:id="rId27" o:title=""/>
            </v:shape>
            <v:shape style="position:absolute;left:10827;top:-398;width:39;height:77" type="#_x0000_t75" stroked="false">
              <v:imagedata r:id="rId28" o:title=""/>
            </v:shape>
            <v:line style="position:absolute" from="10804,-1011" to="10804,-330" stroked="true" strokeweight="5.279551pt" strokecolor="#d85970">
              <v:stroke dashstyle="solid"/>
            </v:line>
            <w10:wrap type="none"/>
          </v:group>
        </w:pict>
      </w:r>
      <w:bookmarkStart w:name="Leeds LFRMS 2018 Update_Page_08" w:id="8"/>
      <w:bookmarkEnd w:id="8"/>
      <w:r>
        <w:rPr/>
      </w:r>
      <w:bookmarkStart w:name="Leeds LFRMS 2018 Update_Page_08" w:id="9"/>
      <w:bookmarkEnd w:id="9"/>
      <w:r>
        <w:rPr/>
        <w:t>LEED</w:t>
      </w:r>
      <w:r>
        <w:rPr/>
        <w:t>S</w:t>
      </w:r>
      <w:r>
        <w:rPr>
          <w:spacing w:val="-3"/>
        </w:rPr>
        <w:t> </w:t>
      </w:r>
      <w:r>
        <w:rPr/>
        <w:t>CITY</w:t>
      </w:r>
      <w:r>
        <w:rPr>
          <w:spacing w:val="5"/>
        </w:rPr>
        <w:t> </w:t>
      </w:r>
      <w:r>
        <w:rPr/>
        <w:t>COUNCIL</w:t>
        <w:tab/>
      </w:r>
      <w:r>
        <w:rPr>
          <w:sz w:val="23"/>
        </w:rPr>
        <w:t>16</w:t>
      </w:r>
    </w:p>
    <w:p>
      <w:pPr>
        <w:pStyle w:val="Heading3"/>
        <w:numPr>
          <w:ilvl w:val="1"/>
          <w:numId w:val="1"/>
        </w:numPr>
        <w:tabs>
          <w:tab w:pos="1000" w:val="left" w:leader="none"/>
          <w:tab w:pos="1001" w:val="left" w:leader="none"/>
          <w:tab w:pos="10781" w:val="right" w:leader="none"/>
        </w:tabs>
        <w:spacing w:line="240" w:lineRule="auto" w:before="156" w:after="0"/>
        <w:ind w:left="1000" w:right="0" w:hanging="855"/>
        <w:jc w:val="left"/>
      </w:pPr>
      <w:r>
        <w:rPr/>
        <w:t>ENVIRONMENT</w:t>
      </w:r>
      <w:r>
        <w:rPr>
          <w:spacing w:val="54"/>
        </w:rPr>
        <w:t> </w:t>
      </w:r>
      <w:r>
        <w:rPr/>
        <w:t>AGENCY</w:t>
        <w:tab/>
      </w:r>
      <w:r>
        <w:rPr>
          <w:sz w:val="23"/>
        </w:rPr>
        <w:t>17</w:t>
      </w:r>
    </w:p>
    <w:p>
      <w:pPr>
        <w:pStyle w:val="Heading3"/>
        <w:numPr>
          <w:ilvl w:val="1"/>
          <w:numId w:val="1"/>
        </w:numPr>
        <w:tabs>
          <w:tab w:pos="1009" w:val="left" w:leader="none"/>
          <w:tab w:pos="1010" w:val="left" w:leader="none"/>
          <w:tab w:pos="10781" w:val="right" w:leader="none"/>
        </w:tabs>
        <w:spacing w:line="240" w:lineRule="auto" w:before="165" w:after="0"/>
        <w:ind w:left="1009" w:right="0" w:hanging="864"/>
        <w:jc w:val="left"/>
      </w:pPr>
      <w:r>
        <w:rPr/>
        <w:t>YORKSHIRE WATER</w:t>
      </w:r>
      <w:r>
        <w:rPr>
          <w:spacing w:val="28"/>
        </w:rPr>
        <w:t> </w:t>
      </w:r>
      <w:r>
        <w:rPr/>
        <w:t>SERVICES</w:t>
      </w:r>
      <w:r>
        <w:rPr>
          <w:spacing w:val="22"/>
        </w:rPr>
        <w:t> </w:t>
      </w:r>
      <w:r>
        <w:rPr/>
        <w:t>LIMITED</w:t>
        <w:tab/>
      </w:r>
      <w:r>
        <w:rPr>
          <w:sz w:val="23"/>
        </w:rPr>
        <w:t>18</w:t>
      </w:r>
    </w:p>
    <w:p>
      <w:pPr>
        <w:pStyle w:val="Heading3"/>
        <w:numPr>
          <w:ilvl w:val="1"/>
          <w:numId w:val="1"/>
        </w:numPr>
        <w:tabs>
          <w:tab w:pos="1000" w:val="left" w:leader="none"/>
          <w:tab w:pos="1002" w:val="left" w:leader="none"/>
          <w:tab w:pos="10781" w:val="right" w:leader="none"/>
        </w:tabs>
        <w:spacing w:line="240" w:lineRule="auto" w:before="166" w:after="0"/>
        <w:ind w:left="1001" w:right="0" w:hanging="856"/>
        <w:jc w:val="left"/>
      </w:pPr>
      <w:r>
        <w:rPr/>
        <w:t>AINSTY  INTERNAL</w:t>
      </w:r>
      <w:r>
        <w:rPr>
          <w:spacing w:val="-18"/>
        </w:rPr>
        <w:t> </w:t>
      </w:r>
      <w:r>
        <w:rPr/>
        <w:t>DRAINAGE</w:t>
      </w:r>
      <w:r>
        <w:rPr>
          <w:spacing w:val="11"/>
        </w:rPr>
        <w:t> </w:t>
      </w:r>
      <w:r>
        <w:rPr/>
        <w:t>BOARD</w:t>
        <w:tab/>
      </w:r>
      <w:r>
        <w:rPr>
          <w:sz w:val="23"/>
        </w:rPr>
        <w:t>18</w:t>
      </w:r>
    </w:p>
    <w:p>
      <w:pPr>
        <w:pStyle w:val="Heading3"/>
        <w:numPr>
          <w:ilvl w:val="1"/>
          <w:numId w:val="1"/>
        </w:numPr>
        <w:tabs>
          <w:tab w:pos="1000" w:val="left" w:leader="none"/>
          <w:tab w:pos="1001" w:val="left" w:leader="none"/>
          <w:tab w:pos="10778" w:val="right" w:leader="none"/>
        </w:tabs>
        <w:spacing w:line="240" w:lineRule="auto" w:before="156" w:after="0"/>
        <w:ind w:left="1000" w:right="0" w:hanging="855"/>
        <w:jc w:val="left"/>
      </w:pPr>
      <w:r>
        <w:rPr/>
        <w:t>HIGHWAYS</w:t>
      </w:r>
      <w:r>
        <w:rPr>
          <w:spacing w:val="18"/>
        </w:rPr>
        <w:t> </w:t>
      </w:r>
      <w:r>
        <w:rPr/>
        <w:t>ENGLAND</w:t>
        <w:tab/>
      </w:r>
      <w:r>
        <w:rPr>
          <w:sz w:val="23"/>
        </w:rPr>
        <w:t>19</w:t>
      </w:r>
    </w:p>
    <w:p>
      <w:pPr>
        <w:pStyle w:val="Heading3"/>
        <w:numPr>
          <w:ilvl w:val="1"/>
          <w:numId w:val="1"/>
        </w:numPr>
        <w:tabs>
          <w:tab w:pos="998" w:val="left" w:leader="none"/>
          <w:tab w:pos="999" w:val="left" w:leader="none"/>
          <w:tab w:pos="10778" w:val="right" w:leader="none"/>
        </w:tabs>
        <w:spacing w:line="240" w:lineRule="auto" w:before="165" w:after="0"/>
        <w:ind w:left="998" w:right="0" w:hanging="853"/>
        <w:jc w:val="left"/>
      </w:pPr>
      <w:r>
        <w:rPr/>
        <w:t>OTHER  RISK</w:t>
      </w:r>
      <w:r>
        <w:rPr>
          <w:spacing w:val="-25"/>
        </w:rPr>
        <w:t> </w:t>
      </w:r>
      <w:r>
        <w:rPr/>
        <w:t>MANAGEMENT</w:t>
      </w:r>
      <w:r>
        <w:rPr>
          <w:spacing w:val="42"/>
        </w:rPr>
        <w:t> </w:t>
      </w:r>
      <w:r>
        <w:rPr/>
        <w:t>AUTHORITIES</w:t>
        <w:tab/>
      </w:r>
      <w:r>
        <w:rPr>
          <w:sz w:val="23"/>
        </w:rPr>
        <w:t>19</w:t>
      </w:r>
    </w:p>
    <w:p>
      <w:pPr>
        <w:pStyle w:val="ListParagraph"/>
        <w:numPr>
          <w:ilvl w:val="0"/>
          <w:numId w:val="1"/>
        </w:numPr>
        <w:tabs>
          <w:tab w:pos="996" w:val="left" w:leader="none"/>
          <w:tab w:pos="997" w:val="left" w:leader="none"/>
          <w:tab w:pos="10779" w:val="right" w:leader="none"/>
        </w:tabs>
        <w:spacing w:line="240" w:lineRule="auto" w:before="245" w:after="0"/>
        <w:ind w:left="996" w:right="0" w:hanging="853"/>
        <w:jc w:val="left"/>
        <w:rPr>
          <w:color w:val="FF414B"/>
          <w:sz w:val="28"/>
        </w:rPr>
      </w:pPr>
      <w:r>
        <w:rPr/>
        <w:pict>
          <v:line style="position:absolute;mso-position-horizontal-relative:page;mso-position-vertical-relative:paragraph;z-index:1360" from="26.877729pt,36.857063pt" to="562.032239pt,36.857063pt" stroked="true" strokeweight="1.43988pt" strokecolor="#fd3b44">
            <v:stroke dashstyle="solid"/>
            <w10:wrap type="none"/>
          </v:line>
        </w:pict>
      </w:r>
      <w:r>
        <w:rPr>
          <w:color w:val="FD383F"/>
          <w:sz w:val="32"/>
        </w:rPr>
        <w:t>LOCAL </w:t>
      </w:r>
      <w:r>
        <w:rPr>
          <w:color w:val="E64F44"/>
          <w:sz w:val="32"/>
        </w:rPr>
        <w:t>FLOOD</w:t>
      </w:r>
      <w:r>
        <w:rPr>
          <w:color w:val="E64F44"/>
          <w:spacing w:val="-18"/>
          <w:sz w:val="32"/>
        </w:rPr>
        <w:t> </w:t>
      </w:r>
      <w:r>
        <w:rPr>
          <w:color w:val="F9415B"/>
          <w:sz w:val="32"/>
        </w:rPr>
        <w:t>RISK</w:t>
      </w:r>
      <w:r>
        <w:rPr>
          <w:color w:val="F9415B"/>
          <w:spacing w:val="3"/>
          <w:sz w:val="32"/>
        </w:rPr>
        <w:t> </w:t>
      </w:r>
      <w:r>
        <w:rPr>
          <w:color w:val="FF5052"/>
          <w:sz w:val="32"/>
        </w:rPr>
        <w:t>MANAGEMENT</w:t>
        <w:tab/>
      </w:r>
      <w:r>
        <w:rPr>
          <w:rFonts w:ascii="Consolas"/>
          <w:color w:val="FF3A41"/>
          <w:sz w:val="30"/>
        </w:rPr>
        <w:t>20</w:t>
      </w:r>
    </w:p>
    <w:p>
      <w:pPr>
        <w:pStyle w:val="Heading3"/>
        <w:numPr>
          <w:ilvl w:val="1"/>
          <w:numId w:val="2"/>
        </w:numPr>
        <w:tabs>
          <w:tab w:pos="997" w:val="left" w:leader="none"/>
          <w:tab w:pos="998" w:val="left" w:leader="none"/>
          <w:tab w:pos="10777" w:val="right" w:leader="none"/>
        </w:tabs>
        <w:spacing w:line="240" w:lineRule="auto" w:before="371" w:after="0"/>
        <w:ind w:left="997" w:right="0" w:hanging="854"/>
        <w:jc w:val="left"/>
        <w:rPr>
          <w:sz w:val="23"/>
        </w:rPr>
      </w:pPr>
      <w:r>
        <w:rPr/>
        <w:t>INTRODUCTION</w:t>
        <w:tab/>
        <w:t>20</w:t>
      </w:r>
    </w:p>
    <w:p>
      <w:pPr>
        <w:pStyle w:val="Heading3"/>
        <w:numPr>
          <w:ilvl w:val="1"/>
          <w:numId w:val="2"/>
        </w:numPr>
        <w:tabs>
          <w:tab w:pos="1001" w:val="left" w:leader="none"/>
          <w:tab w:pos="1002" w:val="left" w:leader="none"/>
          <w:tab w:pos="10769" w:val="right" w:leader="none"/>
        </w:tabs>
        <w:spacing w:line="240" w:lineRule="auto" w:before="156" w:after="0"/>
        <w:ind w:left="1001" w:right="0" w:hanging="858"/>
        <w:jc w:val="left"/>
      </w:pPr>
      <w:r>
        <w:rPr/>
        <w:t>PRIORITISATION</w:t>
      </w:r>
      <w:r>
        <w:rPr>
          <w:spacing w:val="-4"/>
        </w:rPr>
        <w:t> </w:t>
      </w:r>
      <w:r>
        <w:rPr/>
        <w:t>OF</w:t>
      </w:r>
      <w:r>
        <w:rPr>
          <w:spacing w:val="5"/>
        </w:rPr>
        <w:t> </w:t>
      </w:r>
      <w:r>
        <w:rPr/>
        <w:t>MEASURES</w:t>
        <w:tab/>
      </w:r>
      <w:r>
        <w:rPr>
          <w:sz w:val="23"/>
        </w:rPr>
        <w:t>21</w:t>
      </w:r>
    </w:p>
    <w:p>
      <w:pPr>
        <w:pStyle w:val="Heading3"/>
        <w:numPr>
          <w:ilvl w:val="1"/>
          <w:numId w:val="2"/>
        </w:numPr>
        <w:tabs>
          <w:tab w:pos="1000" w:val="left" w:leader="none"/>
          <w:tab w:pos="1001" w:val="left" w:leader="none"/>
          <w:tab w:pos="10769" w:val="right" w:leader="none"/>
        </w:tabs>
        <w:spacing w:line="240" w:lineRule="auto" w:before="166" w:after="0"/>
        <w:ind w:left="1000" w:right="0" w:hanging="857"/>
        <w:jc w:val="left"/>
      </w:pPr>
      <w:r>
        <w:rPr/>
        <w:t>FUNDING</w:t>
        <w:tab/>
      </w:r>
      <w:r>
        <w:rPr>
          <w:sz w:val="23"/>
        </w:rPr>
        <w:t>21</w:t>
      </w:r>
    </w:p>
    <w:p>
      <w:pPr>
        <w:pStyle w:val="Heading3"/>
        <w:numPr>
          <w:ilvl w:val="1"/>
          <w:numId w:val="2"/>
        </w:numPr>
        <w:tabs>
          <w:tab w:pos="998" w:val="left" w:leader="none"/>
          <w:tab w:pos="999" w:val="left" w:leader="none"/>
          <w:tab w:pos="10777" w:val="right" w:leader="none"/>
        </w:tabs>
        <w:spacing w:line="240" w:lineRule="auto" w:before="165" w:after="0"/>
        <w:ind w:left="998" w:right="0" w:hanging="855"/>
        <w:jc w:val="left"/>
      </w:pPr>
      <w:r>
        <w:rPr/>
        <w:t>CLIMATE</w:t>
      </w:r>
      <w:r>
        <w:rPr>
          <w:spacing w:val="15"/>
        </w:rPr>
        <w:t> </w:t>
      </w:r>
      <w:r>
        <w:rPr/>
        <w:t>CHANGE</w:t>
      </w:r>
      <w:r>
        <w:rPr>
          <w:spacing w:val="3"/>
        </w:rPr>
        <w:t> </w:t>
      </w:r>
      <w:r>
        <w:rPr/>
        <w:t>ADAPTATION</w:t>
        <w:tab/>
        <w:t>24</w:t>
      </w:r>
    </w:p>
    <w:p>
      <w:pPr>
        <w:pStyle w:val="Heading3"/>
        <w:numPr>
          <w:ilvl w:val="2"/>
          <w:numId w:val="2"/>
        </w:numPr>
        <w:tabs>
          <w:tab w:pos="997" w:val="left" w:leader="none"/>
          <w:tab w:pos="998" w:val="left" w:leader="none"/>
          <w:tab w:pos="10779" w:val="right" w:leader="none"/>
        </w:tabs>
        <w:spacing w:line="240" w:lineRule="auto" w:before="156" w:after="0"/>
        <w:ind w:left="997" w:right="0" w:hanging="844"/>
        <w:jc w:val="left"/>
        <w:rPr>
          <w:sz w:val="23"/>
        </w:rPr>
      </w:pPr>
      <w:r>
        <w:rPr/>
        <w:t>INTRODUCTION</w:t>
        <w:tab/>
      </w:r>
      <w:r>
        <w:rPr>
          <w:sz w:val="23"/>
        </w:rPr>
        <w:t>24</w:t>
      </w:r>
    </w:p>
    <w:p>
      <w:pPr>
        <w:pStyle w:val="ListParagraph"/>
        <w:numPr>
          <w:ilvl w:val="2"/>
          <w:numId w:val="2"/>
        </w:numPr>
        <w:tabs>
          <w:tab w:pos="1002" w:val="left" w:leader="none"/>
          <w:tab w:pos="1004" w:val="left" w:leader="none"/>
          <w:tab w:pos="10777" w:val="right" w:leader="none"/>
        </w:tabs>
        <w:spacing w:line="240" w:lineRule="auto" w:before="166" w:after="0"/>
        <w:ind w:left="1003" w:right="0" w:hanging="850"/>
        <w:jc w:val="left"/>
        <w:rPr>
          <w:sz w:val="24"/>
        </w:rPr>
      </w:pPr>
      <w:r>
        <w:rPr>
          <w:sz w:val="23"/>
        </w:rPr>
        <w:t>LEEDS</w:t>
      </w:r>
      <w:r>
        <w:rPr>
          <w:spacing w:val="8"/>
          <w:sz w:val="23"/>
        </w:rPr>
        <w:t> </w:t>
      </w:r>
      <w:r>
        <w:rPr>
          <w:sz w:val="23"/>
        </w:rPr>
        <w:t>CLIMATE</w:t>
      </w:r>
      <w:r>
        <w:rPr>
          <w:spacing w:val="4"/>
          <w:sz w:val="23"/>
        </w:rPr>
        <w:t> </w:t>
      </w:r>
      <w:r>
        <w:rPr>
          <w:sz w:val="23"/>
        </w:rPr>
        <w:t>COMMISSION</w:t>
        <w:tab/>
      </w:r>
      <w:r>
        <w:rPr>
          <w:sz w:val="24"/>
        </w:rPr>
        <w:t>25</w:t>
      </w:r>
    </w:p>
    <w:p>
      <w:pPr>
        <w:pStyle w:val="Heading3"/>
        <w:numPr>
          <w:ilvl w:val="2"/>
          <w:numId w:val="2"/>
        </w:numPr>
        <w:tabs>
          <w:tab w:pos="999" w:val="left" w:leader="none"/>
          <w:tab w:pos="1000" w:val="left" w:leader="none"/>
          <w:tab w:pos="10777" w:val="right" w:leader="none"/>
        </w:tabs>
        <w:spacing w:line="240" w:lineRule="auto" w:before="156" w:after="0"/>
        <w:ind w:left="1000" w:right="0" w:hanging="847"/>
        <w:jc w:val="left"/>
      </w:pPr>
      <w:r>
        <w:rPr/>
        <w:t>YORKSHIRE INTEGRATED  CATCHMENT</w:t>
      </w:r>
      <w:r>
        <w:rPr>
          <w:spacing w:val="-3"/>
        </w:rPr>
        <w:t> </w:t>
      </w:r>
      <w:r>
        <w:rPr/>
        <w:t>SOLUTIONS</w:t>
      </w:r>
      <w:r>
        <w:rPr>
          <w:spacing w:val="16"/>
        </w:rPr>
        <w:t> </w:t>
      </w:r>
      <w:r>
        <w:rPr/>
        <w:t>PROGRAMME</w:t>
        <w:tab/>
        <w:t>25</w:t>
      </w:r>
    </w:p>
    <w:p>
      <w:pPr>
        <w:pStyle w:val="Heading3"/>
        <w:numPr>
          <w:ilvl w:val="1"/>
          <w:numId w:val="2"/>
        </w:numPr>
        <w:tabs>
          <w:tab w:pos="999" w:val="left" w:leader="none"/>
          <w:tab w:pos="1000" w:val="left" w:leader="none"/>
          <w:tab w:pos="10777" w:val="right" w:leader="none"/>
        </w:tabs>
        <w:spacing w:line="240" w:lineRule="auto" w:before="165" w:after="0"/>
        <w:ind w:left="999" w:right="0" w:hanging="856"/>
        <w:jc w:val="left"/>
      </w:pPr>
      <w:r>
        <w:rPr/>
        <w:t>SUSTAINABLE</w:t>
      </w:r>
      <w:r>
        <w:rPr>
          <w:spacing w:val="25"/>
        </w:rPr>
        <w:t> </w:t>
      </w:r>
      <w:r>
        <w:rPr/>
        <w:t>DEVELOPMENT</w:t>
        <w:tab/>
        <w:t>26</w:t>
      </w:r>
    </w:p>
    <w:p>
      <w:pPr>
        <w:pStyle w:val="Heading3"/>
        <w:numPr>
          <w:ilvl w:val="1"/>
          <w:numId w:val="2"/>
        </w:numPr>
        <w:tabs>
          <w:tab w:pos="999" w:val="left" w:leader="none"/>
          <w:tab w:pos="1000" w:val="left" w:leader="none"/>
          <w:tab w:pos="10776" w:val="right" w:leader="none"/>
        </w:tabs>
        <w:spacing w:line="240" w:lineRule="auto" w:before="156" w:after="0"/>
        <w:ind w:left="999" w:right="0" w:hanging="856"/>
        <w:jc w:val="left"/>
      </w:pPr>
      <w:r>
        <w:rPr/>
        <w:t>SUSTAINABLE</w:t>
      </w:r>
      <w:r>
        <w:rPr>
          <w:spacing w:val="25"/>
        </w:rPr>
        <w:t> </w:t>
      </w:r>
      <w:r>
        <w:rPr/>
        <w:t>DRAINAGE</w:t>
      </w:r>
      <w:r>
        <w:rPr>
          <w:spacing w:val="21"/>
        </w:rPr>
        <w:t> </w:t>
      </w:r>
      <w:r>
        <w:rPr/>
        <w:t>SYSTEMS</w:t>
        <w:tab/>
        <w:t>27</w:t>
      </w:r>
    </w:p>
    <w:p>
      <w:pPr>
        <w:pStyle w:val="Heading3"/>
        <w:numPr>
          <w:ilvl w:val="1"/>
          <w:numId w:val="2"/>
        </w:numPr>
        <w:tabs>
          <w:tab w:pos="1000" w:val="left" w:leader="none"/>
          <w:tab w:pos="1001" w:val="left" w:leader="none"/>
          <w:tab w:pos="10776" w:val="right" w:leader="none"/>
        </w:tabs>
        <w:spacing w:line="240" w:lineRule="auto" w:before="166" w:after="0"/>
        <w:ind w:left="1000" w:right="0" w:hanging="857"/>
        <w:jc w:val="left"/>
      </w:pPr>
      <w:r>
        <w:rPr/>
        <w:t>ENGAGEMENT</w:t>
      </w:r>
      <w:r>
        <w:rPr>
          <w:spacing w:val="42"/>
        </w:rPr>
        <w:t> </w:t>
      </w:r>
      <w:r>
        <w:rPr/>
        <w:t>WITH</w:t>
      </w:r>
      <w:r>
        <w:rPr>
          <w:spacing w:val="10"/>
        </w:rPr>
        <w:t> </w:t>
      </w:r>
      <w:r>
        <w:rPr/>
        <w:t>PARTNERS</w:t>
        <w:tab/>
        <w:t>28</w:t>
      </w:r>
    </w:p>
    <w:p>
      <w:pPr>
        <w:pStyle w:val="Heading3"/>
        <w:numPr>
          <w:ilvl w:val="2"/>
          <w:numId w:val="2"/>
        </w:numPr>
        <w:tabs>
          <w:tab w:pos="998" w:val="left" w:leader="none"/>
          <w:tab w:pos="999" w:val="left" w:leader="none"/>
          <w:tab w:pos="10777" w:val="right" w:leader="none"/>
        </w:tabs>
        <w:spacing w:line="240" w:lineRule="auto" w:before="166" w:after="0"/>
        <w:ind w:left="998" w:right="0" w:hanging="845"/>
        <w:jc w:val="left"/>
      </w:pPr>
      <w:r>
        <w:rPr/>
        <w:t>COMMUNICATION</w:t>
        <w:tab/>
        <w:t>28</w:t>
      </w:r>
    </w:p>
    <w:p>
      <w:pPr>
        <w:pStyle w:val="Heading3"/>
        <w:numPr>
          <w:ilvl w:val="2"/>
          <w:numId w:val="2"/>
        </w:numPr>
        <w:tabs>
          <w:tab w:pos="1000" w:val="left" w:leader="none"/>
          <w:tab w:pos="1001" w:val="left" w:leader="none"/>
          <w:tab w:pos="10776" w:val="right" w:leader="none"/>
        </w:tabs>
        <w:spacing w:line="240" w:lineRule="auto" w:before="156" w:after="0"/>
        <w:ind w:left="1000" w:right="0" w:hanging="847"/>
        <w:jc w:val="left"/>
      </w:pPr>
      <w:r>
        <w:rPr/>
        <w:t>RESPONSE</w:t>
      </w:r>
      <w:r>
        <w:rPr>
          <w:spacing w:val="35"/>
        </w:rPr>
        <w:t> </w:t>
      </w:r>
      <w:r>
        <w:rPr/>
        <w:t>AND</w:t>
      </w:r>
      <w:r>
        <w:rPr>
          <w:spacing w:val="7"/>
        </w:rPr>
        <w:t> </w:t>
      </w:r>
      <w:r>
        <w:rPr/>
        <w:t>RECOVERY</w:t>
        <w:tab/>
        <w:t>28</w:t>
      </w:r>
    </w:p>
    <w:p>
      <w:pPr>
        <w:pStyle w:val="ListParagraph"/>
        <w:numPr>
          <w:ilvl w:val="0"/>
          <w:numId w:val="2"/>
        </w:numPr>
        <w:tabs>
          <w:tab w:pos="996" w:val="left" w:leader="none"/>
          <w:tab w:pos="997" w:val="left" w:leader="none"/>
          <w:tab w:pos="10778" w:val="right" w:leader="none"/>
        </w:tabs>
        <w:spacing w:line="240" w:lineRule="auto" w:before="281" w:after="0"/>
        <w:ind w:left="996" w:right="0" w:hanging="851"/>
        <w:jc w:val="left"/>
        <w:rPr>
          <w:color w:val="FF3D3B"/>
          <w:sz w:val="24"/>
        </w:rPr>
      </w:pPr>
      <w:r>
        <w:rPr>
          <w:color w:val="FF3D2A"/>
          <w:sz w:val="28"/>
        </w:rPr>
        <w:t>OBJECTIVES  </w:t>
      </w:r>
      <w:r>
        <w:rPr>
          <w:color w:val="DB4249"/>
          <w:sz w:val="28"/>
        </w:rPr>
        <w:t>FOR </w:t>
      </w:r>
      <w:r>
        <w:rPr>
          <w:color w:val="FF363F"/>
          <w:sz w:val="28"/>
        </w:rPr>
        <w:t>MANAGING </w:t>
      </w:r>
      <w:r>
        <w:rPr>
          <w:color w:val="FF4244"/>
          <w:sz w:val="28"/>
        </w:rPr>
        <w:t>LOCAL</w:t>
      </w:r>
      <w:r>
        <w:rPr>
          <w:color w:val="FF4244"/>
          <w:spacing w:val="10"/>
          <w:sz w:val="28"/>
        </w:rPr>
        <w:t> </w:t>
      </w:r>
      <w:r>
        <w:rPr>
          <w:color w:val="ED3F42"/>
          <w:sz w:val="28"/>
        </w:rPr>
        <w:t>FLOOD</w:t>
      </w:r>
      <w:r>
        <w:rPr>
          <w:color w:val="ED3F42"/>
          <w:spacing w:val="14"/>
          <w:sz w:val="28"/>
        </w:rPr>
        <w:t> </w:t>
      </w:r>
      <w:r>
        <w:rPr>
          <w:color w:val="FF3B44"/>
          <w:sz w:val="28"/>
        </w:rPr>
        <w:t>RISK</w:t>
        <w:tab/>
      </w:r>
      <w:r>
        <w:rPr>
          <w:color w:val="FF4D44"/>
          <w:sz w:val="28"/>
        </w:rPr>
        <w:t>29</w:t>
      </w:r>
    </w:p>
    <w:p>
      <w:pPr>
        <w:pStyle w:val="ListParagraph"/>
        <w:numPr>
          <w:ilvl w:val="0"/>
          <w:numId w:val="2"/>
        </w:numPr>
        <w:tabs>
          <w:tab w:pos="999" w:val="left" w:leader="none"/>
          <w:tab w:pos="1000" w:val="left" w:leader="none"/>
          <w:tab w:pos="10781" w:val="right" w:leader="none"/>
        </w:tabs>
        <w:spacing w:line="240" w:lineRule="auto" w:before="293" w:after="0"/>
        <w:ind w:left="999" w:right="0" w:hanging="854"/>
        <w:jc w:val="left"/>
        <w:rPr>
          <w:color w:val="FF3D33"/>
          <w:sz w:val="28"/>
        </w:rPr>
      </w:pPr>
      <w:r>
        <w:rPr>
          <w:color w:val="FF4638"/>
          <w:sz w:val="28"/>
        </w:rPr>
        <w:t>LIST</w:t>
      </w:r>
      <w:r>
        <w:rPr>
          <w:color w:val="FF4638"/>
          <w:spacing w:val="8"/>
          <w:sz w:val="28"/>
        </w:rPr>
        <w:t> </w:t>
      </w:r>
      <w:r>
        <w:rPr>
          <w:color w:val="FF4431"/>
          <w:sz w:val="28"/>
        </w:rPr>
        <w:t>OF</w:t>
      </w:r>
      <w:r>
        <w:rPr>
          <w:color w:val="FF4431"/>
          <w:spacing w:val="2"/>
          <w:sz w:val="28"/>
        </w:rPr>
        <w:t> </w:t>
      </w:r>
      <w:r>
        <w:rPr>
          <w:color w:val="FF2F3B"/>
          <w:sz w:val="28"/>
        </w:rPr>
        <w:t>MEASURES</w:t>
        <w:tab/>
      </w:r>
      <w:r>
        <w:rPr>
          <w:color w:val="FF210C"/>
          <w:sz w:val="28"/>
        </w:rPr>
        <w:t>30</w:t>
      </w:r>
    </w:p>
    <w:p>
      <w:pPr>
        <w:pStyle w:val="ListParagraph"/>
        <w:numPr>
          <w:ilvl w:val="0"/>
          <w:numId w:val="2"/>
        </w:numPr>
        <w:tabs>
          <w:tab w:pos="997" w:val="left" w:leader="none"/>
          <w:tab w:pos="998" w:val="left" w:leader="none"/>
          <w:tab w:pos="10781" w:val="right" w:leader="none"/>
        </w:tabs>
        <w:spacing w:line="240" w:lineRule="auto" w:before="292" w:after="0"/>
        <w:ind w:left="997" w:right="0" w:hanging="855"/>
        <w:jc w:val="left"/>
        <w:rPr>
          <w:color w:val="FB383A"/>
          <w:sz w:val="28"/>
        </w:rPr>
      </w:pPr>
      <w:r>
        <w:rPr>
          <w:color w:val="FF3152"/>
          <w:sz w:val="28"/>
        </w:rPr>
        <w:t>REVIEWING  </w:t>
      </w:r>
      <w:r>
        <w:rPr>
          <w:color w:val="FF3438"/>
          <w:sz w:val="28"/>
        </w:rPr>
        <w:t>AND </w:t>
      </w:r>
      <w:r>
        <w:rPr>
          <w:color w:val="FF3646"/>
          <w:sz w:val="28"/>
        </w:rPr>
        <w:t>MONITORING</w:t>
      </w:r>
      <w:r>
        <w:rPr>
          <w:color w:val="FF3646"/>
          <w:spacing w:val="-9"/>
          <w:sz w:val="28"/>
        </w:rPr>
        <w:t> </w:t>
      </w:r>
      <w:r>
        <w:rPr>
          <w:color w:val="DB4249"/>
          <w:sz w:val="28"/>
        </w:rPr>
        <w:t>THE</w:t>
      </w:r>
      <w:r>
        <w:rPr>
          <w:color w:val="DB4249"/>
          <w:spacing w:val="7"/>
          <w:sz w:val="28"/>
        </w:rPr>
        <w:t> </w:t>
      </w:r>
      <w:r>
        <w:rPr>
          <w:color w:val="FF4636"/>
          <w:sz w:val="28"/>
        </w:rPr>
        <w:t>STRATEGY</w:t>
        <w:tab/>
      </w:r>
      <w:r>
        <w:rPr>
          <w:color w:val="FF210C"/>
          <w:sz w:val="28"/>
        </w:rPr>
        <w:t>31</w:t>
      </w:r>
    </w:p>
    <w:p>
      <w:pPr>
        <w:pStyle w:val="ListParagraph"/>
        <w:numPr>
          <w:ilvl w:val="0"/>
          <w:numId w:val="2"/>
        </w:numPr>
        <w:tabs>
          <w:tab w:pos="997" w:val="left" w:leader="none"/>
          <w:tab w:pos="998" w:val="left" w:leader="none"/>
          <w:tab w:pos="10777" w:val="right" w:leader="none"/>
        </w:tabs>
        <w:spacing w:line="240" w:lineRule="auto" w:before="264" w:after="0"/>
        <w:ind w:left="997" w:right="0" w:hanging="854"/>
        <w:jc w:val="left"/>
        <w:rPr>
          <w:color w:val="FF4F54"/>
          <w:sz w:val="30"/>
        </w:rPr>
      </w:pPr>
      <w:r>
        <w:rPr>
          <w:color w:val="EB3B4B"/>
          <w:sz w:val="28"/>
        </w:rPr>
        <w:t>RELEVANT  </w:t>
      </w:r>
      <w:r>
        <w:rPr>
          <w:color w:val="FD423B"/>
          <w:sz w:val="28"/>
        </w:rPr>
        <w:t>GUIDANCE</w:t>
      </w:r>
      <w:r>
        <w:rPr>
          <w:color w:val="FD423B"/>
          <w:spacing w:val="-30"/>
          <w:sz w:val="28"/>
        </w:rPr>
        <w:t> </w:t>
      </w:r>
      <w:r>
        <w:rPr>
          <w:color w:val="E2505B"/>
          <w:sz w:val="28"/>
        </w:rPr>
        <w:t>AND </w:t>
      </w:r>
      <w:r>
        <w:rPr>
          <w:color w:val="E44D5B"/>
          <w:sz w:val="28"/>
        </w:rPr>
        <w:t>INFORMATION</w:t>
        <w:tab/>
      </w:r>
      <w:r>
        <w:rPr>
          <w:color w:val="FF3136"/>
          <w:sz w:val="28"/>
        </w:rPr>
        <w:t>33</w:t>
      </w:r>
    </w:p>
    <w:p>
      <w:pPr>
        <w:pStyle w:val="ListParagraph"/>
        <w:numPr>
          <w:ilvl w:val="0"/>
          <w:numId w:val="2"/>
        </w:numPr>
        <w:tabs>
          <w:tab w:pos="995" w:val="left" w:leader="none"/>
          <w:tab w:pos="996" w:val="left" w:leader="none"/>
          <w:tab w:pos="10781" w:val="right" w:leader="none"/>
        </w:tabs>
        <w:spacing w:line="240" w:lineRule="auto" w:before="288" w:after="0"/>
        <w:ind w:left="995" w:right="0" w:hanging="851"/>
        <w:jc w:val="left"/>
        <w:rPr>
          <w:color w:val="FF4244"/>
          <w:sz w:val="28"/>
        </w:rPr>
      </w:pPr>
      <w:r>
        <w:rPr>
          <w:color w:val="FF3144"/>
          <w:sz w:val="28"/>
        </w:rPr>
        <w:t>GLOSSARY</w:t>
        <w:tab/>
      </w:r>
      <w:r>
        <w:rPr>
          <w:color w:val="FF3136"/>
          <w:sz w:val="28"/>
        </w:rPr>
        <w:t>34</w:t>
      </w:r>
    </w:p>
    <w:p>
      <w:pPr>
        <w:pStyle w:val="ListParagraph"/>
        <w:numPr>
          <w:ilvl w:val="0"/>
          <w:numId w:val="2"/>
        </w:numPr>
        <w:tabs>
          <w:tab w:pos="1001" w:val="left" w:leader="none"/>
          <w:tab w:pos="1002" w:val="left" w:leader="none"/>
          <w:tab w:pos="10777" w:val="right" w:leader="none"/>
        </w:tabs>
        <w:spacing w:line="240" w:lineRule="auto" w:before="283" w:after="0"/>
        <w:ind w:left="1001" w:right="0" w:hanging="866"/>
        <w:jc w:val="left"/>
        <w:rPr>
          <w:color w:val="FF3D3B"/>
          <w:sz w:val="28"/>
        </w:rPr>
      </w:pPr>
      <w:r>
        <w:rPr/>
        <w:pict>
          <v:line style="position:absolute;mso-position-horizontal-relative:page;mso-position-vertical-relative:paragraph;z-index:1384" from="26.877729pt,37.360981pt" to="562.032239pt,37.360981pt" stroked="true" strokeweight="1.43988pt" strokecolor="#f73d46">
            <v:stroke dashstyle="solid"/>
            <w10:wrap type="none"/>
          </v:line>
        </w:pict>
      </w:r>
      <w:r>
        <w:rPr>
          <w:color w:val="F25438"/>
          <w:sz w:val="28"/>
        </w:rPr>
        <w:t>ABBREVIATIONS</w:t>
        <w:tab/>
      </w:r>
      <w:r>
        <w:rPr>
          <w:color w:val="E63A2B"/>
          <w:sz w:val="28"/>
        </w:rPr>
        <w:t>35</w:t>
      </w:r>
    </w:p>
    <w:p>
      <w:pPr>
        <w:spacing w:after="0" w:line="240" w:lineRule="auto"/>
        <w:jc w:val="left"/>
        <w:rPr>
          <w:sz w:val="28"/>
        </w:rPr>
        <w:sectPr>
          <w:footerReference w:type="even" r:id="rId26"/>
          <w:pgSz w:w="11920" w:h="16850"/>
          <w:pgMar w:footer="0" w:header="0" w:top="580" w:bottom="280" w:left="420" w:right="56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65"/>
        <w:ind w:left="972" w:right="982" w:firstLine="0"/>
        <w:jc w:val="center"/>
        <w:rPr>
          <w:sz w:val="20"/>
        </w:rPr>
      </w:pPr>
      <w:r>
        <w:rPr/>
        <w:pict>
          <v:line style="position:absolute;mso-position-horizontal-relative:page;mso-position-vertical-relative:paragraph;z-index:1408" from="69.114151pt,-3.968327pt" to="562.032251pt,-3.968327pt" stroked="true" strokeweight="1.43988pt" strokecolor="#ff3b42">
            <v:stroke dashstyle="solid"/>
            <w10:wrap type="none"/>
          </v:line>
        </w:pict>
      </w:r>
      <w:r>
        <w:rPr>
          <w:sz w:val="20"/>
        </w:rPr>
        <w:t>WSP</w:t>
      </w:r>
    </w:p>
    <w:p>
      <w:pPr>
        <w:spacing w:before="0"/>
        <w:ind w:left="1004" w:right="0" w:firstLine="0"/>
        <w:jc w:val="left"/>
        <w:rPr>
          <w:sz w:val="20"/>
        </w:rPr>
      </w:pPr>
      <w:r>
        <w:rPr>
          <w:sz w:val="20"/>
        </w:rPr>
        <w:t>December 2018</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65"/>
        <w:ind w:left="0" w:right="157" w:firstLine="0"/>
        <w:jc w:val="right"/>
        <w:rPr>
          <w:sz w:val="20"/>
        </w:rPr>
      </w:pPr>
      <w:r>
        <w:rPr>
          <w:sz w:val="20"/>
        </w:rPr>
        <w:t>LOCAL FLOOD RISK MANAGEMENT</w:t>
      </w:r>
      <w:r>
        <w:rPr>
          <w:spacing w:val="-28"/>
          <w:sz w:val="20"/>
        </w:rPr>
        <w:t> </w:t>
      </w:r>
      <w:r>
        <w:rPr>
          <w:sz w:val="20"/>
        </w:rPr>
        <w:t>STRATEGY</w:t>
      </w:r>
    </w:p>
    <w:p>
      <w:pPr>
        <w:spacing w:before="0"/>
        <w:ind w:left="0" w:right="146" w:firstLine="0"/>
        <w:jc w:val="right"/>
        <w:rPr>
          <w:sz w:val="20"/>
        </w:rPr>
      </w:pPr>
      <w:r>
        <w:rPr>
          <w:sz w:val="20"/>
        </w:rPr>
        <w:t>Project No.: 70046860 | Our Ref No.:</w:t>
      </w:r>
      <w:r>
        <w:rPr>
          <w:spacing w:val="-32"/>
          <w:sz w:val="20"/>
        </w:rPr>
        <w:t> </w:t>
      </w:r>
      <w:r>
        <w:rPr>
          <w:sz w:val="20"/>
        </w:rPr>
        <w:t>003</w:t>
      </w:r>
    </w:p>
    <w:p>
      <w:pPr>
        <w:spacing w:before="0"/>
        <w:ind w:left="0" w:right="164" w:firstLine="0"/>
        <w:jc w:val="right"/>
        <w:rPr>
          <w:sz w:val="20"/>
        </w:rPr>
      </w:pPr>
      <w:r>
        <w:rPr>
          <w:sz w:val="20"/>
        </w:rPr>
        <w:t>Leeds City</w:t>
      </w:r>
      <w:r>
        <w:rPr>
          <w:spacing w:val="-43"/>
          <w:sz w:val="20"/>
        </w:rPr>
        <w:t> </w:t>
      </w:r>
      <w:r>
        <w:rPr>
          <w:sz w:val="20"/>
        </w:rPr>
        <w:t>Council</w:t>
      </w:r>
    </w:p>
    <w:p>
      <w:pPr>
        <w:spacing w:after="0"/>
        <w:jc w:val="right"/>
        <w:rPr>
          <w:sz w:val="20"/>
        </w:rPr>
        <w:sectPr>
          <w:type w:val="continuous"/>
          <w:pgSz w:w="11920" w:h="16850"/>
          <w:pgMar w:top="1220" w:bottom="0" w:left="420" w:right="560"/>
          <w:cols w:num="2" w:equalWidth="0">
            <w:col w:w="2451" w:space="2787"/>
            <w:col w:w="57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16"/>
        </w:rPr>
      </w:pPr>
    </w:p>
    <w:p>
      <w:pPr>
        <w:pStyle w:val="BodyText"/>
        <w:spacing w:line="30" w:lineRule="exact"/>
        <w:ind w:left="947"/>
        <w:rPr>
          <w:sz w:val="3"/>
        </w:rPr>
      </w:pPr>
      <w:r>
        <w:rPr>
          <w:position w:val="0"/>
          <w:sz w:val="3"/>
        </w:rPr>
        <w:pict>
          <v:group style="width:492.95pt;height:1.45pt;mso-position-horizontal-relative:char;mso-position-vertical-relative:line" coordorigin="0,0" coordsize="9859,29">
            <v:line style="position:absolute" from="0,14" to="9858,14" stroked="true" strokeweight="1.43988pt" strokecolor="#212121">
              <v:stroke dashstyle="solid"/>
            </v:line>
          </v:group>
        </w:pict>
      </w:r>
      <w:r>
        <w:rPr>
          <w:position w:val="0"/>
          <w:sz w:val="3"/>
        </w:rPr>
      </w:r>
    </w:p>
    <w:p>
      <w:pPr>
        <w:spacing w:before="41"/>
        <w:ind w:left="990" w:right="0" w:firstLine="0"/>
        <w:jc w:val="left"/>
        <w:rPr>
          <w:i/>
          <w:sz w:val="39"/>
        </w:rPr>
      </w:pPr>
      <w:r>
        <w:rPr/>
        <w:pict>
          <v:group style="position:absolute;margin-left:123.349602pt;margin-top:-56.692944pt;width:5.3pt;height:35.050pt;mso-position-horizontal-relative:page;mso-position-vertical-relative:paragraph;z-index:1528" coordorigin="2467,-1134" coordsize="106,701">
            <v:shape style="position:absolute;left:2467;top:-1134;width:106;height:48" type="#_x0000_t75" stroked="false">
              <v:imagedata r:id="rId14" o:title=""/>
            </v:shape>
            <v:shape style="position:absolute;left:2486;top:-472;width:87;height:39" type="#_x0000_t75" stroked="false">
              <v:imagedata r:id="rId15" o:title=""/>
            </v:shape>
            <v:line style="position:absolute" from="2515,-1134" to="2515,-443" stroked="true" strokeweight="4.799592pt" strokecolor="#ff6477">
              <v:stroke dashstyle="solid"/>
            </v:line>
            <w10:wrap type="none"/>
          </v:group>
        </w:pict>
      </w:r>
      <w:bookmarkStart w:name="Leeds LFRMS 2018 Update_Page_09" w:id="10"/>
      <w:bookmarkEnd w:id="10"/>
      <w:r>
        <w:rPr/>
      </w:r>
      <w:r>
        <w:rPr>
          <w:i/>
          <w:sz w:val="39"/>
        </w:rPr>
        <w:t>TABLES</w:t>
      </w:r>
    </w:p>
    <w:p>
      <w:pPr>
        <w:pStyle w:val="Heading3"/>
        <w:tabs>
          <w:tab w:pos="10773" w:val="right" w:leader="none"/>
        </w:tabs>
        <w:spacing w:before="172"/>
        <w:ind w:left="995"/>
      </w:pPr>
      <w:r>
        <w:rPr/>
        <w:t>Table 1 </w:t>
      </w:r>
      <w:r>
        <w:rPr>
          <w:w w:val="95"/>
        </w:rPr>
        <w:t>— </w:t>
      </w:r>
      <w:r>
        <w:rPr/>
        <w:t>LCC schemes completed since</w:t>
      </w:r>
      <w:r>
        <w:rPr>
          <w:spacing w:val="9"/>
        </w:rPr>
        <w:t> </w:t>
      </w:r>
      <w:r>
        <w:rPr/>
        <w:t>2011</w:t>
        <w:tab/>
        <w:t>11</w:t>
      </w:r>
    </w:p>
    <w:p>
      <w:pPr>
        <w:pStyle w:val="Heading3"/>
        <w:tabs>
          <w:tab w:pos="10781" w:val="right" w:leader="none"/>
        </w:tabs>
        <w:spacing w:before="166"/>
        <w:ind w:left="995"/>
      </w:pPr>
      <w:r>
        <w:rPr/>
        <w:t>Table 2 </w:t>
      </w:r>
      <w:r>
        <w:rPr>
          <w:w w:val="95"/>
        </w:rPr>
        <w:t>— </w:t>
      </w:r>
      <w:r>
        <w:rPr/>
        <w:t>LCC policies completed</w:t>
      </w:r>
      <w:r>
        <w:rPr>
          <w:spacing w:val="24"/>
        </w:rPr>
        <w:t> </w:t>
      </w:r>
      <w:r>
        <w:rPr/>
        <w:t>since</w:t>
      </w:r>
      <w:r>
        <w:rPr>
          <w:spacing w:val="11"/>
        </w:rPr>
        <w:t> </w:t>
      </w:r>
      <w:r>
        <w:rPr/>
        <w:t>2011</w:t>
        <w:tab/>
        <w:t>12</w:t>
      </w:r>
    </w:p>
    <w:p>
      <w:pPr>
        <w:pStyle w:val="Heading3"/>
        <w:tabs>
          <w:tab w:pos="10781" w:val="right" w:leader="none"/>
        </w:tabs>
        <w:spacing w:before="166"/>
        <w:ind w:left="995"/>
      </w:pPr>
      <w:r>
        <w:rPr/>
        <w:t>Table 3 </w:t>
      </w:r>
      <w:r>
        <w:rPr>
          <w:w w:val="95"/>
        </w:rPr>
        <w:t>— </w:t>
      </w:r>
      <w:r>
        <w:rPr/>
        <w:t>Current</w:t>
      </w:r>
      <w:r>
        <w:rPr>
          <w:spacing w:val="-3"/>
        </w:rPr>
        <w:t> </w:t>
      </w:r>
      <w:r>
        <w:rPr/>
        <w:t>LCC</w:t>
      </w:r>
      <w:r>
        <w:rPr>
          <w:spacing w:val="16"/>
        </w:rPr>
        <w:t> </w:t>
      </w:r>
      <w:r>
        <w:rPr/>
        <w:t>schemes</w:t>
        <w:tab/>
        <w:t>12</w:t>
      </w:r>
    </w:p>
    <w:p>
      <w:pPr>
        <w:pStyle w:val="Heading3"/>
        <w:tabs>
          <w:tab w:pos="10781" w:val="right" w:leader="none"/>
        </w:tabs>
        <w:spacing w:before="156"/>
        <w:ind w:left="995"/>
      </w:pPr>
      <w:r>
        <w:rPr/>
        <w:t>Table 4 </w:t>
      </w:r>
      <w:r>
        <w:rPr>
          <w:w w:val="95"/>
        </w:rPr>
        <w:t>— </w:t>
      </w:r>
      <w:r>
        <w:rPr/>
        <w:t>Current</w:t>
      </w:r>
      <w:r>
        <w:rPr>
          <w:spacing w:val="5"/>
        </w:rPr>
        <w:t> </w:t>
      </w:r>
      <w:r>
        <w:rPr/>
        <w:t>LCC</w:t>
      </w:r>
      <w:r>
        <w:rPr>
          <w:spacing w:val="9"/>
        </w:rPr>
        <w:t> </w:t>
      </w:r>
      <w:r>
        <w:rPr/>
        <w:t>policies</w:t>
        <w:tab/>
        <w:t>14</w:t>
      </w:r>
    </w:p>
    <w:p>
      <w:pPr>
        <w:spacing w:before="917"/>
        <w:ind w:left="994" w:right="0" w:firstLine="0"/>
        <w:jc w:val="left"/>
        <w:rPr>
          <w:i/>
          <w:sz w:val="36"/>
        </w:rPr>
      </w:pPr>
      <w:r>
        <w:rPr/>
        <w:pict>
          <v:line style="position:absolute;mso-position-horizontal-relative:page;mso-position-vertical-relative:paragraph;z-index:1504" from="69.114151pt,41.855553pt" to="562.032251pt,41.855553pt" stroked="true" strokeweight="1.43988pt" strokecolor="#212121">
            <v:stroke dashstyle="solid"/>
            <w10:wrap type="none"/>
          </v:line>
        </w:pict>
      </w:r>
      <w:r>
        <w:rPr>
          <w:i/>
          <w:sz w:val="36"/>
        </w:rPr>
        <w:t>FIGURES</w:t>
      </w:r>
    </w:p>
    <w:p>
      <w:pPr>
        <w:pStyle w:val="BodyText"/>
        <w:tabs>
          <w:tab w:pos="10779" w:val="right" w:leader="none"/>
        </w:tabs>
        <w:spacing w:before="178"/>
        <w:ind w:left="1001"/>
        <w:rPr>
          <w:sz w:val="24"/>
        </w:rPr>
      </w:pPr>
      <w:r>
        <w:rPr/>
        <w:t>Figure 1 </w:t>
      </w:r>
      <w:r>
        <w:rPr>
          <w:w w:val="95"/>
        </w:rPr>
        <w:t>— </w:t>
      </w:r>
      <w:r>
        <w:rPr/>
        <w:t>Management activities before,  during and after a</w:t>
      </w:r>
      <w:r>
        <w:rPr>
          <w:spacing w:val="30"/>
        </w:rPr>
        <w:t> </w:t>
      </w:r>
      <w:r>
        <w:rPr/>
        <w:t>flood</w:t>
      </w:r>
      <w:r>
        <w:rPr>
          <w:spacing w:val="16"/>
        </w:rPr>
        <w:t> </w:t>
      </w:r>
      <w:r>
        <w:rPr/>
        <w:t>event</w:t>
        <w:tab/>
      </w:r>
      <w:r>
        <w:rPr>
          <w:sz w:val="24"/>
        </w:rPr>
        <w:t>20</w:t>
      </w:r>
    </w:p>
    <w:p>
      <w:pPr>
        <w:pStyle w:val="BodyText"/>
        <w:rPr>
          <w:sz w:val="20"/>
        </w:rPr>
      </w:pPr>
    </w:p>
    <w:p>
      <w:pPr>
        <w:pStyle w:val="BodyText"/>
        <w:rPr>
          <w:sz w:val="20"/>
        </w:rPr>
      </w:pPr>
    </w:p>
    <w:p>
      <w:pPr>
        <w:pStyle w:val="BodyText"/>
        <w:spacing w:before="8"/>
        <w:rPr>
          <w:sz w:val="27"/>
        </w:rPr>
      </w:pPr>
      <w:r>
        <w:rPr/>
        <w:pict>
          <v:line style="position:absolute;mso-position-horizontal-relative:page;mso-position-vertical-relative:paragraph;z-index:-568;mso-wrap-distance-left:0;mso-wrap-distance-right:0" from="69.114151pt,18.636274pt" to="562.032251pt,18.636274pt" stroked="true" strokeweight="1.43988pt" strokecolor="#1f1f1f">
            <v:stroke dashstyle="solid"/>
            <w10:wrap type="topAndBottom"/>
          </v:line>
        </w:pict>
      </w:r>
    </w:p>
    <w:p>
      <w:pPr>
        <w:spacing w:before="31"/>
        <w:ind w:left="1008" w:right="0" w:firstLine="0"/>
        <w:jc w:val="left"/>
        <w:rPr>
          <w:i/>
          <w:sz w:val="36"/>
        </w:rPr>
      </w:pPr>
      <w:r>
        <w:rPr>
          <w:i/>
          <w:sz w:val="36"/>
        </w:rPr>
        <w:t>APPENDICES</w:t>
      </w:r>
    </w:p>
    <w:p>
      <w:pPr>
        <w:pStyle w:val="Heading3"/>
        <w:spacing w:line="379" w:lineRule="auto" w:before="188"/>
        <w:ind w:left="1010" w:right="1803"/>
      </w:pPr>
      <w:r>
        <w:rPr>
          <w:w w:val="95"/>
        </w:rPr>
        <w:t>APPENDIX A — UKCP09 CLIMATE CHANGE PROJECTIONS FOR LEEDS APPENDIX B — STRATEGIC ENVIRONMENTAL ASSESSMENT REPORT APPENDIX C — LIST OF MEASURES</w:t>
      </w:r>
    </w:p>
    <w:p>
      <w:pPr>
        <w:pStyle w:val="Heading3"/>
        <w:spacing w:line="379" w:lineRule="auto" w:before="7"/>
        <w:ind w:left="1010" w:right="1803"/>
      </w:pPr>
      <w:r>
        <w:rPr/>
        <w:t>APPENDIX</w:t>
      </w:r>
      <w:r>
        <w:rPr>
          <w:spacing w:val="-17"/>
        </w:rPr>
        <w:t> </w:t>
      </w:r>
      <w:r>
        <w:rPr/>
        <w:t>D</w:t>
      </w:r>
      <w:r>
        <w:rPr>
          <w:spacing w:val="-24"/>
        </w:rPr>
        <w:t> </w:t>
      </w:r>
      <w:r>
        <w:rPr>
          <w:w w:val="95"/>
        </w:rPr>
        <w:t>—</w:t>
      </w:r>
      <w:r>
        <w:rPr>
          <w:spacing w:val="-38"/>
          <w:w w:val="95"/>
        </w:rPr>
        <w:t> </w:t>
      </w:r>
      <w:r>
        <w:rPr/>
        <w:t>KEY</w:t>
      </w:r>
      <w:r>
        <w:rPr>
          <w:spacing w:val="-19"/>
        </w:rPr>
        <w:t> </w:t>
      </w:r>
      <w:r>
        <w:rPr/>
        <w:t>LOCAL</w:t>
      </w:r>
      <w:r>
        <w:rPr>
          <w:spacing w:val="-15"/>
        </w:rPr>
        <w:t> </w:t>
      </w:r>
      <w:r>
        <w:rPr/>
        <w:t>FLOOD</w:t>
      </w:r>
      <w:r>
        <w:rPr>
          <w:spacing w:val="-15"/>
        </w:rPr>
        <w:t> </w:t>
      </w:r>
      <w:r>
        <w:rPr/>
        <w:t>RISK</w:t>
      </w:r>
      <w:r>
        <w:rPr>
          <w:spacing w:val="-16"/>
        </w:rPr>
        <w:t> </w:t>
      </w:r>
      <w:r>
        <w:rPr/>
        <w:t>MANAGEMENT</w:t>
      </w:r>
      <w:r>
        <w:rPr>
          <w:spacing w:val="-7"/>
        </w:rPr>
        <w:t> </w:t>
      </w:r>
      <w:r>
        <w:rPr/>
        <w:t>CONTACTS APPENDIX E </w:t>
      </w:r>
      <w:r>
        <w:rPr>
          <w:w w:val="95"/>
        </w:rPr>
        <w:t>— </w:t>
      </w:r>
      <w:r>
        <w:rPr/>
        <w:t>MAP OF SCHEMES COMPLETED SINCE 2011 APPENDIX F </w:t>
      </w:r>
      <w:r>
        <w:rPr>
          <w:w w:val="95"/>
        </w:rPr>
        <w:t>— </w:t>
      </w:r>
      <w:r>
        <w:rPr/>
        <w:t>RESPONSES OF</w:t>
      </w:r>
      <w:r>
        <w:rPr>
          <w:spacing w:val="-11"/>
        </w:rPr>
        <w:t> </w:t>
      </w:r>
      <w:r>
        <w:rPr/>
        <w:t>CONSULTEES</w:t>
      </w:r>
    </w:p>
    <w:p>
      <w:pPr>
        <w:pStyle w:val="Heading3"/>
        <w:spacing w:before="7"/>
        <w:ind w:left="1010"/>
      </w:pPr>
      <w:r>
        <w:rPr/>
        <w:t>APPENDIX G </w:t>
      </w:r>
      <w:r>
        <w:rPr>
          <w:w w:val="95"/>
        </w:rPr>
        <w:t>— </w:t>
      </w:r>
      <w:r>
        <w:rPr/>
        <w:t>COMMENTS FROM LCC GOVERNANCE</w:t>
      </w:r>
    </w:p>
    <w:p>
      <w:pPr>
        <w:spacing w:after="0"/>
        <w:sectPr>
          <w:footerReference w:type="default" r:id="rId29"/>
          <w:pgSz w:w="11920" w:h="16850"/>
          <w:pgMar w:footer="1246" w:header="0" w:top="580" w:bottom="1440" w:left="420" w:right="560"/>
        </w:sectPr>
      </w:pPr>
    </w:p>
    <w:p>
      <w:pPr>
        <w:pStyle w:val="BodyText"/>
        <w:ind w:right="-42"/>
        <w:rPr>
          <w:sz w:val="20"/>
        </w:rPr>
      </w:pPr>
      <w:bookmarkStart w:name="Leeds LFRMS 2018 Update_Page_10" w:id="11"/>
      <w:bookmarkEnd w:id="11"/>
      <w:r>
        <w:rPr/>
      </w:r>
      <w:r>
        <w:rPr>
          <w:sz w:val="20"/>
        </w:rPr>
        <w:drawing>
          <wp:inline distT="0" distB="0" distL="0" distR="0">
            <wp:extent cx="7562190" cy="10693908"/>
            <wp:effectExtent l="0" t="0" r="0" b="0"/>
            <wp:docPr id="35" name="image9.png" descr=""/>
            <wp:cNvGraphicFramePr>
              <a:graphicFrameLocks noChangeAspect="1"/>
            </wp:cNvGraphicFramePr>
            <a:graphic>
              <a:graphicData uri="http://schemas.openxmlformats.org/drawingml/2006/picture">
                <pic:pic>
                  <pic:nvPicPr>
                    <pic:cNvPr id="36" name="image9.png"/>
                    <pic:cNvPicPr/>
                  </pic:nvPicPr>
                  <pic:blipFill>
                    <a:blip r:embed="rId13" cstate="print"/>
                    <a:stretch>
                      <a:fillRect/>
                    </a:stretch>
                  </pic:blipFill>
                  <pic:spPr>
                    <a:xfrm>
                      <a:off x="0" y="0"/>
                      <a:ext cx="7562190" cy="10693908"/>
                    </a:xfrm>
                    <a:prstGeom prst="rect">
                      <a:avLst/>
                    </a:prstGeom>
                  </pic:spPr>
                </pic:pic>
              </a:graphicData>
            </a:graphic>
          </wp:inline>
        </w:drawing>
      </w:r>
      <w:r>
        <w:rPr>
          <w:sz w:val="20"/>
        </w:rPr>
      </w:r>
    </w:p>
    <w:p>
      <w:pPr>
        <w:spacing w:after="0"/>
        <w:rPr>
          <w:sz w:val="20"/>
        </w:rPr>
        <w:sectPr>
          <w:footerReference w:type="even" r:id="rId30"/>
          <w:pgSz w:w="11910" w:h="16840"/>
          <w:pgMar w:footer="0" w:header="0"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spacing w:before="84"/>
        <w:ind w:left="1018" w:right="0" w:firstLine="0"/>
        <w:jc w:val="left"/>
        <w:rPr>
          <w:sz w:val="49"/>
        </w:rPr>
      </w:pPr>
      <w:r>
        <w:rPr/>
        <w:drawing>
          <wp:anchor distT="0" distB="0" distL="0" distR="0" allowOverlap="1" layoutInCell="1" locked="0" behindDoc="0" simplePos="0" relativeHeight="1576">
            <wp:simplePos x="0" y="0"/>
            <wp:positionH relativeFrom="page">
              <wp:posOffset>5601750</wp:posOffset>
            </wp:positionH>
            <wp:positionV relativeFrom="paragraph">
              <wp:posOffset>378718</wp:posOffset>
            </wp:positionV>
            <wp:extent cx="1487298" cy="2011513"/>
            <wp:effectExtent l="0" t="0" r="0" b="0"/>
            <wp:wrapNone/>
            <wp:docPr id="37" name="image21.jpeg" descr=""/>
            <wp:cNvGraphicFramePr>
              <a:graphicFrameLocks noChangeAspect="1"/>
            </wp:cNvGraphicFramePr>
            <a:graphic>
              <a:graphicData uri="http://schemas.openxmlformats.org/drawingml/2006/picture">
                <pic:pic>
                  <pic:nvPicPr>
                    <pic:cNvPr id="38" name="image21.jpeg"/>
                    <pic:cNvPicPr/>
                  </pic:nvPicPr>
                  <pic:blipFill>
                    <a:blip r:embed="rId32" cstate="print"/>
                    <a:stretch>
                      <a:fillRect/>
                    </a:stretch>
                  </pic:blipFill>
                  <pic:spPr>
                    <a:xfrm>
                      <a:off x="0" y="0"/>
                      <a:ext cx="1487298" cy="2011513"/>
                    </a:xfrm>
                    <a:prstGeom prst="rect">
                      <a:avLst/>
                    </a:prstGeom>
                  </pic:spPr>
                </pic:pic>
              </a:graphicData>
            </a:graphic>
          </wp:anchor>
        </w:drawing>
      </w:r>
      <w:r>
        <w:rPr/>
        <w:pict>
          <v:group style="position:absolute;margin-left:123.349602pt;margin-top:-62.332005pt;width:5.3pt;height:35.050pt;mso-position-horizontal-relative:page;mso-position-vertical-relative:paragraph;z-index:1600" coordorigin="2467,-1247" coordsize="106,701">
            <v:shape style="position:absolute;left:2467;top:-1247;width:106;height:48" type="#_x0000_t75" stroked="false">
              <v:imagedata r:id="rId14" o:title=""/>
            </v:shape>
            <v:shape style="position:absolute;left:2486;top:-585;width:87;height:39" type="#_x0000_t75" stroked="false">
              <v:imagedata r:id="rId15" o:title=""/>
            </v:shape>
            <v:line style="position:absolute" from="2515,-1247" to="2515,-555" stroked="true" strokeweight="4.799592pt" strokecolor="#ff6477">
              <v:stroke dashstyle="solid"/>
            </v:line>
            <w10:wrap type="none"/>
          </v:group>
        </w:pict>
      </w:r>
      <w:bookmarkStart w:name="Leeds LFRMS 2018 Update_Page_11" w:id="12"/>
      <w:bookmarkEnd w:id="12"/>
      <w:r>
        <w:rPr/>
      </w:r>
      <w:r>
        <w:rPr>
          <w:sz w:val="49"/>
        </w:rPr>
        <w:t>FOREWORD</w:t>
      </w:r>
    </w:p>
    <w:p>
      <w:pPr>
        <w:pStyle w:val="BodyText"/>
        <w:rPr>
          <w:sz w:val="54"/>
        </w:rPr>
      </w:pPr>
    </w:p>
    <w:p>
      <w:pPr>
        <w:pStyle w:val="BodyText"/>
        <w:spacing w:before="9"/>
        <w:rPr>
          <w:sz w:val="56"/>
        </w:rPr>
      </w:pPr>
    </w:p>
    <w:p>
      <w:pPr>
        <w:pStyle w:val="BodyText"/>
        <w:spacing w:line="266" w:lineRule="auto"/>
        <w:ind w:left="1015" w:right="2801" w:firstLine="5"/>
      </w:pPr>
      <w:r>
        <w:rPr/>
        <w:t>As the Executive member holding the portfolio for Flood Risk Management</w:t>
      </w:r>
      <w:r>
        <w:rPr>
          <w:spacing w:val="-19"/>
        </w:rPr>
        <w:t> </w:t>
      </w:r>
      <w:r>
        <w:rPr/>
        <w:t>within</w:t>
      </w:r>
      <w:r>
        <w:rPr>
          <w:spacing w:val="-27"/>
        </w:rPr>
        <w:t> </w:t>
      </w:r>
      <w:r>
        <w:rPr/>
        <w:t>Leeds,</w:t>
      </w:r>
      <w:r>
        <w:rPr>
          <w:spacing w:val="-31"/>
        </w:rPr>
        <w:t> </w:t>
      </w:r>
      <w:r>
        <w:rPr/>
        <w:t>I</w:t>
      </w:r>
      <w:r>
        <w:rPr>
          <w:spacing w:val="-30"/>
        </w:rPr>
        <w:t> </w:t>
      </w:r>
      <w:r>
        <w:rPr/>
        <w:t>am</w:t>
      </w:r>
      <w:r>
        <w:rPr>
          <w:spacing w:val="-29"/>
        </w:rPr>
        <w:t> </w:t>
      </w:r>
      <w:r>
        <w:rPr/>
        <w:t>delighted</w:t>
      </w:r>
      <w:r>
        <w:rPr>
          <w:spacing w:val="-26"/>
        </w:rPr>
        <w:t> </w:t>
      </w:r>
      <w:r>
        <w:rPr/>
        <w:t>to</w:t>
      </w:r>
      <w:r>
        <w:rPr>
          <w:spacing w:val="-37"/>
        </w:rPr>
        <w:t> </w:t>
      </w:r>
      <w:r>
        <w:rPr/>
        <w:t>be</w:t>
      </w:r>
      <w:r>
        <w:rPr>
          <w:spacing w:val="-32"/>
        </w:rPr>
        <w:t> </w:t>
      </w:r>
      <w:r>
        <w:rPr/>
        <w:t>able</w:t>
      </w:r>
      <w:r>
        <w:rPr>
          <w:spacing w:val="-33"/>
        </w:rPr>
        <w:t> </w:t>
      </w:r>
      <w:r>
        <w:rPr/>
        <w:t>to</w:t>
      </w:r>
      <w:r>
        <w:rPr>
          <w:spacing w:val="-36"/>
        </w:rPr>
        <w:t> </w:t>
      </w:r>
      <w:r>
        <w:rPr/>
        <w:t>introduce</w:t>
      </w:r>
      <w:r>
        <w:rPr>
          <w:spacing w:val="-28"/>
        </w:rPr>
        <w:t> </w:t>
      </w:r>
      <w:r>
        <w:rPr/>
        <w:t>this update to the Leeds Flood Risk</w:t>
      </w:r>
      <w:r>
        <w:rPr>
          <w:spacing w:val="-7"/>
        </w:rPr>
        <w:t> </w:t>
      </w:r>
      <w:r>
        <w:rPr/>
        <w:t>Strategy.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r>
        <w:rPr/>
        <w:pict>
          <v:line style="position:absolute;mso-position-horizontal-relative:page;mso-position-vertical-relative:paragraph;z-index:-496;mso-wrap-distance-left:0;mso-wrap-distance-right:0" from="70.074074pt,14.026932pt" to="562.752194pt,14.026932pt" stroked="true" strokeweight="1.1999pt" strokecolor="#f43f2f">
            <v:stroke dashstyle="solid"/>
            <w10:wrap type="topAndBottom"/>
          </v:line>
        </w:pict>
      </w:r>
    </w:p>
    <w:p>
      <w:pPr>
        <w:pStyle w:val="BodyText"/>
        <w:spacing w:before="2"/>
        <w:rPr>
          <w:sz w:val="21"/>
        </w:rPr>
      </w:pPr>
    </w:p>
    <w:p>
      <w:pPr>
        <w:pStyle w:val="BodyText"/>
        <w:spacing w:line="264" w:lineRule="auto" w:before="92"/>
        <w:ind w:left="1015" w:right="212" w:firstLine="4"/>
      </w:pPr>
      <w:r>
        <w:rPr/>
        <w:t>Since</w:t>
      </w:r>
      <w:r>
        <w:rPr>
          <w:spacing w:val="-29"/>
        </w:rPr>
        <w:t> </w:t>
      </w:r>
      <w:r>
        <w:rPr/>
        <w:t>the</w:t>
      </w:r>
      <w:r>
        <w:rPr>
          <w:spacing w:val="-30"/>
        </w:rPr>
        <w:t> </w:t>
      </w:r>
      <w:r>
        <w:rPr/>
        <w:t>first</w:t>
      </w:r>
      <w:r>
        <w:rPr>
          <w:spacing w:val="-28"/>
        </w:rPr>
        <w:t> </w:t>
      </w:r>
      <w:r>
        <w:rPr/>
        <w:t>local</w:t>
      </w:r>
      <w:r>
        <w:rPr>
          <w:spacing w:val="-21"/>
        </w:rPr>
        <w:t> </w:t>
      </w:r>
      <w:r>
        <w:rPr/>
        <w:t>Flood</w:t>
      </w:r>
      <w:r>
        <w:rPr>
          <w:spacing w:val="-24"/>
        </w:rPr>
        <w:t> </w:t>
      </w:r>
      <w:r>
        <w:rPr/>
        <w:t>Risk</w:t>
      </w:r>
      <w:r>
        <w:rPr>
          <w:spacing w:val="-22"/>
        </w:rPr>
        <w:t> </w:t>
      </w:r>
      <w:r>
        <w:rPr/>
        <w:t>Management</w:t>
      </w:r>
      <w:r>
        <w:rPr>
          <w:spacing w:val="-17"/>
        </w:rPr>
        <w:t> </w:t>
      </w:r>
      <w:r>
        <w:rPr/>
        <w:t>Strategy</w:t>
      </w:r>
      <w:r>
        <w:rPr>
          <w:spacing w:val="-21"/>
        </w:rPr>
        <w:t> </w:t>
      </w:r>
      <w:r>
        <w:rPr/>
        <w:t>was</w:t>
      </w:r>
      <w:r>
        <w:rPr>
          <w:spacing w:val="-28"/>
        </w:rPr>
        <w:t> </w:t>
      </w:r>
      <w:r>
        <w:rPr/>
        <w:t>adopted</w:t>
      </w:r>
      <w:r>
        <w:rPr>
          <w:spacing w:val="-25"/>
        </w:rPr>
        <w:t> </w:t>
      </w:r>
      <w:r>
        <w:rPr/>
        <w:t>in</w:t>
      </w:r>
      <w:r>
        <w:rPr>
          <w:spacing w:val="-27"/>
        </w:rPr>
        <w:t> </w:t>
      </w:r>
      <w:r>
        <w:rPr/>
        <w:t>2014,</w:t>
      </w:r>
      <w:r>
        <w:rPr>
          <w:spacing w:val="-23"/>
        </w:rPr>
        <w:t> </w:t>
      </w:r>
      <w:r>
        <w:rPr/>
        <w:t>Leeds</w:t>
      </w:r>
      <w:r>
        <w:rPr>
          <w:spacing w:val="-29"/>
        </w:rPr>
        <w:t> </w:t>
      </w:r>
      <w:r>
        <w:rPr/>
        <w:t>has</w:t>
      </w:r>
      <w:r>
        <w:rPr>
          <w:spacing w:val="-32"/>
        </w:rPr>
        <w:t> </w:t>
      </w:r>
      <w:r>
        <w:rPr/>
        <w:t>received</w:t>
      </w:r>
      <w:r>
        <w:rPr>
          <w:spacing w:val="-26"/>
        </w:rPr>
        <w:t> </w:t>
      </w:r>
      <w:r>
        <w:rPr/>
        <w:t>its wake-up</w:t>
      </w:r>
      <w:r>
        <w:rPr>
          <w:spacing w:val="-17"/>
        </w:rPr>
        <w:t> </w:t>
      </w:r>
      <w:r>
        <w:rPr/>
        <w:t>call</w:t>
      </w:r>
      <w:r>
        <w:rPr>
          <w:spacing w:val="-23"/>
        </w:rPr>
        <w:t> </w:t>
      </w:r>
      <w:r>
        <w:rPr/>
        <w:t>to</w:t>
      </w:r>
      <w:r>
        <w:rPr>
          <w:spacing w:val="-31"/>
        </w:rPr>
        <w:t> </w:t>
      </w:r>
      <w:r>
        <w:rPr/>
        <w:t>the</w:t>
      </w:r>
      <w:r>
        <w:rPr>
          <w:spacing w:val="-22"/>
        </w:rPr>
        <w:t> </w:t>
      </w:r>
      <w:r>
        <w:rPr/>
        <w:t>consequences</w:t>
      </w:r>
      <w:r>
        <w:rPr>
          <w:spacing w:val="-17"/>
        </w:rPr>
        <w:t> </w:t>
      </w:r>
      <w:r>
        <w:rPr/>
        <w:t>of</w:t>
      </w:r>
      <w:r>
        <w:rPr>
          <w:spacing w:val="-32"/>
        </w:rPr>
        <w:t> </w:t>
      </w:r>
      <w:r>
        <w:rPr/>
        <w:t>flooding</w:t>
      </w:r>
      <w:r>
        <w:rPr>
          <w:spacing w:val="-17"/>
        </w:rPr>
        <w:t> </w:t>
      </w:r>
      <w:r>
        <w:rPr/>
        <w:t>on</w:t>
      </w:r>
      <w:r>
        <w:rPr>
          <w:spacing w:val="-31"/>
        </w:rPr>
        <w:t> </w:t>
      </w:r>
      <w:r>
        <w:rPr/>
        <w:t>its</w:t>
      </w:r>
      <w:r>
        <w:rPr>
          <w:spacing w:val="-32"/>
        </w:rPr>
        <w:t> </w:t>
      </w:r>
      <w:r>
        <w:rPr/>
        <w:t>residents</w:t>
      </w:r>
      <w:r>
        <w:rPr>
          <w:spacing w:val="-19"/>
        </w:rPr>
        <w:t> </w:t>
      </w:r>
      <w:r>
        <w:rPr/>
        <w:t>and</w:t>
      </w:r>
      <w:r>
        <w:rPr>
          <w:spacing w:val="-30"/>
        </w:rPr>
        <w:t> </w:t>
      </w:r>
      <w:r>
        <w:rPr/>
        <w:t>businesses.</w:t>
      </w:r>
      <w:r>
        <w:rPr>
          <w:spacing w:val="-10"/>
        </w:rPr>
        <w:t> </w:t>
      </w:r>
      <w:r>
        <w:rPr/>
        <w:t>The</w:t>
      </w:r>
      <w:r>
        <w:rPr>
          <w:spacing w:val="-21"/>
        </w:rPr>
        <w:t> </w:t>
      </w:r>
      <w:r>
        <w:rPr/>
        <w:t>extraordinary winter</w:t>
      </w:r>
      <w:r>
        <w:rPr>
          <w:spacing w:val="-27"/>
        </w:rPr>
        <w:t> </w:t>
      </w:r>
      <w:r>
        <w:rPr/>
        <w:t>of</w:t>
      </w:r>
      <w:r>
        <w:rPr>
          <w:spacing w:val="-29"/>
        </w:rPr>
        <w:t> </w:t>
      </w:r>
      <w:r>
        <w:rPr/>
        <w:t>2015/16</w:t>
      </w:r>
      <w:r>
        <w:rPr>
          <w:spacing w:val="-28"/>
        </w:rPr>
        <w:t> </w:t>
      </w:r>
      <w:r>
        <w:rPr/>
        <w:t>saw</w:t>
      </w:r>
      <w:r>
        <w:rPr>
          <w:spacing w:val="-23"/>
        </w:rPr>
        <w:t> </w:t>
      </w:r>
      <w:r>
        <w:rPr/>
        <w:t>storms</w:t>
      </w:r>
      <w:r>
        <w:rPr>
          <w:spacing w:val="-28"/>
        </w:rPr>
        <w:t> </w:t>
      </w:r>
      <w:r>
        <w:rPr/>
        <w:t>Desmond,</w:t>
      </w:r>
      <w:r>
        <w:rPr>
          <w:spacing w:val="-24"/>
        </w:rPr>
        <w:t> </w:t>
      </w:r>
      <w:r>
        <w:rPr/>
        <w:t>Eva</w:t>
      </w:r>
      <w:r>
        <w:rPr>
          <w:spacing w:val="-29"/>
        </w:rPr>
        <w:t> </w:t>
      </w:r>
      <w:r>
        <w:rPr/>
        <w:t>and</w:t>
      </w:r>
      <w:r>
        <w:rPr>
          <w:spacing w:val="-29"/>
        </w:rPr>
        <w:t> </w:t>
      </w:r>
      <w:r>
        <w:rPr/>
        <w:t>Frank</w:t>
      </w:r>
      <w:r>
        <w:rPr>
          <w:spacing w:val="-25"/>
        </w:rPr>
        <w:t> </w:t>
      </w:r>
      <w:r>
        <w:rPr/>
        <w:t>demonstrate</w:t>
      </w:r>
      <w:r>
        <w:rPr>
          <w:spacing w:val="-25"/>
        </w:rPr>
        <w:t> </w:t>
      </w:r>
      <w:r>
        <w:rPr/>
        <w:t>the</w:t>
      </w:r>
      <w:r>
        <w:rPr>
          <w:spacing w:val="-31"/>
        </w:rPr>
        <w:t> </w:t>
      </w:r>
      <w:r>
        <w:rPr/>
        <w:t>devastation</w:t>
      </w:r>
      <w:r>
        <w:rPr>
          <w:spacing w:val="-18"/>
        </w:rPr>
        <w:t> </w:t>
      </w:r>
      <w:r>
        <w:rPr/>
        <w:t>flooding</w:t>
      </w:r>
      <w:r>
        <w:rPr>
          <w:spacing w:val="-25"/>
        </w:rPr>
        <w:t> </w:t>
      </w:r>
      <w:r>
        <w:rPr/>
        <w:t>can cause.</w:t>
      </w:r>
      <w:r>
        <w:rPr>
          <w:spacing w:val="-35"/>
        </w:rPr>
        <w:t> </w:t>
      </w:r>
      <w:r>
        <w:rPr/>
        <w:t>Whilst</w:t>
      </w:r>
      <w:r>
        <w:rPr>
          <w:spacing w:val="-36"/>
        </w:rPr>
        <w:t> </w:t>
      </w:r>
      <w:r>
        <w:rPr/>
        <w:t>the</w:t>
      </w:r>
      <w:r>
        <w:rPr>
          <w:spacing w:val="-39"/>
        </w:rPr>
        <w:t> </w:t>
      </w:r>
      <w:r>
        <w:rPr/>
        <w:t>existing</w:t>
      </w:r>
      <w:r>
        <w:rPr>
          <w:spacing w:val="-32"/>
        </w:rPr>
        <w:t> </w:t>
      </w:r>
      <w:r>
        <w:rPr/>
        <w:t>strategy</w:t>
      </w:r>
      <w:r>
        <w:rPr>
          <w:spacing w:val="-32"/>
        </w:rPr>
        <w:t> </w:t>
      </w:r>
      <w:r>
        <w:rPr/>
        <w:t>supported</w:t>
      </w:r>
      <w:r>
        <w:rPr>
          <w:spacing w:val="-32"/>
        </w:rPr>
        <w:t> </w:t>
      </w:r>
      <w:r>
        <w:rPr/>
        <w:t>our</w:t>
      </w:r>
      <w:r>
        <w:rPr>
          <w:spacing w:val="-41"/>
        </w:rPr>
        <w:t> </w:t>
      </w:r>
      <w:r>
        <w:rPr/>
        <w:t>response,</w:t>
      </w:r>
      <w:r>
        <w:rPr>
          <w:spacing w:val="-34"/>
        </w:rPr>
        <w:t> </w:t>
      </w:r>
      <w:r>
        <w:rPr/>
        <w:t>the</w:t>
      </w:r>
      <w:r>
        <w:rPr>
          <w:spacing w:val="-41"/>
        </w:rPr>
        <w:t> </w:t>
      </w:r>
      <w:r>
        <w:rPr/>
        <w:t>impact</w:t>
      </w:r>
      <w:r>
        <w:rPr>
          <w:spacing w:val="-34"/>
        </w:rPr>
        <w:t> </w:t>
      </w:r>
      <w:r>
        <w:rPr/>
        <w:t>exceeded</w:t>
      </w:r>
      <w:r>
        <w:rPr>
          <w:spacing w:val="-33"/>
        </w:rPr>
        <w:t> </w:t>
      </w:r>
      <w:r>
        <w:rPr/>
        <w:t>all</w:t>
      </w:r>
      <w:r>
        <w:rPr>
          <w:spacing w:val="-38"/>
        </w:rPr>
        <w:t> </w:t>
      </w:r>
      <w:r>
        <w:rPr/>
        <w:t>Leeds’</w:t>
      </w:r>
      <w:r>
        <w:rPr>
          <w:spacing w:val="-37"/>
        </w:rPr>
        <w:t> </w:t>
      </w:r>
      <w:r>
        <w:rPr/>
        <w:t>previous flooding</w:t>
      </w:r>
      <w:r>
        <w:rPr>
          <w:spacing w:val="-29"/>
        </w:rPr>
        <w:t> </w:t>
      </w:r>
      <w:r>
        <w:rPr/>
        <w:t>experiences.</w:t>
      </w:r>
      <w:r>
        <w:rPr>
          <w:spacing w:val="-28"/>
        </w:rPr>
        <w:t> </w:t>
      </w:r>
      <w:r>
        <w:rPr/>
        <w:t>Since</w:t>
      </w:r>
      <w:r>
        <w:rPr>
          <w:spacing w:val="-38"/>
        </w:rPr>
        <w:t> </w:t>
      </w:r>
      <w:r>
        <w:rPr/>
        <w:t>then,</w:t>
      </w:r>
      <w:r>
        <w:rPr>
          <w:spacing w:val="-37"/>
        </w:rPr>
        <w:t> </w:t>
      </w:r>
      <w:r>
        <w:rPr/>
        <w:t>investigations</w:t>
      </w:r>
      <w:r>
        <w:rPr>
          <w:spacing w:val="-48"/>
        </w:rPr>
        <w:t> </w:t>
      </w:r>
      <w:r>
        <w:rPr/>
        <w:t>have</w:t>
      </w:r>
      <w:r>
        <w:rPr>
          <w:spacing w:val="-36"/>
        </w:rPr>
        <w:t> </w:t>
      </w:r>
      <w:r>
        <w:rPr/>
        <w:t>allowed</w:t>
      </w:r>
      <w:r>
        <w:rPr>
          <w:spacing w:val="-31"/>
        </w:rPr>
        <w:t> </w:t>
      </w:r>
      <w:r>
        <w:rPr/>
        <w:t>us</w:t>
      </w:r>
      <w:r>
        <w:rPr>
          <w:spacing w:val="-42"/>
        </w:rPr>
        <w:t> </w:t>
      </w:r>
      <w:r>
        <w:rPr/>
        <w:t>to</w:t>
      </w:r>
      <w:r>
        <w:rPr>
          <w:spacing w:val="-41"/>
        </w:rPr>
        <w:t> </w:t>
      </w:r>
      <w:r>
        <w:rPr/>
        <w:t>understand</w:t>
      </w:r>
      <w:r>
        <w:rPr>
          <w:spacing w:val="-31"/>
        </w:rPr>
        <w:t> </w:t>
      </w:r>
      <w:r>
        <w:rPr/>
        <w:t>what</w:t>
      </w:r>
      <w:r>
        <w:rPr>
          <w:spacing w:val="-36"/>
        </w:rPr>
        <w:t> </w:t>
      </w:r>
      <w:r>
        <w:rPr/>
        <w:t>happened</w:t>
      </w:r>
      <w:r>
        <w:rPr>
          <w:spacing w:val="-32"/>
        </w:rPr>
        <w:t> </w:t>
      </w:r>
      <w:r>
        <w:rPr/>
        <w:t>and update</w:t>
      </w:r>
      <w:r>
        <w:rPr>
          <w:spacing w:val="-23"/>
        </w:rPr>
        <w:t> </w:t>
      </w:r>
      <w:r>
        <w:rPr/>
        <w:t>our</w:t>
      </w:r>
      <w:r>
        <w:rPr>
          <w:spacing w:val="-30"/>
        </w:rPr>
        <w:t> </w:t>
      </w:r>
      <w:r>
        <w:rPr/>
        <w:t>records</w:t>
      </w:r>
      <w:r>
        <w:rPr>
          <w:spacing w:val="-23"/>
        </w:rPr>
        <w:t> </w:t>
      </w:r>
      <w:r>
        <w:rPr/>
        <w:t>of</w:t>
      </w:r>
      <w:r>
        <w:rPr>
          <w:spacing w:val="-34"/>
        </w:rPr>
        <w:t> </w:t>
      </w:r>
      <w:r>
        <w:rPr/>
        <w:t>places</w:t>
      </w:r>
      <w:r>
        <w:rPr>
          <w:spacing w:val="-22"/>
        </w:rPr>
        <w:t> </w:t>
      </w:r>
      <w:r>
        <w:rPr/>
        <w:t>at</w:t>
      </w:r>
      <w:r>
        <w:rPr>
          <w:spacing w:val="-28"/>
        </w:rPr>
        <w:t> </w:t>
      </w:r>
      <w:r>
        <w:rPr/>
        <w:t>risk.</w:t>
      </w:r>
      <w:r>
        <w:rPr>
          <w:spacing w:val="-22"/>
        </w:rPr>
        <w:t> </w:t>
      </w:r>
      <w:r>
        <w:rPr/>
        <w:t>Our</w:t>
      </w:r>
      <w:r>
        <w:rPr>
          <w:spacing w:val="-31"/>
        </w:rPr>
        <w:t> </w:t>
      </w:r>
      <w:r>
        <w:rPr/>
        <w:t>update</w:t>
      </w:r>
      <w:r>
        <w:rPr>
          <w:spacing w:val="-27"/>
        </w:rPr>
        <w:t> </w:t>
      </w:r>
      <w:r>
        <w:rPr/>
        <w:t>to</w:t>
      </w:r>
      <w:r>
        <w:rPr>
          <w:spacing w:val="-27"/>
        </w:rPr>
        <w:t> </w:t>
      </w:r>
      <w:r>
        <w:rPr/>
        <w:t>the</w:t>
      </w:r>
      <w:r>
        <w:rPr>
          <w:spacing w:val="-27"/>
        </w:rPr>
        <w:t> </w:t>
      </w:r>
      <w:r>
        <w:rPr/>
        <w:t>Preliminary</w:t>
      </w:r>
      <w:r>
        <w:rPr>
          <w:spacing w:val="-13"/>
        </w:rPr>
        <w:t> </w:t>
      </w:r>
      <w:r>
        <w:rPr/>
        <w:t>Flood</w:t>
      </w:r>
      <w:r>
        <w:rPr>
          <w:spacing w:val="-22"/>
        </w:rPr>
        <w:t> </w:t>
      </w:r>
      <w:r>
        <w:rPr/>
        <w:t>Risk</w:t>
      </w:r>
      <w:r>
        <w:rPr>
          <w:spacing w:val="-22"/>
        </w:rPr>
        <w:t> </w:t>
      </w:r>
      <w:r>
        <w:rPr/>
        <w:t>Assessment</w:t>
      </w:r>
      <w:r>
        <w:rPr>
          <w:spacing w:val="-16"/>
        </w:rPr>
        <w:t> </w:t>
      </w:r>
      <w:r>
        <w:rPr/>
        <w:t>in</w:t>
      </w:r>
      <w:r>
        <w:rPr>
          <w:spacing w:val="-26"/>
        </w:rPr>
        <w:t> </w:t>
      </w:r>
      <w:r>
        <w:rPr/>
        <w:t>2017 has</w:t>
      </w:r>
      <w:r>
        <w:rPr>
          <w:spacing w:val="-18"/>
        </w:rPr>
        <w:t> </w:t>
      </w:r>
      <w:r>
        <w:rPr/>
        <w:t>allowed</w:t>
      </w:r>
      <w:r>
        <w:rPr>
          <w:spacing w:val="-13"/>
        </w:rPr>
        <w:t> </w:t>
      </w:r>
      <w:r>
        <w:rPr/>
        <w:t>baseline</w:t>
      </w:r>
      <w:r>
        <w:rPr>
          <w:spacing w:val="-13"/>
        </w:rPr>
        <w:t> </w:t>
      </w:r>
      <w:r>
        <w:rPr/>
        <w:t>flood</w:t>
      </w:r>
      <w:r>
        <w:rPr>
          <w:spacing w:val="-13"/>
        </w:rPr>
        <w:t> </w:t>
      </w:r>
      <w:r>
        <w:rPr/>
        <w:t>data</w:t>
      </w:r>
      <w:r>
        <w:rPr>
          <w:spacing w:val="-20"/>
        </w:rPr>
        <w:t> </w:t>
      </w:r>
      <w:r>
        <w:rPr/>
        <w:t>to</w:t>
      </w:r>
      <w:r>
        <w:rPr>
          <w:spacing w:val="-17"/>
        </w:rPr>
        <w:t> </w:t>
      </w:r>
      <w:r>
        <w:rPr/>
        <w:t>be</w:t>
      </w:r>
      <w:r>
        <w:rPr>
          <w:spacing w:val="-25"/>
        </w:rPr>
        <w:t> </w:t>
      </w:r>
      <w:r>
        <w:rPr/>
        <w:t>refreshed</w:t>
      </w:r>
      <w:r>
        <w:rPr>
          <w:spacing w:val="-7"/>
        </w:rPr>
        <w:t> </w:t>
      </w:r>
      <w:r>
        <w:rPr/>
        <w:t>and</w:t>
      </w:r>
      <w:r>
        <w:rPr>
          <w:spacing w:val="-19"/>
        </w:rPr>
        <w:t> </w:t>
      </w:r>
      <w:r>
        <w:rPr/>
        <w:t>further</w:t>
      </w:r>
      <w:r>
        <w:rPr>
          <w:spacing w:val="-13"/>
        </w:rPr>
        <w:t> </w:t>
      </w:r>
      <w:r>
        <w:rPr/>
        <w:t>areas</w:t>
      </w:r>
      <w:r>
        <w:rPr>
          <w:spacing w:val="-12"/>
        </w:rPr>
        <w:t> </w:t>
      </w:r>
      <w:r>
        <w:rPr/>
        <w:t>of</w:t>
      </w:r>
      <w:r>
        <w:rPr>
          <w:spacing w:val="-21"/>
        </w:rPr>
        <w:t> </w:t>
      </w:r>
      <w:r>
        <w:rPr/>
        <w:t>flood</w:t>
      </w:r>
      <w:r>
        <w:rPr>
          <w:spacing w:val="-18"/>
        </w:rPr>
        <w:t> </w:t>
      </w:r>
      <w:r>
        <w:rPr/>
        <w:t>risk</w:t>
      </w:r>
      <w:r>
        <w:rPr>
          <w:spacing w:val="-19"/>
        </w:rPr>
        <w:t> </w:t>
      </w:r>
      <w:r>
        <w:rPr/>
        <w:t>to</w:t>
      </w:r>
      <w:r>
        <w:rPr>
          <w:spacing w:val="-25"/>
        </w:rPr>
        <w:t> </w:t>
      </w:r>
      <w:r>
        <w:rPr/>
        <w:t>be</w:t>
      </w:r>
      <w:r>
        <w:rPr>
          <w:spacing w:val="-24"/>
        </w:rPr>
        <w:t> </w:t>
      </w:r>
      <w:r>
        <w:rPr/>
        <w:t>identified.</w:t>
      </w:r>
    </w:p>
    <w:p>
      <w:pPr>
        <w:pStyle w:val="BodyText"/>
        <w:spacing w:before="7"/>
        <w:rPr>
          <w:sz w:val="31"/>
        </w:rPr>
      </w:pPr>
    </w:p>
    <w:p>
      <w:pPr>
        <w:pStyle w:val="BodyText"/>
        <w:spacing w:line="264" w:lineRule="auto"/>
        <w:ind w:left="1015" w:right="212" w:firstLine="9"/>
      </w:pPr>
      <w:r>
        <w:rPr/>
        <w:t>This</w:t>
      </w:r>
      <w:r>
        <w:rPr>
          <w:spacing w:val="-42"/>
        </w:rPr>
        <w:t> </w:t>
      </w:r>
      <w:r>
        <w:rPr/>
        <w:t>update</w:t>
      </w:r>
      <w:r>
        <w:rPr>
          <w:spacing w:val="-37"/>
        </w:rPr>
        <w:t> </w:t>
      </w:r>
      <w:r>
        <w:rPr/>
        <w:t>allows</w:t>
      </w:r>
      <w:r>
        <w:rPr>
          <w:spacing w:val="-38"/>
        </w:rPr>
        <w:t> </w:t>
      </w:r>
      <w:r>
        <w:rPr/>
        <w:t>a</w:t>
      </w:r>
      <w:r>
        <w:rPr>
          <w:spacing w:val="-44"/>
        </w:rPr>
        <w:t> </w:t>
      </w:r>
      <w:r>
        <w:rPr/>
        <w:t>newly</w:t>
      </w:r>
      <w:r>
        <w:rPr>
          <w:spacing w:val="-39"/>
        </w:rPr>
        <w:t> </w:t>
      </w:r>
      <w:r>
        <w:rPr/>
        <w:t>identified</w:t>
      </w:r>
      <w:r>
        <w:rPr>
          <w:spacing w:val="-34"/>
        </w:rPr>
        <w:t> </w:t>
      </w:r>
      <w:r>
        <w:rPr/>
        <w:t>Leeds</w:t>
      </w:r>
      <w:r>
        <w:rPr>
          <w:spacing w:val="-38"/>
        </w:rPr>
        <w:t> </w:t>
      </w:r>
      <w:r>
        <w:rPr/>
        <w:t>Flood</w:t>
      </w:r>
      <w:r>
        <w:rPr>
          <w:spacing w:val="-37"/>
        </w:rPr>
        <w:t> </w:t>
      </w:r>
      <w:r>
        <w:rPr/>
        <w:t>Risk</w:t>
      </w:r>
      <w:r>
        <w:rPr>
          <w:spacing w:val="-36"/>
        </w:rPr>
        <w:t> </w:t>
      </w:r>
      <w:r>
        <w:rPr/>
        <w:t>Area,</w:t>
      </w:r>
      <w:r>
        <w:rPr>
          <w:spacing w:val="-35"/>
        </w:rPr>
        <w:t> </w:t>
      </w:r>
      <w:r>
        <w:rPr/>
        <w:t>alongside</w:t>
      </w:r>
      <w:r>
        <w:rPr>
          <w:spacing w:val="-36"/>
        </w:rPr>
        <w:t> </w:t>
      </w:r>
      <w:r>
        <w:rPr/>
        <w:t>new</w:t>
      </w:r>
      <w:r>
        <w:rPr>
          <w:spacing w:val="-37"/>
        </w:rPr>
        <w:t> </w:t>
      </w:r>
      <w:r>
        <w:rPr/>
        <w:t>preventative</w:t>
      </w:r>
      <w:r>
        <w:rPr>
          <w:spacing w:val="-35"/>
        </w:rPr>
        <w:t> </w:t>
      </w:r>
      <w:r>
        <w:rPr/>
        <w:t>measures, to be incorporated into our strategy. It also shows how previously identified works have been implemented and how priorities to remaining flooding problems have been updated. This has enabled</w:t>
      </w:r>
      <w:r>
        <w:rPr>
          <w:spacing w:val="-1"/>
        </w:rPr>
        <w:t> </w:t>
      </w:r>
      <w:r>
        <w:rPr/>
        <w:t>a</w:t>
      </w:r>
      <w:r>
        <w:rPr>
          <w:spacing w:val="-17"/>
        </w:rPr>
        <w:t> </w:t>
      </w:r>
      <w:r>
        <w:rPr/>
        <w:t>new</w:t>
      </w:r>
      <w:r>
        <w:rPr>
          <w:spacing w:val="1"/>
        </w:rPr>
        <w:t> </w:t>
      </w:r>
      <w:r>
        <w:rPr/>
        <w:t>programme</w:t>
      </w:r>
      <w:r>
        <w:rPr>
          <w:spacing w:val="5"/>
        </w:rPr>
        <w:t> </w:t>
      </w:r>
      <w:r>
        <w:rPr/>
        <w:t>of</w:t>
      </w:r>
      <w:r>
        <w:rPr>
          <w:spacing w:val="-16"/>
        </w:rPr>
        <w:t> </w:t>
      </w:r>
      <w:r>
        <w:rPr/>
        <w:t>works</w:t>
      </w:r>
      <w:r>
        <w:rPr>
          <w:spacing w:val="-1"/>
        </w:rPr>
        <w:t> </w:t>
      </w:r>
      <w:r>
        <w:rPr/>
        <w:t>as</w:t>
      </w:r>
      <w:r>
        <w:rPr>
          <w:spacing w:val="-15"/>
        </w:rPr>
        <w:t> </w:t>
      </w:r>
      <w:r>
        <w:rPr/>
        <w:t>the</w:t>
      </w:r>
      <w:r>
        <w:rPr>
          <w:spacing w:val="1"/>
        </w:rPr>
        <w:t> </w:t>
      </w:r>
      <w:r>
        <w:rPr/>
        <w:t>strategy</w:t>
      </w:r>
      <w:r>
        <w:rPr>
          <w:spacing w:val="-9"/>
        </w:rPr>
        <w:t> </w:t>
      </w:r>
      <w:r>
        <w:rPr/>
        <w:t>moves</w:t>
      </w:r>
      <w:r>
        <w:rPr>
          <w:spacing w:val="-6"/>
        </w:rPr>
        <w:t> </w:t>
      </w:r>
      <w:r>
        <w:rPr/>
        <w:t>into</w:t>
      </w:r>
      <w:r>
        <w:rPr>
          <w:spacing w:val="-12"/>
        </w:rPr>
        <w:t> </w:t>
      </w:r>
      <w:r>
        <w:rPr/>
        <w:t>its</w:t>
      </w:r>
      <w:r>
        <w:rPr>
          <w:spacing w:val="-16"/>
        </w:rPr>
        <w:t> </w:t>
      </w:r>
      <w:r>
        <w:rPr/>
        <w:t>next</w:t>
      </w:r>
      <w:r>
        <w:rPr>
          <w:spacing w:val="-7"/>
        </w:rPr>
        <w:t> </w:t>
      </w:r>
      <w:r>
        <w:rPr/>
        <w:t>phase.</w:t>
      </w:r>
    </w:p>
    <w:p>
      <w:pPr>
        <w:pStyle w:val="BodyText"/>
        <w:spacing w:before="6"/>
        <w:rPr>
          <w:sz w:val="31"/>
        </w:rPr>
      </w:pPr>
    </w:p>
    <w:p>
      <w:pPr>
        <w:pStyle w:val="BodyText"/>
        <w:spacing w:line="261" w:lineRule="auto"/>
        <w:ind w:left="1021" w:hanging="3"/>
      </w:pPr>
      <w:r>
        <w:rPr/>
        <w:t>Since 2012 flood alleviation measures have reduced flood risk to 3700 properties, the most significant</w:t>
      </w:r>
      <w:r>
        <w:rPr>
          <w:spacing w:val="-30"/>
        </w:rPr>
        <w:t> </w:t>
      </w:r>
      <w:r>
        <w:rPr/>
        <w:t>of</w:t>
      </w:r>
      <w:r>
        <w:rPr>
          <w:spacing w:val="-36"/>
        </w:rPr>
        <w:t> </w:t>
      </w:r>
      <w:r>
        <w:rPr/>
        <w:t>which</w:t>
      </w:r>
      <w:r>
        <w:rPr>
          <w:spacing w:val="-34"/>
        </w:rPr>
        <w:t> </w:t>
      </w:r>
      <w:r>
        <w:rPr/>
        <w:t>is</w:t>
      </w:r>
      <w:r>
        <w:rPr>
          <w:spacing w:val="-38"/>
        </w:rPr>
        <w:t> </w:t>
      </w:r>
      <w:r>
        <w:rPr/>
        <w:t>Leeds</w:t>
      </w:r>
      <w:r>
        <w:rPr>
          <w:spacing w:val="-35"/>
        </w:rPr>
        <w:t> </w:t>
      </w:r>
      <w:r>
        <w:rPr/>
        <w:t>Flood</w:t>
      </w:r>
      <w:r>
        <w:rPr>
          <w:spacing w:val="-33"/>
        </w:rPr>
        <w:t> </w:t>
      </w:r>
      <w:r>
        <w:rPr/>
        <w:t>Alleviation</w:t>
      </w:r>
      <w:r>
        <w:rPr>
          <w:spacing w:val="-31"/>
        </w:rPr>
        <w:t> </w:t>
      </w:r>
      <w:r>
        <w:rPr/>
        <w:t>Scheme</w:t>
      </w:r>
      <w:r>
        <w:rPr>
          <w:spacing w:val="-34"/>
        </w:rPr>
        <w:t> </w:t>
      </w:r>
      <w:r>
        <w:rPr/>
        <w:t>Phase</w:t>
      </w:r>
      <w:r>
        <w:rPr>
          <w:spacing w:val="-33"/>
        </w:rPr>
        <w:t> </w:t>
      </w:r>
      <w:r>
        <w:rPr/>
        <w:t>1.</w:t>
      </w:r>
      <w:r>
        <w:rPr>
          <w:spacing w:val="-40"/>
        </w:rPr>
        <w:t> </w:t>
      </w:r>
      <w:r>
        <w:rPr/>
        <w:t>Work</w:t>
      </w:r>
      <w:r>
        <w:rPr>
          <w:spacing w:val="-33"/>
        </w:rPr>
        <w:t> </w:t>
      </w:r>
      <w:r>
        <w:rPr/>
        <w:t>continues</w:t>
      </w:r>
      <w:r>
        <w:rPr>
          <w:spacing w:val="-32"/>
        </w:rPr>
        <w:t> </w:t>
      </w:r>
      <w:r>
        <w:rPr/>
        <w:t>to</w:t>
      </w:r>
      <w:r>
        <w:rPr>
          <w:spacing w:val="-38"/>
        </w:rPr>
        <w:t> </w:t>
      </w:r>
      <w:r>
        <w:rPr/>
        <w:t>assess</w:t>
      </w:r>
      <w:r>
        <w:rPr>
          <w:spacing w:val="-35"/>
        </w:rPr>
        <w:t> </w:t>
      </w:r>
      <w:r>
        <w:rPr/>
        <w:t>feasibility and</w:t>
      </w:r>
      <w:r>
        <w:rPr>
          <w:spacing w:val="-14"/>
        </w:rPr>
        <w:t> </w:t>
      </w:r>
      <w:r>
        <w:rPr/>
        <w:t>develop</w:t>
      </w:r>
      <w:r>
        <w:rPr>
          <w:spacing w:val="-11"/>
        </w:rPr>
        <w:t> </w:t>
      </w:r>
      <w:r>
        <w:rPr/>
        <w:t>designs</w:t>
      </w:r>
      <w:r>
        <w:rPr>
          <w:spacing w:val="-15"/>
        </w:rPr>
        <w:t> </w:t>
      </w:r>
      <w:r>
        <w:rPr/>
        <w:t>for</w:t>
      </w:r>
      <w:r>
        <w:rPr>
          <w:spacing w:val="-19"/>
        </w:rPr>
        <w:t> </w:t>
      </w:r>
      <w:r>
        <w:rPr/>
        <w:t>such</w:t>
      </w:r>
      <w:r>
        <w:rPr>
          <w:spacing w:val="-9"/>
        </w:rPr>
        <w:t> </w:t>
      </w:r>
      <w:r>
        <w:rPr/>
        <w:t>schemes,</w:t>
      </w:r>
      <w:r>
        <w:rPr>
          <w:spacing w:val="-11"/>
        </w:rPr>
        <w:t> </w:t>
      </w:r>
      <w:r>
        <w:rPr/>
        <w:t>including</w:t>
      </w:r>
      <w:r>
        <w:rPr>
          <w:spacing w:val="-9"/>
        </w:rPr>
        <w:t> </w:t>
      </w:r>
      <w:r>
        <w:rPr/>
        <w:t>Leeds</w:t>
      </w:r>
      <w:r>
        <w:rPr>
          <w:spacing w:val="-18"/>
        </w:rPr>
        <w:t> </w:t>
      </w:r>
      <w:r>
        <w:rPr/>
        <w:t>Flood</w:t>
      </w:r>
      <w:r>
        <w:rPr>
          <w:spacing w:val="-16"/>
        </w:rPr>
        <w:t> </w:t>
      </w:r>
      <w:r>
        <w:rPr/>
        <w:t>Alleviation</w:t>
      </w:r>
      <w:r>
        <w:rPr>
          <w:spacing w:val="-12"/>
        </w:rPr>
        <w:t> </w:t>
      </w:r>
      <w:r>
        <w:rPr/>
        <w:t>Scheme</w:t>
      </w:r>
      <w:r>
        <w:rPr>
          <w:spacing w:val="-16"/>
        </w:rPr>
        <w:t> </w:t>
      </w:r>
      <w:r>
        <w:rPr/>
        <w:t>Phase</w:t>
      </w:r>
      <w:r>
        <w:rPr>
          <w:spacing w:val="-14"/>
        </w:rPr>
        <w:t> </w:t>
      </w:r>
      <w:r>
        <w:rPr/>
        <w:t>2.</w:t>
      </w:r>
    </w:p>
    <w:p>
      <w:pPr>
        <w:pStyle w:val="BodyText"/>
        <w:spacing w:line="264" w:lineRule="auto" w:before="9"/>
        <w:ind w:left="1016" w:right="212" w:firstLine="1"/>
      </w:pPr>
      <w:r>
        <w:rPr/>
        <w:t>Construction</w:t>
      </w:r>
      <w:r>
        <w:rPr>
          <w:spacing w:val="-28"/>
        </w:rPr>
        <w:t> </w:t>
      </w:r>
      <w:r>
        <w:rPr/>
        <w:t>has</w:t>
      </w:r>
      <w:r>
        <w:rPr>
          <w:spacing w:val="-33"/>
        </w:rPr>
        <w:t> </w:t>
      </w:r>
      <w:r>
        <w:rPr/>
        <w:t>started</w:t>
      </w:r>
      <w:r>
        <w:rPr>
          <w:spacing w:val="-28"/>
        </w:rPr>
        <w:t> </w:t>
      </w:r>
      <w:r>
        <w:rPr/>
        <w:t>on</w:t>
      </w:r>
      <w:r>
        <w:rPr>
          <w:spacing w:val="-33"/>
        </w:rPr>
        <w:t> </w:t>
      </w:r>
      <w:r>
        <w:rPr/>
        <w:t>works</w:t>
      </w:r>
      <w:r>
        <w:rPr>
          <w:spacing w:val="-32"/>
        </w:rPr>
        <w:t> </w:t>
      </w:r>
      <w:r>
        <w:rPr/>
        <w:t>around</w:t>
      </w:r>
      <w:r>
        <w:rPr>
          <w:spacing w:val="-28"/>
        </w:rPr>
        <w:t> </w:t>
      </w:r>
      <w:r>
        <w:rPr/>
        <w:t>Killingbeck</w:t>
      </w:r>
      <w:r>
        <w:rPr>
          <w:spacing w:val="-25"/>
        </w:rPr>
        <w:t> </w:t>
      </w:r>
      <w:r>
        <w:rPr/>
        <w:t>that</w:t>
      </w:r>
      <w:r>
        <w:rPr>
          <w:spacing w:val="-36"/>
        </w:rPr>
        <w:t> </w:t>
      </w:r>
      <w:r>
        <w:rPr/>
        <w:t>will</w:t>
      </w:r>
      <w:r>
        <w:rPr>
          <w:spacing w:val="-30"/>
        </w:rPr>
        <w:t> </w:t>
      </w:r>
      <w:r>
        <w:rPr/>
        <w:t>reduce</w:t>
      </w:r>
      <w:r>
        <w:rPr>
          <w:spacing w:val="-32"/>
        </w:rPr>
        <w:t> </w:t>
      </w:r>
      <w:r>
        <w:rPr/>
        <w:t>the</w:t>
      </w:r>
      <w:r>
        <w:rPr>
          <w:spacing w:val="-37"/>
        </w:rPr>
        <w:t> </w:t>
      </w:r>
      <w:r>
        <w:rPr/>
        <w:t>risk</w:t>
      </w:r>
      <w:r>
        <w:rPr>
          <w:spacing w:val="-33"/>
        </w:rPr>
        <w:t> </w:t>
      </w:r>
      <w:r>
        <w:rPr/>
        <w:t>of</w:t>
      </w:r>
      <w:r>
        <w:rPr>
          <w:spacing w:val="-33"/>
        </w:rPr>
        <w:t> </w:t>
      </w:r>
      <w:r>
        <w:rPr/>
        <w:t>flooding</w:t>
      </w:r>
      <w:r>
        <w:rPr>
          <w:spacing w:val="-27"/>
        </w:rPr>
        <w:t> </w:t>
      </w:r>
      <w:r>
        <w:rPr/>
        <w:t>around</w:t>
      </w:r>
      <w:r>
        <w:rPr>
          <w:spacing w:val="-31"/>
        </w:rPr>
        <w:t> </w:t>
      </w:r>
      <w:r>
        <w:rPr/>
        <w:t>the area</w:t>
      </w:r>
      <w:r>
        <w:rPr>
          <w:spacing w:val="-25"/>
        </w:rPr>
        <w:t> </w:t>
      </w:r>
      <w:r>
        <w:rPr/>
        <w:t>and</w:t>
      </w:r>
      <w:r>
        <w:rPr>
          <w:spacing w:val="-23"/>
        </w:rPr>
        <w:t> </w:t>
      </w:r>
      <w:r>
        <w:rPr/>
        <w:t>will</w:t>
      </w:r>
      <w:r>
        <w:rPr>
          <w:spacing w:val="-23"/>
        </w:rPr>
        <w:t> </w:t>
      </w:r>
      <w:r>
        <w:rPr/>
        <w:t>open</w:t>
      </w:r>
      <w:r>
        <w:rPr>
          <w:spacing w:val="-24"/>
        </w:rPr>
        <w:t> </w:t>
      </w:r>
      <w:r>
        <w:rPr/>
        <w:t>the</w:t>
      </w:r>
      <w:r>
        <w:rPr>
          <w:spacing w:val="-25"/>
        </w:rPr>
        <w:t> </w:t>
      </w:r>
      <w:r>
        <w:rPr/>
        <w:t>area</w:t>
      </w:r>
      <w:r>
        <w:rPr>
          <w:spacing w:val="-29"/>
        </w:rPr>
        <w:t> </w:t>
      </w:r>
      <w:r>
        <w:rPr/>
        <w:t>up</w:t>
      </w:r>
      <w:r>
        <w:rPr>
          <w:spacing w:val="-22"/>
        </w:rPr>
        <w:t> </w:t>
      </w:r>
      <w:r>
        <w:rPr/>
        <w:t>to</w:t>
      </w:r>
      <w:r>
        <w:rPr>
          <w:spacing w:val="-30"/>
        </w:rPr>
        <w:t> </w:t>
      </w:r>
      <w:r>
        <w:rPr/>
        <w:t>the</w:t>
      </w:r>
      <w:r>
        <w:rPr>
          <w:spacing w:val="-29"/>
        </w:rPr>
        <w:t> </w:t>
      </w:r>
      <w:r>
        <w:rPr/>
        <w:t>potential</w:t>
      </w:r>
      <w:r>
        <w:rPr>
          <w:spacing w:val="-9"/>
        </w:rPr>
        <w:t> </w:t>
      </w:r>
      <w:r>
        <w:rPr/>
        <w:t>of</w:t>
      </w:r>
      <w:r>
        <w:rPr>
          <w:spacing w:val="-29"/>
        </w:rPr>
        <w:t> </w:t>
      </w:r>
      <w:r>
        <w:rPr/>
        <w:t>building</w:t>
      </w:r>
      <w:r>
        <w:rPr>
          <w:spacing w:val="-17"/>
        </w:rPr>
        <w:t> </w:t>
      </w:r>
      <w:r>
        <w:rPr/>
        <w:t>new</w:t>
      </w:r>
      <w:r>
        <w:rPr>
          <w:spacing w:val="-18"/>
        </w:rPr>
        <w:t> </w:t>
      </w:r>
      <w:r>
        <w:rPr/>
        <w:t>houses.</w:t>
      </w:r>
      <w:r>
        <w:rPr>
          <w:spacing w:val="16"/>
        </w:rPr>
        <w:t> </w:t>
      </w:r>
      <w:r>
        <w:rPr/>
        <w:t>We</w:t>
      </w:r>
      <w:r>
        <w:rPr>
          <w:spacing w:val="-29"/>
        </w:rPr>
        <w:t> </w:t>
      </w:r>
      <w:r>
        <w:rPr/>
        <w:t>have</w:t>
      </w:r>
      <w:r>
        <w:rPr>
          <w:spacing w:val="-26"/>
        </w:rPr>
        <w:t> </w:t>
      </w:r>
      <w:r>
        <w:rPr/>
        <w:t>been</w:t>
      </w:r>
      <w:r>
        <w:rPr>
          <w:spacing w:val="-20"/>
        </w:rPr>
        <w:t> </w:t>
      </w:r>
      <w:r>
        <w:rPr/>
        <w:t>successful, through</w:t>
      </w:r>
      <w:r>
        <w:rPr>
          <w:spacing w:val="-22"/>
        </w:rPr>
        <w:t> </w:t>
      </w:r>
      <w:r>
        <w:rPr/>
        <w:t>working</w:t>
      </w:r>
      <w:r>
        <w:rPr>
          <w:spacing w:val="-16"/>
        </w:rPr>
        <w:t> </w:t>
      </w:r>
      <w:r>
        <w:rPr/>
        <w:t>with</w:t>
      </w:r>
      <w:r>
        <w:rPr>
          <w:spacing w:val="-28"/>
        </w:rPr>
        <w:t> </w:t>
      </w:r>
      <w:r>
        <w:rPr/>
        <w:t>partners,</w:t>
      </w:r>
      <w:r>
        <w:rPr>
          <w:spacing w:val="-22"/>
        </w:rPr>
        <w:t> </w:t>
      </w:r>
      <w:r>
        <w:rPr/>
        <w:t>in</w:t>
      </w:r>
      <w:r>
        <w:rPr>
          <w:spacing w:val="-26"/>
        </w:rPr>
        <w:t> </w:t>
      </w:r>
      <w:r>
        <w:rPr/>
        <w:t>securing</w:t>
      </w:r>
      <w:r>
        <w:rPr>
          <w:spacing w:val="-21"/>
        </w:rPr>
        <w:t> </w:t>
      </w:r>
      <w:r>
        <w:rPr/>
        <w:t>funding</w:t>
      </w:r>
      <w:r>
        <w:rPr>
          <w:spacing w:val="-21"/>
        </w:rPr>
        <w:t> </w:t>
      </w:r>
      <w:r>
        <w:rPr/>
        <w:t>from</w:t>
      </w:r>
      <w:r>
        <w:rPr>
          <w:spacing w:val="-18"/>
        </w:rPr>
        <w:t> </w:t>
      </w:r>
      <w:r>
        <w:rPr/>
        <w:t>a</w:t>
      </w:r>
      <w:r>
        <w:rPr>
          <w:spacing w:val="-34"/>
        </w:rPr>
        <w:t> </w:t>
      </w:r>
      <w:r>
        <w:rPr/>
        <w:t>range</w:t>
      </w:r>
      <w:r>
        <w:rPr>
          <w:spacing w:val="-24"/>
        </w:rPr>
        <w:t> </w:t>
      </w:r>
      <w:r>
        <w:rPr/>
        <w:t>of</w:t>
      </w:r>
      <w:r>
        <w:rPr>
          <w:spacing w:val="-31"/>
        </w:rPr>
        <w:t> </w:t>
      </w:r>
      <w:r>
        <w:rPr/>
        <w:t>sources</w:t>
      </w:r>
      <w:r>
        <w:rPr>
          <w:spacing w:val="-25"/>
        </w:rPr>
        <w:t> </w:t>
      </w:r>
      <w:r>
        <w:rPr/>
        <w:t>including</w:t>
      </w:r>
      <w:r>
        <w:rPr>
          <w:spacing w:val="-21"/>
        </w:rPr>
        <w:t> </w:t>
      </w:r>
      <w:r>
        <w:rPr/>
        <w:t>the</w:t>
      </w:r>
      <w:r>
        <w:rPr>
          <w:spacing w:val="-27"/>
        </w:rPr>
        <w:t> </w:t>
      </w:r>
      <w:r>
        <w:rPr/>
        <w:t>EA,</w:t>
      </w:r>
      <w:r>
        <w:rPr>
          <w:spacing w:val="-27"/>
        </w:rPr>
        <w:t> </w:t>
      </w:r>
      <w:r>
        <w:rPr/>
        <w:t>local growth</w:t>
      </w:r>
      <w:r>
        <w:rPr>
          <w:spacing w:val="-35"/>
        </w:rPr>
        <w:t> </w:t>
      </w:r>
      <w:r>
        <w:rPr/>
        <w:t>deal,</w:t>
      </w:r>
      <w:r>
        <w:rPr>
          <w:spacing w:val="-34"/>
        </w:rPr>
        <w:t> </w:t>
      </w:r>
      <w:r>
        <w:rPr/>
        <w:t>central</w:t>
      </w:r>
      <w:r>
        <w:rPr>
          <w:spacing w:val="-34"/>
        </w:rPr>
        <w:t> </w:t>
      </w:r>
      <w:r>
        <w:rPr/>
        <w:t>government,</w:t>
      </w:r>
      <w:r>
        <w:rPr>
          <w:spacing w:val="-31"/>
        </w:rPr>
        <w:t> </w:t>
      </w:r>
      <w:r>
        <w:rPr/>
        <w:t>developers</w:t>
      </w:r>
      <w:r>
        <w:rPr>
          <w:spacing w:val="-31"/>
        </w:rPr>
        <w:t> </w:t>
      </w:r>
      <w:r>
        <w:rPr/>
        <w:t>and</w:t>
      </w:r>
      <w:r>
        <w:rPr>
          <w:spacing w:val="-34"/>
        </w:rPr>
        <w:t> </w:t>
      </w:r>
      <w:r>
        <w:rPr/>
        <w:t>our</w:t>
      </w:r>
      <w:r>
        <w:rPr>
          <w:spacing w:val="-37"/>
        </w:rPr>
        <w:t> </w:t>
      </w:r>
      <w:r>
        <w:rPr/>
        <w:t>own</w:t>
      </w:r>
      <w:r>
        <w:rPr>
          <w:spacing w:val="-36"/>
        </w:rPr>
        <w:t> </w:t>
      </w:r>
      <w:r>
        <w:rPr/>
        <w:t>budgets.</w:t>
      </w:r>
      <w:r>
        <w:rPr>
          <w:spacing w:val="-30"/>
        </w:rPr>
        <w:t> </w:t>
      </w:r>
      <w:r>
        <w:rPr/>
        <w:t>Updating</w:t>
      </w:r>
      <w:r>
        <w:rPr>
          <w:spacing w:val="-31"/>
        </w:rPr>
        <w:t> </w:t>
      </w:r>
      <w:r>
        <w:rPr/>
        <w:t>our</w:t>
      </w:r>
      <w:r>
        <w:rPr>
          <w:spacing w:val="-38"/>
        </w:rPr>
        <w:t> </w:t>
      </w:r>
      <w:r>
        <w:rPr/>
        <w:t>strategy</w:t>
      </w:r>
      <w:r>
        <w:rPr>
          <w:spacing w:val="-36"/>
        </w:rPr>
        <w:t> </w:t>
      </w:r>
      <w:r>
        <w:rPr/>
        <w:t>allows</w:t>
      </w:r>
      <w:r>
        <w:rPr>
          <w:spacing w:val="-38"/>
        </w:rPr>
        <w:t> </w:t>
      </w:r>
      <w:r>
        <w:rPr/>
        <w:t>us to</w:t>
      </w:r>
      <w:r>
        <w:rPr>
          <w:spacing w:val="-33"/>
        </w:rPr>
        <w:t> </w:t>
      </w:r>
      <w:r>
        <w:rPr/>
        <w:t>build</w:t>
      </w:r>
      <w:r>
        <w:rPr>
          <w:spacing w:val="-23"/>
        </w:rPr>
        <w:t> </w:t>
      </w:r>
      <w:r>
        <w:rPr/>
        <w:t>on</w:t>
      </w:r>
      <w:r>
        <w:rPr>
          <w:spacing w:val="-30"/>
        </w:rPr>
        <w:t> </w:t>
      </w:r>
      <w:r>
        <w:rPr/>
        <w:t>previous</w:t>
      </w:r>
      <w:r>
        <w:rPr>
          <w:spacing w:val="-23"/>
        </w:rPr>
        <w:t> </w:t>
      </w:r>
      <w:r>
        <w:rPr/>
        <w:t>achievements</w:t>
      </w:r>
      <w:r>
        <w:rPr>
          <w:spacing w:val="-15"/>
        </w:rPr>
        <w:t> </w:t>
      </w:r>
      <w:r>
        <w:rPr/>
        <w:t>and</w:t>
      </w:r>
      <w:r>
        <w:rPr>
          <w:spacing w:val="-27"/>
        </w:rPr>
        <w:t> </w:t>
      </w:r>
      <w:r>
        <w:rPr/>
        <w:t>to</w:t>
      </w:r>
      <w:r>
        <w:rPr>
          <w:spacing w:val="-32"/>
        </w:rPr>
        <w:t> </w:t>
      </w:r>
      <w:r>
        <w:rPr/>
        <w:t>keep</w:t>
      </w:r>
      <w:r>
        <w:rPr>
          <w:spacing w:val="-20"/>
        </w:rPr>
        <w:t> </w:t>
      </w:r>
      <w:r>
        <w:rPr/>
        <w:t>our</w:t>
      </w:r>
      <w:r>
        <w:rPr>
          <w:spacing w:val="-30"/>
        </w:rPr>
        <w:t> </w:t>
      </w:r>
      <w:r>
        <w:rPr/>
        <w:t>momentum</w:t>
      </w:r>
      <w:r>
        <w:rPr>
          <w:spacing w:val="-12"/>
        </w:rPr>
        <w:t> </w:t>
      </w:r>
      <w:r>
        <w:rPr/>
        <w:t>to</w:t>
      </w:r>
      <w:r>
        <w:rPr>
          <w:spacing w:val="-29"/>
        </w:rPr>
        <w:t> </w:t>
      </w:r>
      <w:r>
        <w:rPr/>
        <w:t>continue</w:t>
      </w:r>
      <w:r>
        <w:rPr>
          <w:spacing w:val="-18"/>
        </w:rPr>
        <w:t> </w:t>
      </w:r>
      <w:r>
        <w:rPr/>
        <w:t>to</w:t>
      </w:r>
      <w:r>
        <w:rPr>
          <w:spacing w:val="-28"/>
        </w:rPr>
        <w:t> </w:t>
      </w:r>
      <w:r>
        <w:rPr/>
        <w:t>deliver</w:t>
      </w:r>
      <w:r>
        <w:rPr>
          <w:spacing w:val="-27"/>
        </w:rPr>
        <w:t> </w:t>
      </w:r>
      <w:r>
        <w:rPr/>
        <w:t>reductions</w:t>
      </w:r>
      <w:r>
        <w:rPr>
          <w:spacing w:val="-21"/>
        </w:rPr>
        <w:t> </w:t>
      </w:r>
      <w:r>
        <w:rPr/>
        <w:t>in flood</w:t>
      </w:r>
      <w:r>
        <w:rPr>
          <w:spacing w:val="-35"/>
        </w:rPr>
        <w:t> </w:t>
      </w:r>
      <w:r>
        <w:rPr/>
        <w:t>risk.</w:t>
      </w:r>
      <w:r>
        <w:rPr>
          <w:spacing w:val="-32"/>
        </w:rPr>
        <w:t> </w:t>
      </w:r>
      <w:r>
        <w:rPr/>
        <w:t>By</w:t>
      </w:r>
      <w:r>
        <w:rPr>
          <w:spacing w:val="-35"/>
        </w:rPr>
        <w:t> </w:t>
      </w:r>
      <w:r>
        <w:rPr/>
        <w:t>doing</w:t>
      </w:r>
      <w:r>
        <w:rPr>
          <w:spacing w:val="-32"/>
        </w:rPr>
        <w:t> </w:t>
      </w:r>
      <w:r>
        <w:rPr/>
        <w:t>this</w:t>
      </w:r>
      <w:r>
        <w:rPr>
          <w:spacing w:val="-34"/>
        </w:rPr>
        <w:t> </w:t>
      </w:r>
      <w:r>
        <w:rPr/>
        <w:t>we</w:t>
      </w:r>
      <w:r>
        <w:rPr>
          <w:spacing w:val="-30"/>
        </w:rPr>
        <w:t> </w:t>
      </w:r>
      <w:r>
        <w:rPr/>
        <w:t>support</w:t>
      </w:r>
      <w:r>
        <w:rPr>
          <w:spacing w:val="-26"/>
        </w:rPr>
        <w:t> </w:t>
      </w:r>
      <w:r>
        <w:rPr/>
        <w:t>ongoing</w:t>
      </w:r>
      <w:r>
        <w:rPr>
          <w:spacing w:val="-22"/>
        </w:rPr>
        <w:t> </w:t>
      </w:r>
      <w:r>
        <w:rPr/>
        <w:t>sustainable</w:t>
      </w:r>
      <w:r>
        <w:rPr>
          <w:spacing w:val="-24"/>
        </w:rPr>
        <w:t> </w:t>
      </w:r>
      <w:r>
        <w:rPr/>
        <w:t>growth</w:t>
      </w:r>
      <w:r>
        <w:rPr>
          <w:spacing w:val="-29"/>
        </w:rPr>
        <w:t> </w:t>
      </w:r>
      <w:r>
        <w:rPr/>
        <w:t>and</w:t>
      </w:r>
      <w:r>
        <w:rPr>
          <w:spacing w:val="-32"/>
        </w:rPr>
        <w:t> </w:t>
      </w:r>
      <w:r>
        <w:rPr/>
        <w:t>regeneration</w:t>
      </w:r>
      <w:r>
        <w:rPr>
          <w:spacing w:val="-25"/>
        </w:rPr>
        <w:t> </w:t>
      </w:r>
      <w:r>
        <w:rPr/>
        <w:t>for</w:t>
      </w:r>
      <w:r>
        <w:rPr>
          <w:spacing w:val="-35"/>
        </w:rPr>
        <w:t> </w:t>
      </w:r>
      <w:r>
        <w:rPr/>
        <w:t>the</w:t>
      </w:r>
      <w:r>
        <w:rPr>
          <w:spacing w:val="-34"/>
        </w:rPr>
        <w:t> </w:t>
      </w:r>
      <w:r>
        <w:rPr/>
        <w:t>city</w:t>
      </w:r>
      <w:r>
        <w:rPr>
          <w:spacing w:val="-34"/>
        </w:rPr>
        <w:t> </w:t>
      </w:r>
      <w:r>
        <w:rPr/>
        <w:t>region, as well as sustaining safe, healthy</w:t>
      </w:r>
      <w:r>
        <w:rPr>
          <w:spacing w:val="15"/>
        </w:rPr>
        <w:t> </w:t>
      </w:r>
      <w:r>
        <w:rPr/>
        <w:t>communities.</w:t>
      </w:r>
    </w:p>
    <w:p>
      <w:pPr>
        <w:pStyle w:val="BodyText"/>
        <w:spacing w:before="5"/>
        <w:rPr>
          <w:sz w:val="32"/>
        </w:rPr>
      </w:pPr>
    </w:p>
    <w:p>
      <w:pPr>
        <w:pStyle w:val="BodyText"/>
        <w:ind w:left="1018"/>
      </w:pPr>
      <w:r>
        <w:rPr>
          <w:color w:val="FF5064"/>
          <w:w w:val="110"/>
        </w:rPr>
        <w:t>Contact </w:t>
      </w:r>
      <w:r>
        <w:rPr>
          <w:color w:val="CA504D"/>
          <w:w w:val="110"/>
        </w:rPr>
        <w:t>name </w:t>
      </w:r>
      <w:r>
        <w:rPr>
          <w:color w:val="FF4F4B"/>
          <w:w w:val="110"/>
        </w:rPr>
        <w:t>Cllr </w:t>
      </w:r>
      <w:r>
        <w:rPr>
          <w:color w:val="E84246"/>
          <w:w w:val="110"/>
        </w:rPr>
        <w:t>Richard </w:t>
      </w:r>
      <w:r>
        <w:rPr>
          <w:color w:val="F2344F"/>
          <w:w w:val="110"/>
        </w:rPr>
        <w:t>Lewis</w:t>
      </w:r>
    </w:p>
    <w:p>
      <w:pPr>
        <w:pStyle w:val="BodyText"/>
        <w:spacing w:before="177"/>
        <w:ind w:left="1018"/>
      </w:pPr>
      <w:r>
        <w:rPr>
          <w:w w:val="105"/>
        </w:rPr>
        <w:t>Contact details: 0113 378 8529 | richard. </w:t>
      </w:r>
      <w:hyperlink r:id="rId33">
        <w:r>
          <w:rPr>
            <w:w w:val="105"/>
          </w:rPr>
          <w:t>Iewis@leeds.gov. </w:t>
        </w:r>
      </w:hyperlink>
      <w:r>
        <w:rPr>
          <w:w w:val="105"/>
        </w:rPr>
        <w:t>uk</w:t>
      </w:r>
    </w:p>
    <w:p>
      <w:pPr>
        <w:spacing w:after="0"/>
        <w:sectPr>
          <w:footerReference w:type="default" r:id="rId31"/>
          <w:pgSz w:w="11920" w:h="16850"/>
          <w:pgMar w:footer="1246" w:header="0" w:top="580" w:bottom="1440" w:left="40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85"/>
        <w:ind w:left="1021" w:right="0" w:firstLine="0"/>
        <w:jc w:val="left"/>
        <w:rPr>
          <w:sz w:val="48"/>
        </w:rPr>
      </w:pPr>
      <w:r>
        <w:rPr/>
        <w:pict>
          <v:group style="position:absolute;margin-left:526.035522pt;margin-top:44.5201pt;width:31.7pt;height:142.8pt;mso-position-horizontal-relative:page;mso-position-vertical-relative:paragraph;z-index:1696" coordorigin="10521,890" coordsize="634,2856">
            <v:shape style="position:absolute;left:10520;top:981;width:634;height:2765" type="#_x0000_t75" stroked="false">
              <v:imagedata r:id="rId35" o:title=""/>
            </v:shape>
            <v:line style="position:absolute" from="10588,902" to="11092,902" stroked="true" strokeweight="1.1999pt" strokecolor="#877770">
              <v:stroke dashstyle="solid"/>
            </v:line>
            <w10:wrap type="none"/>
          </v:group>
        </w:pict>
      </w:r>
      <w:r>
        <w:rPr/>
        <w:drawing>
          <wp:anchor distT="0" distB="0" distL="0" distR="0" allowOverlap="1" layoutInCell="1" locked="0" behindDoc="0" simplePos="0" relativeHeight="1720">
            <wp:simplePos x="0" y="0"/>
            <wp:positionH relativeFrom="page">
              <wp:posOffset>5601750</wp:posOffset>
            </wp:positionH>
            <wp:positionV relativeFrom="paragraph">
              <wp:posOffset>641598</wp:posOffset>
            </wp:positionV>
            <wp:extent cx="1005754" cy="1737216"/>
            <wp:effectExtent l="0" t="0" r="0" b="0"/>
            <wp:wrapNone/>
            <wp:docPr id="39" name="image23.jpeg" descr=""/>
            <wp:cNvGraphicFramePr>
              <a:graphicFrameLocks noChangeAspect="1"/>
            </wp:cNvGraphicFramePr>
            <a:graphic>
              <a:graphicData uri="http://schemas.openxmlformats.org/drawingml/2006/picture">
                <pic:pic>
                  <pic:nvPicPr>
                    <pic:cNvPr id="40" name="image23.jpeg"/>
                    <pic:cNvPicPr/>
                  </pic:nvPicPr>
                  <pic:blipFill>
                    <a:blip r:embed="rId36" cstate="print"/>
                    <a:stretch>
                      <a:fillRect/>
                    </a:stretch>
                  </pic:blipFill>
                  <pic:spPr>
                    <a:xfrm>
                      <a:off x="0" y="0"/>
                      <a:ext cx="1005754" cy="1737216"/>
                    </a:xfrm>
                    <a:prstGeom prst="rect">
                      <a:avLst/>
                    </a:prstGeom>
                  </pic:spPr>
                </pic:pic>
              </a:graphicData>
            </a:graphic>
          </wp:anchor>
        </w:drawing>
      </w:r>
      <w:r>
        <w:rPr/>
        <w:pict>
          <v:group style="position:absolute;margin-left:537.554504pt;margin-top:-62.750999pt;width:5.8pt;height:34.6pt;mso-position-horizontal-relative:page;mso-position-vertical-relative:paragraph;z-index:1744" coordorigin="10751,-1255" coordsize="116,692">
            <v:shape style="position:absolute;left:10751;top:-1256;width:116;height:39" type="#_x0000_t75" stroked="false">
              <v:imagedata r:id="rId27" o:title=""/>
            </v:shape>
            <v:shape style="position:absolute;left:10827;top:-641;width:39;height:77" type="#_x0000_t75" stroked="false">
              <v:imagedata r:id="rId28" o:title=""/>
            </v:shape>
            <v:line style="position:absolute" from="10804,-1255" to="10804,-573" stroked="true" strokeweight="5.279551pt" strokecolor="#d85970">
              <v:stroke dashstyle="solid"/>
            </v:line>
            <w10:wrap type="none"/>
          </v:group>
        </w:pict>
      </w:r>
      <w:bookmarkStart w:name="Leeds LFRMS 2018 Update_Page_12" w:id="13"/>
      <w:bookmarkEnd w:id="13"/>
      <w:r>
        <w:rPr/>
      </w:r>
      <w:r>
        <w:rPr>
          <w:sz w:val="48"/>
        </w:rPr>
        <w:t>EXECUTIVE SUMMARY</w:t>
      </w:r>
    </w:p>
    <w:p>
      <w:pPr>
        <w:pStyle w:val="BodyText"/>
        <w:spacing w:before="1"/>
        <w:rPr>
          <w:sz w:val="16"/>
        </w:rPr>
      </w:pPr>
      <w:r>
        <w:rPr/>
        <w:pict>
          <v:line style="position:absolute;mso-position-horizontal-relative:page;mso-position-vertical-relative:paragraph;z-index:-424;mso-wrap-distance-left:0;mso-wrap-distance-right:0" from="453.081604pt,11.841016pt" to="479.71934pt,11.841016pt" stroked="true" strokeweight="1.1999pt" strokecolor="#837067">
            <v:stroke dashstyle="solid"/>
            <w10:wrap type="topAndBottom"/>
          </v:line>
        </w:pict>
      </w:r>
    </w:p>
    <w:p>
      <w:pPr>
        <w:pStyle w:val="BodyText"/>
        <w:rPr>
          <w:sz w:val="54"/>
        </w:rPr>
      </w:pPr>
    </w:p>
    <w:p>
      <w:pPr>
        <w:pStyle w:val="BodyText"/>
        <w:spacing w:line="264" w:lineRule="auto" w:before="377"/>
        <w:ind w:left="1015" w:right="2801" w:firstLine="9"/>
      </w:pPr>
      <w:r>
        <w:rPr/>
        <w:t>The</w:t>
      </w:r>
      <w:r>
        <w:rPr>
          <w:spacing w:val="-38"/>
        </w:rPr>
        <w:t> </w:t>
      </w:r>
      <w:r>
        <w:rPr/>
        <w:t>scope</w:t>
      </w:r>
      <w:r>
        <w:rPr>
          <w:spacing w:val="-35"/>
        </w:rPr>
        <w:t> </w:t>
      </w:r>
      <w:r>
        <w:rPr/>
        <w:t>of</w:t>
      </w:r>
      <w:r>
        <w:rPr>
          <w:spacing w:val="-39"/>
        </w:rPr>
        <w:t> </w:t>
      </w:r>
      <w:r>
        <w:rPr/>
        <w:t>this</w:t>
      </w:r>
      <w:r>
        <w:rPr>
          <w:spacing w:val="-39"/>
        </w:rPr>
        <w:t> </w:t>
      </w:r>
      <w:r>
        <w:rPr/>
        <w:t>updated</w:t>
      </w:r>
      <w:r>
        <w:rPr>
          <w:spacing w:val="-32"/>
        </w:rPr>
        <w:t> </w:t>
      </w:r>
      <w:r>
        <w:rPr/>
        <w:t>Local</w:t>
      </w:r>
      <w:r>
        <w:rPr>
          <w:spacing w:val="-36"/>
        </w:rPr>
        <w:t> </w:t>
      </w:r>
      <w:r>
        <w:rPr/>
        <w:t>Flood</w:t>
      </w:r>
      <w:r>
        <w:rPr>
          <w:spacing w:val="-34"/>
        </w:rPr>
        <w:t> </w:t>
      </w:r>
      <w:r>
        <w:rPr/>
        <w:t>Risk</w:t>
      </w:r>
      <w:r>
        <w:rPr>
          <w:spacing w:val="-33"/>
        </w:rPr>
        <w:t> </w:t>
      </w:r>
      <w:r>
        <w:rPr/>
        <w:t>Management</w:t>
      </w:r>
      <w:r>
        <w:rPr>
          <w:spacing w:val="-28"/>
        </w:rPr>
        <w:t> </w:t>
      </w:r>
      <w:r>
        <w:rPr/>
        <w:t>Strategy</w:t>
      </w:r>
      <w:r>
        <w:rPr>
          <w:spacing w:val="-31"/>
        </w:rPr>
        <w:t> </w:t>
      </w:r>
      <w:r>
        <w:rPr/>
        <w:t>covers all</w:t>
      </w:r>
      <w:r>
        <w:rPr>
          <w:spacing w:val="-24"/>
        </w:rPr>
        <w:t> </w:t>
      </w:r>
      <w:r>
        <w:rPr/>
        <w:t>sources</w:t>
      </w:r>
      <w:r>
        <w:rPr>
          <w:spacing w:val="-19"/>
        </w:rPr>
        <w:t> </w:t>
      </w:r>
      <w:r>
        <w:rPr/>
        <w:t>of</w:t>
      </w:r>
      <w:r>
        <w:rPr>
          <w:spacing w:val="-27"/>
        </w:rPr>
        <w:t> </w:t>
      </w:r>
      <w:r>
        <w:rPr/>
        <w:t>flooding.</w:t>
      </w:r>
      <w:r>
        <w:rPr>
          <w:spacing w:val="-21"/>
        </w:rPr>
        <w:t> </w:t>
      </w:r>
      <w:r>
        <w:rPr/>
        <w:t>It</w:t>
      </w:r>
      <w:r>
        <w:rPr>
          <w:spacing w:val="-31"/>
        </w:rPr>
        <w:t> </w:t>
      </w:r>
      <w:r>
        <w:rPr/>
        <w:t>focuses</w:t>
      </w:r>
      <w:r>
        <w:rPr>
          <w:spacing w:val="-18"/>
        </w:rPr>
        <w:t> </w:t>
      </w:r>
      <w:r>
        <w:rPr/>
        <w:t>on</w:t>
      </w:r>
      <w:r>
        <w:rPr>
          <w:spacing w:val="-28"/>
        </w:rPr>
        <w:t> </w:t>
      </w:r>
      <w:r>
        <w:rPr/>
        <w:t>‘local</w:t>
      </w:r>
      <w:r>
        <w:rPr>
          <w:spacing w:val="-22"/>
        </w:rPr>
        <w:t> </w:t>
      </w:r>
      <w:r>
        <w:rPr/>
        <w:t>flooding’</w:t>
      </w:r>
      <w:r>
        <w:rPr>
          <w:spacing w:val="-19"/>
        </w:rPr>
        <w:t> </w:t>
      </w:r>
      <w:r>
        <w:rPr/>
        <w:t>that</w:t>
      </w:r>
      <w:r>
        <w:rPr>
          <w:spacing w:val="-20"/>
        </w:rPr>
        <w:t> </w:t>
      </w:r>
      <w:r>
        <w:rPr/>
        <w:t>originates</w:t>
      </w:r>
      <w:r>
        <w:rPr>
          <w:spacing w:val="-19"/>
        </w:rPr>
        <w:t> </w:t>
      </w:r>
      <w:r>
        <w:rPr/>
        <w:t>from ordinary watercourses, surface water, sewers (rainfall only) and groundwater. It also includes Main River flooding and although this is primarily</w:t>
      </w:r>
      <w:r>
        <w:rPr>
          <w:spacing w:val="-32"/>
        </w:rPr>
        <w:t> </w:t>
      </w:r>
      <w:r>
        <w:rPr/>
        <w:t>the</w:t>
      </w:r>
      <w:r>
        <w:rPr>
          <w:spacing w:val="-37"/>
        </w:rPr>
        <w:t> </w:t>
      </w:r>
      <w:r>
        <w:rPr/>
        <w:t>Environment</w:t>
      </w:r>
      <w:r>
        <w:rPr>
          <w:spacing w:val="-29"/>
        </w:rPr>
        <w:t> </w:t>
      </w:r>
      <w:r>
        <w:rPr/>
        <w:t>Agency’s</w:t>
      </w:r>
      <w:r>
        <w:rPr>
          <w:spacing w:val="-36"/>
        </w:rPr>
        <w:t> </w:t>
      </w:r>
      <w:r>
        <w:rPr/>
        <w:t>responsibility;</w:t>
      </w:r>
      <w:r>
        <w:rPr>
          <w:spacing w:val="-35"/>
        </w:rPr>
        <w:t> </w:t>
      </w:r>
      <w:r>
        <w:rPr/>
        <w:t>however,</w:t>
      </w:r>
      <w:r>
        <w:rPr>
          <w:spacing w:val="-36"/>
        </w:rPr>
        <w:t> </w:t>
      </w:r>
      <w:r>
        <w:rPr/>
        <w:t>its</w:t>
      </w:r>
      <w:r>
        <w:rPr>
          <w:spacing w:val="-41"/>
        </w:rPr>
        <w:t> </w:t>
      </w:r>
      <w:r>
        <w:rPr/>
        <w:t>inclusion here</w:t>
      </w:r>
      <w:r>
        <w:rPr>
          <w:spacing w:val="-9"/>
        </w:rPr>
        <w:t> </w:t>
      </w:r>
      <w:r>
        <w:rPr/>
        <w:t>allows</w:t>
      </w:r>
      <w:r>
        <w:rPr>
          <w:spacing w:val="-10"/>
        </w:rPr>
        <w:t> </w:t>
      </w:r>
      <w:r>
        <w:rPr/>
        <w:t>the</w:t>
      </w:r>
      <w:r>
        <w:rPr>
          <w:spacing w:val="-16"/>
        </w:rPr>
        <w:t> </w:t>
      </w:r>
      <w:r>
        <w:rPr/>
        <w:t>impact</w:t>
      </w:r>
      <w:r>
        <w:rPr>
          <w:spacing w:val="-3"/>
        </w:rPr>
        <w:t> </w:t>
      </w:r>
      <w:r>
        <w:rPr/>
        <w:t>on</w:t>
      </w:r>
      <w:r>
        <w:rPr>
          <w:spacing w:val="-14"/>
        </w:rPr>
        <w:t> </w:t>
      </w:r>
      <w:r>
        <w:rPr/>
        <w:t>the</w:t>
      </w:r>
      <w:r>
        <w:rPr>
          <w:spacing w:val="-7"/>
        </w:rPr>
        <w:t> </w:t>
      </w:r>
      <w:r>
        <w:rPr/>
        <w:t>local</w:t>
      </w:r>
      <w:r>
        <w:rPr>
          <w:spacing w:val="-6"/>
        </w:rPr>
        <w:t> </w:t>
      </w:r>
      <w:r>
        <w:rPr/>
        <w:t>situation</w:t>
      </w:r>
      <w:r>
        <w:rPr>
          <w:spacing w:val="-6"/>
        </w:rPr>
        <w:t> </w:t>
      </w:r>
      <w:r>
        <w:rPr/>
        <w:t>to</w:t>
      </w:r>
      <w:r>
        <w:rPr>
          <w:spacing w:val="-9"/>
        </w:rPr>
        <w:t> </w:t>
      </w:r>
      <w:r>
        <w:rPr/>
        <w:t>be</w:t>
      </w:r>
      <w:r>
        <w:rPr>
          <w:spacing w:val="-18"/>
        </w:rPr>
        <w:t> </w:t>
      </w:r>
      <w:r>
        <w:rPr/>
        <w:t>recognised.</w:t>
      </w:r>
    </w:p>
    <w:p>
      <w:pPr>
        <w:pStyle w:val="BodyText"/>
        <w:spacing w:before="8"/>
        <w:rPr>
          <w:sz w:val="24"/>
        </w:rPr>
      </w:pPr>
      <w:r>
        <w:rPr/>
        <w:pict>
          <v:line style="position:absolute;mso-position-horizontal-relative:page;mso-position-vertical-relative:paragraph;z-index:-400;mso-wrap-distance-left:0;mso-wrap-distance-right:0" from="70.074074pt,16.762148pt" to="562.752194pt,16.762148pt" stroked="true" strokeweight="1.1999pt" strokecolor="#f43f2f">
            <v:stroke dashstyle="solid"/>
            <w10:wrap type="topAndBottom"/>
          </v:line>
        </w:pict>
      </w:r>
    </w:p>
    <w:p>
      <w:pPr>
        <w:pStyle w:val="BodyText"/>
        <w:spacing w:line="266" w:lineRule="auto" w:before="96"/>
        <w:ind w:left="1021" w:firstLine="3"/>
      </w:pPr>
      <w:r>
        <w:rPr/>
        <w:t>The</w:t>
      </w:r>
      <w:r>
        <w:rPr>
          <w:spacing w:val="-39"/>
        </w:rPr>
        <w:t> </w:t>
      </w:r>
      <w:r>
        <w:rPr/>
        <w:t>purpose</w:t>
      </w:r>
      <w:r>
        <w:rPr>
          <w:spacing w:val="-29"/>
        </w:rPr>
        <w:t> </w:t>
      </w:r>
      <w:r>
        <w:rPr/>
        <w:t>of</w:t>
      </w:r>
      <w:r>
        <w:rPr>
          <w:spacing w:val="-37"/>
        </w:rPr>
        <w:t> </w:t>
      </w:r>
      <w:r>
        <w:rPr/>
        <w:t>this</w:t>
      </w:r>
      <w:r>
        <w:rPr>
          <w:spacing w:val="-34"/>
        </w:rPr>
        <w:t> </w:t>
      </w:r>
      <w:r>
        <w:rPr/>
        <w:t>strategy</w:t>
      </w:r>
      <w:r>
        <w:rPr>
          <w:spacing w:val="-33"/>
        </w:rPr>
        <w:t> </w:t>
      </w:r>
      <w:r>
        <w:rPr/>
        <w:t>is</w:t>
      </w:r>
      <w:r>
        <w:rPr>
          <w:spacing w:val="-43"/>
        </w:rPr>
        <w:t> </w:t>
      </w:r>
      <w:r>
        <w:rPr/>
        <w:t>to</w:t>
      </w:r>
      <w:r>
        <w:rPr>
          <w:spacing w:val="-36"/>
        </w:rPr>
        <w:t> </w:t>
      </w:r>
      <w:r>
        <w:rPr/>
        <w:t>guide</w:t>
      </w:r>
      <w:r>
        <w:rPr>
          <w:spacing w:val="-32"/>
        </w:rPr>
        <w:t> </w:t>
      </w:r>
      <w:r>
        <w:rPr/>
        <w:t>the</w:t>
      </w:r>
      <w:r>
        <w:rPr>
          <w:spacing w:val="-36"/>
        </w:rPr>
        <w:t> </w:t>
      </w:r>
      <w:r>
        <w:rPr/>
        <w:t>activities</w:t>
      </w:r>
      <w:r>
        <w:rPr>
          <w:spacing w:val="-35"/>
        </w:rPr>
        <w:t> </w:t>
      </w:r>
      <w:r>
        <w:rPr/>
        <w:t>undertaken</w:t>
      </w:r>
      <w:r>
        <w:rPr>
          <w:spacing w:val="-30"/>
        </w:rPr>
        <w:t> </w:t>
      </w:r>
      <w:r>
        <w:rPr/>
        <w:t>by</w:t>
      </w:r>
      <w:r>
        <w:rPr>
          <w:spacing w:val="-34"/>
        </w:rPr>
        <w:t> </w:t>
      </w:r>
      <w:r>
        <w:rPr/>
        <w:t>Risk</w:t>
      </w:r>
      <w:r>
        <w:rPr>
          <w:spacing w:val="-30"/>
        </w:rPr>
        <w:t> </w:t>
      </w:r>
      <w:r>
        <w:rPr/>
        <w:t>Management</w:t>
      </w:r>
      <w:r>
        <w:rPr>
          <w:spacing w:val="-24"/>
        </w:rPr>
        <w:t> </w:t>
      </w:r>
      <w:r>
        <w:rPr/>
        <w:t>Authorities operating</w:t>
      </w:r>
      <w:r>
        <w:rPr>
          <w:spacing w:val="-22"/>
        </w:rPr>
        <w:t> </w:t>
      </w:r>
      <w:r>
        <w:rPr/>
        <w:t>in</w:t>
      </w:r>
      <w:r>
        <w:rPr>
          <w:spacing w:val="-30"/>
        </w:rPr>
        <w:t> </w:t>
      </w:r>
      <w:r>
        <w:rPr/>
        <w:t>the</w:t>
      </w:r>
      <w:r>
        <w:rPr>
          <w:spacing w:val="-32"/>
        </w:rPr>
        <w:t> </w:t>
      </w:r>
      <w:r>
        <w:rPr/>
        <w:t>metropolitan</w:t>
      </w:r>
      <w:r>
        <w:rPr>
          <w:spacing w:val="-13"/>
        </w:rPr>
        <w:t> </w:t>
      </w:r>
      <w:r>
        <w:rPr/>
        <w:t>district</w:t>
      </w:r>
      <w:r>
        <w:rPr>
          <w:spacing w:val="-24"/>
        </w:rPr>
        <w:t> </w:t>
      </w:r>
      <w:r>
        <w:rPr/>
        <w:t>of</w:t>
      </w:r>
      <w:r>
        <w:rPr>
          <w:spacing w:val="-25"/>
        </w:rPr>
        <w:t> </w:t>
      </w:r>
      <w:r>
        <w:rPr/>
        <w:t>Leeds.</w:t>
      </w:r>
      <w:r>
        <w:rPr>
          <w:spacing w:val="-18"/>
        </w:rPr>
        <w:t> </w:t>
      </w:r>
      <w:r>
        <w:rPr/>
        <w:t>These</w:t>
      </w:r>
      <w:r>
        <w:rPr>
          <w:spacing w:val="-25"/>
        </w:rPr>
        <w:t> </w:t>
      </w:r>
      <w:r>
        <w:rPr/>
        <w:t>are</w:t>
      </w:r>
      <w:r>
        <w:rPr>
          <w:spacing w:val="-28"/>
        </w:rPr>
        <w:t> </w:t>
      </w:r>
      <w:r>
        <w:rPr/>
        <w:t>Leeds</w:t>
      </w:r>
      <w:r>
        <w:rPr>
          <w:spacing w:val="-26"/>
        </w:rPr>
        <w:t> </w:t>
      </w:r>
      <w:r>
        <w:rPr/>
        <w:t>City</w:t>
      </w:r>
      <w:r>
        <w:rPr>
          <w:spacing w:val="-30"/>
        </w:rPr>
        <w:t> </w:t>
      </w:r>
      <w:r>
        <w:rPr/>
        <w:t>Council,</w:t>
      </w:r>
      <w:r>
        <w:rPr>
          <w:spacing w:val="-20"/>
        </w:rPr>
        <w:t> </w:t>
      </w:r>
      <w:r>
        <w:rPr/>
        <w:t>the</w:t>
      </w:r>
      <w:r>
        <w:rPr>
          <w:spacing w:val="-28"/>
        </w:rPr>
        <w:t> </w:t>
      </w:r>
      <w:r>
        <w:rPr/>
        <w:t>Environment Agency,</w:t>
      </w:r>
      <w:r>
        <w:rPr>
          <w:spacing w:val="-17"/>
        </w:rPr>
        <w:t> </w:t>
      </w:r>
      <w:r>
        <w:rPr/>
        <w:t>Yorkshire</w:t>
      </w:r>
      <w:r>
        <w:rPr>
          <w:spacing w:val="-21"/>
        </w:rPr>
        <w:t> </w:t>
      </w:r>
      <w:r>
        <w:rPr/>
        <w:t>Water</w:t>
      </w:r>
      <w:r>
        <w:rPr>
          <w:spacing w:val="-22"/>
        </w:rPr>
        <w:t> </w:t>
      </w:r>
      <w:r>
        <w:rPr/>
        <w:t>Services,</w:t>
      </w:r>
      <w:r>
        <w:rPr>
          <w:spacing w:val="-15"/>
        </w:rPr>
        <w:t> </w:t>
      </w:r>
      <w:r>
        <w:rPr/>
        <w:t>Ainsty</w:t>
      </w:r>
      <w:r>
        <w:rPr>
          <w:spacing w:val="-25"/>
        </w:rPr>
        <w:t> </w:t>
      </w:r>
      <w:r>
        <w:rPr/>
        <w:t>Internal</w:t>
      </w:r>
      <w:r>
        <w:rPr>
          <w:spacing w:val="-17"/>
        </w:rPr>
        <w:t> </w:t>
      </w:r>
      <w:r>
        <w:rPr/>
        <w:t>Drainage</w:t>
      </w:r>
      <w:r>
        <w:rPr>
          <w:spacing w:val="-16"/>
        </w:rPr>
        <w:t> </w:t>
      </w:r>
      <w:r>
        <w:rPr/>
        <w:t>Board</w:t>
      </w:r>
      <w:r>
        <w:rPr>
          <w:spacing w:val="-19"/>
        </w:rPr>
        <w:t> </w:t>
      </w:r>
      <w:r>
        <w:rPr/>
        <w:t>and</w:t>
      </w:r>
      <w:r>
        <w:rPr>
          <w:spacing w:val="-23"/>
        </w:rPr>
        <w:t> </w:t>
      </w:r>
      <w:r>
        <w:rPr/>
        <w:t>Highways</w:t>
      </w:r>
      <w:r>
        <w:rPr>
          <w:spacing w:val="-17"/>
        </w:rPr>
        <w:t> </w:t>
      </w:r>
      <w:r>
        <w:rPr/>
        <w:t>England.</w:t>
      </w:r>
    </w:p>
    <w:p>
      <w:pPr>
        <w:pStyle w:val="BodyText"/>
        <w:spacing w:line="266" w:lineRule="auto" w:before="108"/>
        <w:ind w:left="1015" w:right="212" w:firstLine="7"/>
      </w:pPr>
      <w:r>
        <w:rPr/>
        <w:t>Lead</w:t>
      </w:r>
      <w:r>
        <w:rPr>
          <w:spacing w:val="-27"/>
        </w:rPr>
        <w:t> </w:t>
      </w:r>
      <w:r>
        <w:rPr/>
        <w:t>Local</w:t>
      </w:r>
      <w:r>
        <w:rPr>
          <w:spacing w:val="-29"/>
        </w:rPr>
        <w:t> </w:t>
      </w:r>
      <w:r>
        <w:rPr/>
        <w:t>Flood</w:t>
      </w:r>
      <w:r>
        <w:rPr>
          <w:spacing w:val="-28"/>
        </w:rPr>
        <w:t> </w:t>
      </w:r>
      <w:r>
        <w:rPr/>
        <w:t>Authorities</w:t>
      </w:r>
      <w:r>
        <w:rPr>
          <w:spacing w:val="-25"/>
        </w:rPr>
        <w:t> </w:t>
      </w:r>
      <w:r>
        <w:rPr/>
        <w:t>have</w:t>
      </w:r>
      <w:r>
        <w:rPr>
          <w:spacing w:val="-29"/>
        </w:rPr>
        <w:t> </w:t>
      </w:r>
      <w:r>
        <w:rPr/>
        <w:t>duties</w:t>
      </w:r>
      <w:r>
        <w:rPr>
          <w:spacing w:val="-36"/>
        </w:rPr>
        <w:t> </w:t>
      </w:r>
      <w:r>
        <w:rPr/>
        <w:t>under</w:t>
      </w:r>
      <w:r>
        <w:rPr>
          <w:spacing w:val="-31"/>
        </w:rPr>
        <w:t> </w:t>
      </w:r>
      <w:r>
        <w:rPr/>
        <w:t>the</w:t>
      </w:r>
      <w:r>
        <w:rPr>
          <w:spacing w:val="-27"/>
        </w:rPr>
        <w:t> </w:t>
      </w:r>
      <w:r>
        <w:rPr/>
        <w:t>Flood</w:t>
      </w:r>
      <w:r>
        <w:rPr>
          <w:spacing w:val="-27"/>
        </w:rPr>
        <w:t> </w:t>
      </w:r>
      <w:r>
        <w:rPr/>
        <w:t>and</w:t>
      </w:r>
      <w:r>
        <w:rPr>
          <w:spacing w:val="-31"/>
        </w:rPr>
        <w:t> </w:t>
      </w:r>
      <w:r>
        <w:rPr/>
        <w:t>Water</w:t>
      </w:r>
      <w:r>
        <w:rPr>
          <w:spacing w:val="-26"/>
        </w:rPr>
        <w:t> </w:t>
      </w:r>
      <w:r>
        <w:rPr/>
        <w:t>Management</w:t>
      </w:r>
      <w:r>
        <w:rPr>
          <w:spacing w:val="-20"/>
        </w:rPr>
        <w:t> </w:t>
      </w:r>
      <w:r>
        <w:rPr/>
        <w:t>Act</w:t>
      </w:r>
      <w:r>
        <w:rPr>
          <w:spacing w:val="-33"/>
        </w:rPr>
        <w:t> </w:t>
      </w:r>
      <w:r>
        <w:rPr/>
        <w:t>to</w:t>
      </w:r>
      <w:r>
        <w:rPr>
          <w:spacing w:val="-33"/>
        </w:rPr>
        <w:t> </w:t>
      </w:r>
      <w:r>
        <w:rPr/>
        <w:t>develop, maintain, apply and monitor a strategy for local flood risk management. The initial strategy was originally</w:t>
      </w:r>
      <w:r>
        <w:rPr>
          <w:spacing w:val="-23"/>
        </w:rPr>
        <w:t> </w:t>
      </w:r>
      <w:r>
        <w:rPr/>
        <w:t>developed</w:t>
      </w:r>
      <w:r>
        <w:rPr>
          <w:spacing w:val="-27"/>
        </w:rPr>
        <w:t> </w:t>
      </w:r>
      <w:r>
        <w:rPr/>
        <w:t>in</w:t>
      </w:r>
      <w:r>
        <w:rPr>
          <w:spacing w:val="-31"/>
        </w:rPr>
        <w:t> </w:t>
      </w:r>
      <w:r>
        <w:rPr/>
        <w:t>2012,</w:t>
      </w:r>
      <w:r>
        <w:rPr>
          <w:spacing w:val="-28"/>
        </w:rPr>
        <w:t> </w:t>
      </w:r>
      <w:r>
        <w:rPr/>
        <w:t>adopted</w:t>
      </w:r>
      <w:r>
        <w:rPr>
          <w:spacing w:val="-29"/>
        </w:rPr>
        <w:t> </w:t>
      </w:r>
      <w:r>
        <w:rPr/>
        <w:t>in</w:t>
      </w:r>
      <w:r>
        <w:rPr>
          <w:spacing w:val="-31"/>
        </w:rPr>
        <w:t> </w:t>
      </w:r>
      <w:r>
        <w:rPr/>
        <w:t>2014</w:t>
      </w:r>
      <w:r>
        <w:rPr>
          <w:spacing w:val="-27"/>
        </w:rPr>
        <w:t> </w:t>
      </w:r>
      <w:r>
        <w:rPr/>
        <w:t>and</w:t>
      </w:r>
      <w:r>
        <w:rPr>
          <w:spacing w:val="-35"/>
        </w:rPr>
        <w:t> </w:t>
      </w:r>
      <w:r>
        <w:rPr/>
        <w:t>now</w:t>
      </w:r>
      <w:r>
        <w:rPr>
          <w:spacing w:val="-29"/>
        </w:rPr>
        <w:t> </w:t>
      </w:r>
      <w:r>
        <w:rPr/>
        <w:t>is</w:t>
      </w:r>
      <w:r>
        <w:rPr>
          <w:spacing w:val="-38"/>
        </w:rPr>
        <w:t> </w:t>
      </w:r>
      <w:r>
        <w:rPr/>
        <w:t>being</w:t>
      </w:r>
      <w:r>
        <w:rPr>
          <w:spacing w:val="-32"/>
        </w:rPr>
        <w:t> </w:t>
      </w:r>
      <w:r>
        <w:rPr/>
        <w:t>updated</w:t>
      </w:r>
      <w:r>
        <w:rPr>
          <w:spacing w:val="-31"/>
        </w:rPr>
        <w:t> </w:t>
      </w:r>
      <w:r>
        <w:rPr/>
        <w:t>in</w:t>
      </w:r>
      <w:r>
        <w:rPr>
          <w:spacing w:val="-27"/>
        </w:rPr>
        <w:t> </w:t>
      </w:r>
      <w:r>
        <w:rPr/>
        <w:t>2018</w:t>
      </w:r>
      <w:r>
        <w:rPr>
          <w:spacing w:val="-35"/>
        </w:rPr>
        <w:t> </w:t>
      </w:r>
      <w:r>
        <w:rPr/>
        <w:t>in</w:t>
      </w:r>
      <w:r>
        <w:rPr>
          <w:spacing w:val="-32"/>
        </w:rPr>
        <w:t> </w:t>
      </w:r>
      <w:r>
        <w:rPr/>
        <w:t>accordance</w:t>
      </w:r>
      <w:r>
        <w:rPr>
          <w:spacing w:val="-26"/>
        </w:rPr>
        <w:t> </w:t>
      </w:r>
      <w:r>
        <w:rPr/>
        <w:t>with the proposed six-year review</w:t>
      </w:r>
      <w:r>
        <w:rPr>
          <w:spacing w:val="37"/>
        </w:rPr>
        <w:t> </w:t>
      </w:r>
      <w:r>
        <w:rPr/>
        <w:t>cycle.</w:t>
      </w:r>
    </w:p>
    <w:p>
      <w:pPr>
        <w:pStyle w:val="BodyText"/>
        <w:spacing w:line="266" w:lineRule="auto" w:before="112"/>
        <w:ind w:left="1021" w:right="212" w:firstLine="2"/>
      </w:pPr>
      <w:r>
        <w:rPr/>
        <w:t>The</w:t>
      </w:r>
      <w:r>
        <w:rPr>
          <w:spacing w:val="-37"/>
        </w:rPr>
        <w:t> </w:t>
      </w:r>
      <w:r>
        <w:rPr/>
        <w:t>strategy</w:t>
      </w:r>
      <w:r>
        <w:rPr>
          <w:spacing w:val="-33"/>
        </w:rPr>
        <w:t> </w:t>
      </w:r>
      <w:r>
        <w:rPr/>
        <w:t>needs</w:t>
      </w:r>
      <w:r>
        <w:rPr>
          <w:spacing w:val="-36"/>
        </w:rPr>
        <w:t> </w:t>
      </w:r>
      <w:r>
        <w:rPr/>
        <w:t>to</w:t>
      </w:r>
      <w:r>
        <w:rPr>
          <w:spacing w:val="-40"/>
        </w:rPr>
        <w:t> </w:t>
      </w:r>
      <w:r>
        <w:rPr/>
        <w:t>take</w:t>
      </w:r>
      <w:r>
        <w:rPr>
          <w:spacing w:val="-36"/>
        </w:rPr>
        <w:t> </w:t>
      </w:r>
      <w:r>
        <w:rPr/>
        <w:t>account</w:t>
      </w:r>
      <w:r>
        <w:rPr>
          <w:spacing w:val="-32"/>
        </w:rPr>
        <w:t> </w:t>
      </w:r>
      <w:r>
        <w:rPr/>
        <w:t>of</w:t>
      </w:r>
      <w:r>
        <w:rPr>
          <w:spacing w:val="-35"/>
        </w:rPr>
        <w:t> </w:t>
      </w:r>
      <w:r>
        <w:rPr/>
        <w:t>current</w:t>
      </w:r>
      <w:r>
        <w:rPr>
          <w:spacing w:val="-33"/>
        </w:rPr>
        <w:t> </w:t>
      </w:r>
      <w:r>
        <w:rPr/>
        <w:t>legislation,</w:t>
      </w:r>
      <w:r>
        <w:rPr>
          <w:spacing w:val="-31"/>
        </w:rPr>
        <w:t> </w:t>
      </w:r>
      <w:r>
        <w:rPr/>
        <w:t>guidance</w:t>
      </w:r>
      <w:r>
        <w:rPr>
          <w:spacing w:val="-30"/>
        </w:rPr>
        <w:t> </w:t>
      </w:r>
      <w:r>
        <w:rPr/>
        <w:t>and</w:t>
      </w:r>
      <w:r>
        <w:rPr>
          <w:spacing w:val="-32"/>
        </w:rPr>
        <w:t> </w:t>
      </w:r>
      <w:r>
        <w:rPr/>
        <w:t>other</w:t>
      </w:r>
      <w:r>
        <w:rPr>
          <w:spacing w:val="-37"/>
        </w:rPr>
        <w:t> </w:t>
      </w:r>
      <w:r>
        <w:rPr/>
        <w:t>plans.</w:t>
      </w:r>
      <w:r>
        <w:rPr>
          <w:spacing w:val="-30"/>
        </w:rPr>
        <w:t> </w:t>
      </w:r>
      <w:r>
        <w:rPr/>
        <w:t>Hence</w:t>
      </w:r>
      <w:r>
        <w:rPr>
          <w:spacing w:val="-37"/>
        </w:rPr>
        <w:t> </w:t>
      </w:r>
      <w:r>
        <w:rPr/>
        <w:t>updating at</w:t>
      </w:r>
      <w:r>
        <w:rPr>
          <w:spacing w:val="-36"/>
        </w:rPr>
        <w:t> </w:t>
      </w:r>
      <w:r>
        <w:rPr/>
        <w:t>regular</w:t>
      </w:r>
      <w:r>
        <w:rPr>
          <w:spacing w:val="-27"/>
        </w:rPr>
        <w:t> </w:t>
      </w:r>
      <w:r>
        <w:rPr/>
        <w:t>intervals</w:t>
      </w:r>
      <w:r>
        <w:rPr>
          <w:spacing w:val="-22"/>
        </w:rPr>
        <w:t> </w:t>
      </w:r>
      <w:r>
        <w:rPr/>
        <w:t>allows</w:t>
      </w:r>
      <w:r>
        <w:rPr>
          <w:spacing w:val="-26"/>
        </w:rPr>
        <w:t> </w:t>
      </w:r>
      <w:r>
        <w:rPr/>
        <w:t>changes</w:t>
      </w:r>
      <w:r>
        <w:rPr>
          <w:spacing w:val="-26"/>
        </w:rPr>
        <w:t> </w:t>
      </w:r>
      <w:r>
        <w:rPr/>
        <w:t>that</w:t>
      </w:r>
      <w:r>
        <w:rPr>
          <w:spacing w:val="-28"/>
        </w:rPr>
        <w:t> </w:t>
      </w:r>
      <w:r>
        <w:rPr/>
        <w:t>have</w:t>
      </w:r>
      <w:r>
        <w:rPr>
          <w:spacing w:val="-25"/>
        </w:rPr>
        <w:t> </w:t>
      </w:r>
      <w:r>
        <w:rPr/>
        <w:t>occurred</w:t>
      </w:r>
      <w:r>
        <w:rPr>
          <w:spacing w:val="-15"/>
        </w:rPr>
        <w:t> </w:t>
      </w:r>
      <w:r>
        <w:rPr/>
        <w:t>since</w:t>
      </w:r>
      <w:r>
        <w:rPr>
          <w:spacing w:val="-33"/>
        </w:rPr>
        <w:t> </w:t>
      </w:r>
      <w:r>
        <w:rPr/>
        <w:t>its</w:t>
      </w:r>
      <w:r>
        <w:rPr>
          <w:spacing w:val="-34"/>
        </w:rPr>
        <w:t> </w:t>
      </w:r>
      <w:r>
        <w:rPr/>
        <w:t>initial</w:t>
      </w:r>
      <w:r>
        <w:rPr>
          <w:spacing w:val="-24"/>
        </w:rPr>
        <w:t> </w:t>
      </w:r>
      <w:r>
        <w:rPr/>
        <w:t>development</w:t>
      </w:r>
      <w:r>
        <w:rPr>
          <w:spacing w:val="-14"/>
        </w:rPr>
        <w:t> </w:t>
      </w:r>
      <w:r>
        <w:rPr/>
        <w:t>to</w:t>
      </w:r>
      <w:r>
        <w:rPr>
          <w:spacing w:val="-34"/>
        </w:rPr>
        <w:t> </w:t>
      </w:r>
      <w:r>
        <w:rPr/>
        <w:t>be</w:t>
      </w:r>
      <w:r>
        <w:rPr>
          <w:spacing w:val="-32"/>
        </w:rPr>
        <w:t> </w:t>
      </w:r>
      <w:r>
        <w:rPr/>
        <w:t>taken</w:t>
      </w:r>
      <w:r>
        <w:rPr>
          <w:spacing w:val="-27"/>
        </w:rPr>
        <w:t> </w:t>
      </w:r>
      <w:r>
        <w:rPr/>
        <w:t>into account. This update has now incorporated the</w:t>
      </w:r>
      <w:r>
        <w:rPr>
          <w:spacing w:val="10"/>
        </w:rPr>
        <w:t> </w:t>
      </w:r>
      <w:r>
        <w:rPr/>
        <w:t>following:</w:t>
      </w:r>
    </w:p>
    <w:p>
      <w:pPr>
        <w:pStyle w:val="ListParagraph"/>
        <w:numPr>
          <w:ilvl w:val="0"/>
          <w:numId w:val="3"/>
        </w:numPr>
        <w:tabs>
          <w:tab w:pos="1442" w:val="left" w:leader="none"/>
        </w:tabs>
        <w:spacing w:line="261" w:lineRule="auto" w:before="117" w:after="0"/>
        <w:ind w:left="1444" w:right="479" w:hanging="273"/>
        <w:jc w:val="left"/>
        <w:rPr>
          <w:color w:val="FF3F3A"/>
          <w:sz w:val="23"/>
        </w:rPr>
      </w:pPr>
      <w:r>
        <w:rPr>
          <w:w w:val="95"/>
          <w:sz w:val="23"/>
        </w:rPr>
        <w:t>Changes in legislative context including Brexit, the government’s 25-year Environmental Plan </w:t>
      </w:r>
      <w:r>
        <w:rPr>
          <w:sz w:val="23"/>
        </w:rPr>
        <w:t>and the National Infrastructure</w:t>
      </w:r>
      <w:r>
        <w:rPr>
          <w:spacing w:val="-2"/>
          <w:sz w:val="23"/>
        </w:rPr>
        <w:t> </w:t>
      </w:r>
      <w:r>
        <w:rPr>
          <w:sz w:val="23"/>
        </w:rPr>
        <w:t>plan.</w:t>
      </w:r>
    </w:p>
    <w:p>
      <w:pPr>
        <w:pStyle w:val="ListParagraph"/>
        <w:numPr>
          <w:ilvl w:val="0"/>
          <w:numId w:val="3"/>
        </w:numPr>
        <w:tabs>
          <w:tab w:pos="1446" w:val="left" w:leader="none"/>
        </w:tabs>
        <w:spacing w:line="264" w:lineRule="exact" w:before="0" w:after="0"/>
        <w:ind w:left="1445" w:right="0" w:hanging="274"/>
        <w:jc w:val="left"/>
        <w:rPr>
          <w:color w:val="FF362F"/>
          <w:sz w:val="23"/>
        </w:rPr>
      </w:pPr>
      <w:r>
        <w:rPr>
          <w:sz w:val="23"/>
        </w:rPr>
        <w:t>Local</w:t>
      </w:r>
      <w:r>
        <w:rPr>
          <w:spacing w:val="-24"/>
          <w:sz w:val="23"/>
        </w:rPr>
        <w:t> </w:t>
      </w:r>
      <w:r>
        <w:rPr>
          <w:sz w:val="23"/>
        </w:rPr>
        <w:t>plans</w:t>
      </w:r>
      <w:r>
        <w:rPr>
          <w:spacing w:val="-30"/>
          <w:sz w:val="23"/>
        </w:rPr>
        <w:t> </w:t>
      </w:r>
      <w:r>
        <w:rPr>
          <w:sz w:val="23"/>
        </w:rPr>
        <w:t>including</w:t>
      </w:r>
      <w:r>
        <w:rPr>
          <w:spacing w:val="-8"/>
          <w:sz w:val="23"/>
        </w:rPr>
        <w:t> </w:t>
      </w:r>
      <w:r>
        <w:rPr>
          <w:sz w:val="23"/>
        </w:rPr>
        <w:t>Leeds</w:t>
      </w:r>
      <w:r>
        <w:rPr>
          <w:spacing w:val="-17"/>
          <w:sz w:val="23"/>
        </w:rPr>
        <w:t> </w:t>
      </w:r>
      <w:r>
        <w:rPr>
          <w:sz w:val="23"/>
        </w:rPr>
        <w:t>Best</w:t>
      </w:r>
      <w:r>
        <w:rPr>
          <w:spacing w:val="-23"/>
          <w:sz w:val="23"/>
        </w:rPr>
        <w:t> </w:t>
      </w:r>
      <w:r>
        <w:rPr>
          <w:sz w:val="23"/>
        </w:rPr>
        <w:t>Council</w:t>
      </w:r>
      <w:r>
        <w:rPr>
          <w:spacing w:val="-13"/>
          <w:sz w:val="23"/>
        </w:rPr>
        <w:t> </w:t>
      </w:r>
      <w:r>
        <w:rPr>
          <w:sz w:val="23"/>
        </w:rPr>
        <w:t>Plan</w:t>
      </w:r>
      <w:r>
        <w:rPr>
          <w:spacing w:val="-11"/>
          <w:sz w:val="23"/>
        </w:rPr>
        <w:t> </w:t>
      </w:r>
      <w:r>
        <w:rPr>
          <w:sz w:val="23"/>
        </w:rPr>
        <w:t>and</w:t>
      </w:r>
      <w:r>
        <w:rPr>
          <w:spacing w:val="-24"/>
          <w:sz w:val="23"/>
        </w:rPr>
        <w:t> </w:t>
      </w:r>
      <w:r>
        <w:rPr>
          <w:sz w:val="23"/>
        </w:rPr>
        <w:t>the</w:t>
      </w:r>
      <w:r>
        <w:rPr>
          <w:spacing w:val="-23"/>
          <w:sz w:val="23"/>
        </w:rPr>
        <w:t> </w:t>
      </w:r>
      <w:r>
        <w:rPr>
          <w:sz w:val="23"/>
        </w:rPr>
        <w:t>Inclusive</w:t>
      </w:r>
      <w:r>
        <w:rPr>
          <w:spacing w:val="-18"/>
          <w:sz w:val="23"/>
        </w:rPr>
        <w:t> </w:t>
      </w:r>
      <w:r>
        <w:rPr>
          <w:sz w:val="23"/>
        </w:rPr>
        <w:t>Growth</w:t>
      </w:r>
      <w:r>
        <w:rPr>
          <w:spacing w:val="-16"/>
          <w:sz w:val="23"/>
        </w:rPr>
        <w:t> </w:t>
      </w:r>
      <w:r>
        <w:rPr>
          <w:sz w:val="23"/>
        </w:rPr>
        <w:t>Strategy</w:t>
      </w:r>
      <w:r>
        <w:rPr>
          <w:spacing w:val="-14"/>
          <w:sz w:val="23"/>
        </w:rPr>
        <w:t> </w:t>
      </w:r>
      <w:r>
        <w:rPr>
          <w:sz w:val="23"/>
        </w:rPr>
        <w:t>for</w:t>
      </w:r>
      <w:r>
        <w:rPr>
          <w:spacing w:val="-13"/>
          <w:sz w:val="23"/>
        </w:rPr>
        <w:t> </w:t>
      </w:r>
      <w:r>
        <w:rPr>
          <w:sz w:val="23"/>
        </w:rPr>
        <w:t>Leeds.</w:t>
      </w:r>
    </w:p>
    <w:p>
      <w:pPr>
        <w:pStyle w:val="ListParagraph"/>
        <w:numPr>
          <w:ilvl w:val="0"/>
          <w:numId w:val="3"/>
        </w:numPr>
        <w:tabs>
          <w:tab w:pos="1445" w:val="left" w:leader="none"/>
        </w:tabs>
        <w:spacing w:line="261" w:lineRule="auto" w:before="33" w:after="0"/>
        <w:ind w:left="1443" w:right="616" w:hanging="272"/>
        <w:jc w:val="left"/>
        <w:rPr>
          <w:color w:val="FF2F2A"/>
          <w:sz w:val="23"/>
        </w:rPr>
      </w:pPr>
      <w:r>
        <w:rPr>
          <w:sz w:val="23"/>
        </w:rPr>
        <w:t>Newly</w:t>
      </w:r>
      <w:r>
        <w:rPr>
          <w:spacing w:val="-36"/>
          <w:sz w:val="23"/>
        </w:rPr>
        <w:t> </w:t>
      </w:r>
      <w:r>
        <w:rPr>
          <w:sz w:val="23"/>
        </w:rPr>
        <w:t>defined</w:t>
      </w:r>
      <w:r>
        <w:rPr>
          <w:spacing w:val="-33"/>
          <w:sz w:val="23"/>
        </w:rPr>
        <w:t> </w:t>
      </w:r>
      <w:r>
        <w:rPr>
          <w:sz w:val="23"/>
        </w:rPr>
        <w:t>Leeds</w:t>
      </w:r>
      <w:r>
        <w:rPr>
          <w:spacing w:val="-42"/>
          <w:sz w:val="23"/>
        </w:rPr>
        <w:t> </w:t>
      </w:r>
      <w:r>
        <w:rPr>
          <w:sz w:val="23"/>
        </w:rPr>
        <w:t>Flood</w:t>
      </w:r>
      <w:r>
        <w:rPr>
          <w:spacing w:val="-36"/>
          <w:sz w:val="23"/>
        </w:rPr>
        <w:t> </w:t>
      </w:r>
      <w:r>
        <w:rPr>
          <w:sz w:val="23"/>
        </w:rPr>
        <w:t>Risk</w:t>
      </w:r>
      <w:r>
        <w:rPr>
          <w:spacing w:val="-37"/>
          <w:sz w:val="23"/>
        </w:rPr>
        <w:t> </w:t>
      </w:r>
      <w:r>
        <w:rPr>
          <w:sz w:val="23"/>
        </w:rPr>
        <w:t>Area,</w:t>
      </w:r>
      <w:r>
        <w:rPr>
          <w:spacing w:val="-39"/>
          <w:sz w:val="23"/>
        </w:rPr>
        <w:t> </w:t>
      </w:r>
      <w:r>
        <w:rPr>
          <w:sz w:val="23"/>
        </w:rPr>
        <w:t>which</w:t>
      </w:r>
      <w:r>
        <w:rPr>
          <w:spacing w:val="-39"/>
          <w:sz w:val="23"/>
        </w:rPr>
        <w:t> </w:t>
      </w:r>
      <w:r>
        <w:rPr>
          <w:sz w:val="23"/>
        </w:rPr>
        <w:t>was</w:t>
      </w:r>
      <w:r>
        <w:rPr>
          <w:spacing w:val="-45"/>
          <w:sz w:val="23"/>
        </w:rPr>
        <w:t> </w:t>
      </w:r>
      <w:r>
        <w:rPr>
          <w:sz w:val="23"/>
        </w:rPr>
        <w:t>identified</w:t>
      </w:r>
      <w:r>
        <w:rPr>
          <w:spacing w:val="-36"/>
          <w:sz w:val="23"/>
        </w:rPr>
        <w:t> </w:t>
      </w:r>
      <w:r>
        <w:rPr>
          <w:sz w:val="23"/>
        </w:rPr>
        <w:t>through</w:t>
      </w:r>
      <w:r>
        <w:rPr>
          <w:spacing w:val="-34"/>
          <w:sz w:val="23"/>
        </w:rPr>
        <w:t> </w:t>
      </w:r>
      <w:r>
        <w:rPr>
          <w:sz w:val="23"/>
        </w:rPr>
        <w:t>the</w:t>
      </w:r>
      <w:r>
        <w:rPr>
          <w:spacing w:val="-42"/>
          <w:sz w:val="23"/>
        </w:rPr>
        <w:t> </w:t>
      </w:r>
      <w:r>
        <w:rPr>
          <w:sz w:val="23"/>
        </w:rPr>
        <w:t>updated</w:t>
      </w:r>
      <w:r>
        <w:rPr>
          <w:spacing w:val="-35"/>
          <w:sz w:val="23"/>
        </w:rPr>
        <w:t> </w:t>
      </w:r>
      <w:r>
        <w:rPr>
          <w:sz w:val="23"/>
        </w:rPr>
        <w:t>Preliminary Flood Risk Assessment in July</w:t>
      </w:r>
      <w:r>
        <w:rPr>
          <w:spacing w:val="35"/>
          <w:sz w:val="23"/>
        </w:rPr>
        <w:t> </w:t>
      </w:r>
      <w:r>
        <w:rPr>
          <w:sz w:val="23"/>
        </w:rPr>
        <w:t>2017.</w:t>
      </w:r>
    </w:p>
    <w:p>
      <w:pPr>
        <w:pStyle w:val="ListParagraph"/>
        <w:numPr>
          <w:ilvl w:val="0"/>
          <w:numId w:val="3"/>
        </w:numPr>
        <w:tabs>
          <w:tab w:pos="1443" w:val="left" w:leader="none"/>
        </w:tabs>
        <w:spacing w:line="264" w:lineRule="exact" w:before="0" w:after="0"/>
        <w:ind w:left="1442" w:right="0" w:hanging="271"/>
        <w:jc w:val="left"/>
        <w:rPr>
          <w:color w:val="EF4136"/>
          <w:sz w:val="23"/>
        </w:rPr>
      </w:pPr>
      <w:r>
        <w:rPr>
          <w:sz w:val="23"/>
        </w:rPr>
        <w:t>Section</w:t>
      </w:r>
      <w:r>
        <w:rPr>
          <w:spacing w:val="-2"/>
          <w:sz w:val="23"/>
        </w:rPr>
        <w:t> </w:t>
      </w:r>
      <w:r>
        <w:rPr>
          <w:sz w:val="23"/>
        </w:rPr>
        <w:t>19</w:t>
      </w:r>
      <w:r>
        <w:rPr>
          <w:spacing w:val="-22"/>
          <w:sz w:val="23"/>
        </w:rPr>
        <w:t> </w:t>
      </w:r>
      <w:r>
        <w:rPr>
          <w:sz w:val="23"/>
        </w:rPr>
        <w:t>reports</w:t>
      </w:r>
      <w:r>
        <w:rPr>
          <w:spacing w:val="-9"/>
          <w:sz w:val="23"/>
        </w:rPr>
        <w:t> </w:t>
      </w:r>
      <w:r>
        <w:rPr>
          <w:sz w:val="23"/>
        </w:rPr>
        <w:t>following</w:t>
      </w:r>
      <w:r>
        <w:rPr>
          <w:spacing w:val="-6"/>
          <w:sz w:val="23"/>
        </w:rPr>
        <w:t> </w:t>
      </w:r>
      <w:r>
        <w:rPr>
          <w:sz w:val="23"/>
        </w:rPr>
        <w:t>the</w:t>
      </w:r>
      <w:r>
        <w:rPr>
          <w:spacing w:val="-13"/>
          <w:sz w:val="23"/>
        </w:rPr>
        <w:t> </w:t>
      </w:r>
      <w:r>
        <w:rPr>
          <w:sz w:val="23"/>
        </w:rPr>
        <w:t>significant</w:t>
      </w:r>
      <w:r>
        <w:rPr>
          <w:spacing w:val="-3"/>
          <w:sz w:val="23"/>
        </w:rPr>
        <w:t> </w:t>
      </w:r>
      <w:r>
        <w:rPr>
          <w:sz w:val="23"/>
        </w:rPr>
        <w:t>flooding</w:t>
      </w:r>
      <w:r>
        <w:rPr>
          <w:spacing w:val="-4"/>
          <w:sz w:val="23"/>
        </w:rPr>
        <w:t> </w:t>
      </w:r>
      <w:r>
        <w:rPr>
          <w:sz w:val="23"/>
        </w:rPr>
        <w:t>events,</w:t>
      </w:r>
      <w:r>
        <w:rPr>
          <w:spacing w:val="-8"/>
          <w:sz w:val="23"/>
        </w:rPr>
        <w:t> </w:t>
      </w:r>
      <w:r>
        <w:rPr>
          <w:sz w:val="23"/>
        </w:rPr>
        <w:t>particularly</w:t>
      </w:r>
      <w:r>
        <w:rPr>
          <w:spacing w:val="-1"/>
          <w:sz w:val="23"/>
        </w:rPr>
        <w:t> </w:t>
      </w:r>
      <w:r>
        <w:rPr>
          <w:sz w:val="23"/>
        </w:rPr>
        <w:t>winter</w:t>
      </w:r>
      <w:r>
        <w:rPr>
          <w:spacing w:val="1"/>
          <w:sz w:val="23"/>
        </w:rPr>
        <w:t> </w:t>
      </w:r>
      <w:r>
        <w:rPr>
          <w:sz w:val="23"/>
        </w:rPr>
        <w:t>2015.</w:t>
      </w:r>
    </w:p>
    <w:p>
      <w:pPr>
        <w:pStyle w:val="ListParagraph"/>
        <w:numPr>
          <w:ilvl w:val="0"/>
          <w:numId w:val="3"/>
        </w:numPr>
        <w:tabs>
          <w:tab w:pos="1445" w:val="left" w:leader="none"/>
        </w:tabs>
        <w:spacing w:line="240" w:lineRule="auto" w:before="34" w:after="0"/>
        <w:ind w:left="1445" w:right="0" w:hanging="274"/>
        <w:jc w:val="left"/>
        <w:rPr>
          <w:color w:val="EF2F26"/>
          <w:sz w:val="23"/>
        </w:rPr>
      </w:pPr>
      <w:r>
        <w:rPr>
          <w:sz w:val="23"/>
        </w:rPr>
        <w:t>Measures</w:t>
      </w:r>
      <w:r>
        <w:rPr>
          <w:spacing w:val="-26"/>
          <w:sz w:val="23"/>
        </w:rPr>
        <w:t> </w:t>
      </w:r>
      <w:r>
        <w:rPr>
          <w:sz w:val="23"/>
        </w:rPr>
        <w:t>implemented</w:t>
      </w:r>
      <w:r>
        <w:rPr>
          <w:spacing w:val="-12"/>
          <w:sz w:val="23"/>
        </w:rPr>
        <w:t> </w:t>
      </w:r>
      <w:r>
        <w:rPr>
          <w:sz w:val="23"/>
        </w:rPr>
        <w:t>since</w:t>
      </w:r>
      <w:r>
        <w:rPr>
          <w:spacing w:val="-24"/>
          <w:sz w:val="23"/>
        </w:rPr>
        <w:t> </w:t>
      </w:r>
      <w:r>
        <w:rPr>
          <w:sz w:val="23"/>
        </w:rPr>
        <w:t>2012,</w:t>
      </w:r>
      <w:r>
        <w:rPr>
          <w:spacing w:val="-34"/>
          <w:sz w:val="23"/>
        </w:rPr>
        <w:t> </w:t>
      </w:r>
      <w:r>
        <w:rPr>
          <w:sz w:val="23"/>
        </w:rPr>
        <w:t>in</w:t>
      </w:r>
      <w:r>
        <w:rPr>
          <w:spacing w:val="-32"/>
          <w:sz w:val="23"/>
        </w:rPr>
        <w:t> </w:t>
      </w:r>
      <w:r>
        <w:rPr>
          <w:sz w:val="23"/>
        </w:rPr>
        <w:t>particular</w:t>
      </w:r>
      <w:r>
        <w:rPr>
          <w:spacing w:val="-26"/>
          <w:sz w:val="23"/>
        </w:rPr>
        <w:t> </w:t>
      </w:r>
      <w:r>
        <w:rPr>
          <w:sz w:val="23"/>
        </w:rPr>
        <w:t>the</w:t>
      </w:r>
      <w:r>
        <w:rPr>
          <w:spacing w:val="-27"/>
          <w:sz w:val="23"/>
        </w:rPr>
        <w:t> </w:t>
      </w:r>
      <w:r>
        <w:rPr>
          <w:sz w:val="23"/>
        </w:rPr>
        <w:t>Leeds</w:t>
      </w:r>
      <w:r>
        <w:rPr>
          <w:spacing w:val="-24"/>
          <w:sz w:val="23"/>
        </w:rPr>
        <w:t> </w:t>
      </w:r>
      <w:r>
        <w:rPr>
          <w:sz w:val="23"/>
        </w:rPr>
        <w:t>Flood</w:t>
      </w:r>
      <w:r>
        <w:rPr>
          <w:spacing w:val="-24"/>
          <w:sz w:val="23"/>
        </w:rPr>
        <w:t> </w:t>
      </w:r>
      <w:r>
        <w:rPr>
          <w:sz w:val="23"/>
        </w:rPr>
        <w:t>Alleviation</w:t>
      </w:r>
      <w:r>
        <w:rPr>
          <w:spacing w:val="-20"/>
          <w:sz w:val="23"/>
        </w:rPr>
        <w:t> </w:t>
      </w:r>
      <w:r>
        <w:rPr>
          <w:sz w:val="23"/>
        </w:rPr>
        <w:t>Scheme</w:t>
      </w:r>
      <w:r>
        <w:rPr>
          <w:spacing w:val="-22"/>
          <w:sz w:val="23"/>
        </w:rPr>
        <w:t> </w:t>
      </w:r>
      <w:r>
        <w:rPr>
          <w:sz w:val="23"/>
        </w:rPr>
        <w:t>Phase</w:t>
      </w:r>
      <w:r>
        <w:rPr>
          <w:spacing w:val="-21"/>
          <w:sz w:val="23"/>
        </w:rPr>
        <w:t> </w:t>
      </w:r>
      <w:r>
        <w:rPr>
          <w:sz w:val="23"/>
        </w:rPr>
        <w:t>1.</w:t>
      </w:r>
    </w:p>
    <w:p>
      <w:pPr>
        <w:pStyle w:val="ListParagraph"/>
        <w:numPr>
          <w:ilvl w:val="0"/>
          <w:numId w:val="3"/>
        </w:numPr>
        <w:tabs>
          <w:tab w:pos="1442" w:val="left" w:leader="none"/>
        </w:tabs>
        <w:spacing w:line="240" w:lineRule="auto" w:before="23" w:after="0"/>
        <w:ind w:left="1441" w:right="0" w:hanging="270"/>
        <w:jc w:val="left"/>
        <w:rPr>
          <w:color w:val="EB3D31"/>
          <w:sz w:val="23"/>
        </w:rPr>
      </w:pPr>
      <w:r>
        <w:rPr>
          <w:sz w:val="23"/>
        </w:rPr>
        <w:t>Ongoing</w:t>
      </w:r>
      <w:r>
        <w:rPr>
          <w:spacing w:val="-3"/>
          <w:sz w:val="23"/>
        </w:rPr>
        <w:t> </w:t>
      </w:r>
      <w:r>
        <w:rPr>
          <w:sz w:val="23"/>
        </w:rPr>
        <w:t>development</w:t>
      </w:r>
      <w:r>
        <w:rPr>
          <w:spacing w:val="12"/>
          <w:sz w:val="23"/>
        </w:rPr>
        <w:t> </w:t>
      </w:r>
      <w:r>
        <w:rPr>
          <w:sz w:val="23"/>
        </w:rPr>
        <w:t>of</w:t>
      </w:r>
      <w:r>
        <w:rPr>
          <w:spacing w:val="-18"/>
          <w:sz w:val="23"/>
        </w:rPr>
        <w:t> </w:t>
      </w:r>
      <w:r>
        <w:rPr>
          <w:sz w:val="23"/>
        </w:rPr>
        <w:t>schemes</w:t>
      </w:r>
      <w:r>
        <w:rPr>
          <w:spacing w:val="-10"/>
          <w:sz w:val="23"/>
        </w:rPr>
        <w:t> </w:t>
      </w:r>
      <w:r>
        <w:rPr>
          <w:sz w:val="23"/>
        </w:rPr>
        <w:t>to</w:t>
      </w:r>
      <w:r>
        <w:rPr>
          <w:spacing w:val="-15"/>
          <w:sz w:val="23"/>
        </w:rPr>
        <w:t> </w:t>
      </w:r>
      <w:r>
        <w:rPr>
          <w:sz w:val="23"/>
        </w:rPr>
        <w:t>address</w:t>
      </w:r>
      <w:r>
        <w:rPr>
          <w:spacing w:val="-11"/>
          <w:sz w:val="23"/>
        </w:rPr>
        <w:t> </w:t>
      </w:r>
      <w:r>
        <w:rPr>
          <w:sz w:val="23"/>
        </w:rPr>
        <w:t>local</w:t>
      </w:r>
      <w:r>
        <w:rPr>
          <w:spacing w:val="-10"/>
          <w:sz w:val="23"/>
        </w:rPr>
        <w:t> </w:t>
      </w:r>
      <w:r>
        <w:rPr>
          <w:sz w:val="23"/>
        </w:rPr>
        <w:t>and</w:t>
      </w:r>
      <w:r>
        <w:rPr>
          <w:spacing w:val="-11"/>
          <w:sz w:val="23"/>
        </w:rPr>
        <w:t> </w:t>
      </w:r>
      <w:r>
        <w:rPr>
          <w:sz w:val="23"/>
        </w:rPr>
        <w:t>city</w:t>
      </w:r>
      <w:r>
        <w:rPr>
          <w:spacing w:val="-9"/>
          <w:sz w:val="23"/>
        </w:rPr>
        <w:t> </w:t>
      </w:r>
      <w:r>
        <w:rPr>
          <w:sz w:val="23"/>
        </w:rPr>
        <w:t>wide</w:t>
      </w:r>
      <w:r>
        <w:rPr>
          <w:spacing w:val="-14"/>
          <w:sz w:val="23"/>
        </w:rPr>
        <w:t> </w:t>
      </w:r>
      <w:r>
        <w:rPr>
          <w:sz w:val="23"/>
        </w:rPr>
        <w:t>flooding</w:t>
      </w:r>
      <w:r>
        <w:rPr>
          <w:spacing w:val="-6"/>
          <w:sz w:val="23"/>
        </w:rPr>
        <w:t> </w:t>
      </w:r>
      <w:r>
        <w:rPr>
          <w:sz w:val="23"/>
        </w:rPr>
        <w:t>problems.</w:t>
      </w:r>
    </w:p>
    <w:p>
      <w:pPr>
        <w:pStyle w:val="ListParagraph"/>
        <w:numPr>
          <w:ilvl w:val="0"/>
          <w:numId w:val="3"/>
        </w:numPr>
        <w:tabs>
          <w:tab w:pos="1442" w:val="left" w:leader="none"/>
        </w:tabs>
        <w:spacing w:line="240" w:lineRule="auto" w:before="24" w:after="0"/>
        <w:ind w:left="1444" w:right="0" w:hanging="273"/>
        <w:jc w:val="left"/>
        <w:rPr>
          <w:color w:val="DD4B26"/>
          <w:sz w:val="23"/>
        </w:rPr>
      </w:pPr>
      <w:r>
        <w:rPr>
          <w:sz w:val="23"/>
        </w:rPr>
        <w:t>Changes in funding sources and</w:t>
      </w:r>
      <w:r>
        <w:rPr>
          <w:spacing w:val="17"/>
          <w:sz w:val="23"/>
        </w:rPr>
        <w:t> </w:t>
      </w:r>
      <w:r>
        <w:rPr>
          <w:sz w:val="23"/>
        </w:rPr>
        <w:t>mechanisms.</w:t>
      </w:r>
    </w:p>
    <w:p>
      <w:pPr>
        <w:pStyle w:val="BodyText"/>
        <w:spacing w:line="264" w:lineRule="auto" w:before="148"/>
        <w:ind w:left="1015" w:right="307" w:firstLine="7"/>
      </w:pPr>
      <w:r>
        <w:rPr/>
        <w:t>List</w:t>
      </w:r>
      <w:r>
        <w:rPr>
          <w:spacing w:val="-22"/>
        </w:rPr>
        <w:t> </w:t>
      </w:r>
      <w:r>
        <w:rPr/>
        <w:t>of</w:t>
      </w:r>
      <w:r>
        <w:rPr>
          <w:spacing w:val="-29"/>
        </w:rPr>
        <w:t> </w:t>
      </w:r>
      <w:r>
        <w:rPr/>
        <w:t>Measures</w:t>
      </w:r>
      <w:r>
        <w:rPr>
          <w:spacing w:val="-26"/>
        </w:rPr>
        <w:t> </w:t>
      </w:r>
      <w:r>
        <w:rPr/>
        <w:t>is</w:t>
      </w:r>
      <w:r>
        <w:rPr>
          <w:spacing w:val="-33"/>
        </w:rPr>
        <w:t> </w:t>
      </w:r>
      <w:r>
        <w:rPr/>
        <w:t>a</w:t>
      </w:r>
      <w:r>
        <w:rPr>
          <w:spacing w:val="-34"/>
        </w:rPr>
        <w:t> </w:t>
      </w:r>
      <w:r>
        <w:rPr/>
        <w:t>key</w:t>
      </w:r>
      <w:r>
        <w:rPr>
          <w:spacing w:val="-32"/>
        </w:rPr>
        <w:t> </w:t>
      </w:r>
      <w:r>
        <w:rPr/>
        <w:t>part</w:t>
      </w:r>
      <w:r>
        <w:rPr>
          <w:spacing w:val="-27"/>
        </w:rPr>
        <w:t> </w:t>
      </w:r>
      <w:r>
        <w:rPr/>
        <w:t>of</w:t>
      </w:r>
      <w:r>
        <w:rPr>
          <w:spacing w:val="-28"/>
        </w:rPr>
        <w:t> </w:t>
      </w:r>
      <w:r>
        <w:rPr/>
        <w:t>the</w:t>
      </w:r>
      <w:r>
        <w:rPr>
          <w:spacing w:val="-25"/>
        </w:rPr>
        <w:t> </w:t>
      </w:r>
      <w:r>
        <w:rPr/>
        <w:t>strategy.</w:t>
      </w:r>
      <w:r>
        <w:rPr>
          <w:spacing w:val="-16"/>
        </w:rPr>
        <w:t> </w:t>
      </w:r>
      <w:r>
        <w:rPr/>
        <w:t>This</w:t>
      </w:r>
      <w:r>
        <w:rPr>
          <w:spacing w:val="-32"/>
        </w:rPr>
        <w:t> </w:t>
      </w:r>
      <w:r>
        <w:rPr/>
        <w:t>has</w:t>
      </w:r>
      <w:r>
        <w:rPr>
          <w:spacing w:val="-30"/>
        </w:rPr>
        <w:t> </w:t>
      </w:r>
      <w:r>
        <w:rPr/>
        <w:t>been</w:t>
      </w:r>
      <w:r>
        <w:rPr>
          <w:spacing w:val="-26"/>
        </w:rPr>
        <w:t> </w:t>
      </w:r>
      <w:r>
        <w:rPr/>
        <w:t>monitored</w:t>
      </w:r>
      <w:r>
        <w:rPr>
          <w:spacing w:val="-17"/>
        </w:rPr>
        <w:t> </w:t>
      </w:r>
      <w:r>
        <w:rPr/>
        <w:t>and</w:t>
      </w:r>
      <w:r>
        <w:rPr>
          <w:spacing w:val="-23"/>
        </w:rPr>
        <w:t> </w:t>
      </w:r>
      <w:r>
        <w:rPr/>
        <w:t>amended</w:t>
      </w:r>
      <w:r>
        <w:rPr>
          <w:spacing w:val="-20"/>
        </w:rPr>
        <w:t> </w:t>
      </w:r>
      <w:r>
        <w:rPr/>
        <w:t>annually through</w:t>
      </w:r>
      <w:r>
        <w:rPr>
          <w:spacing w:val="-32"/>
        </w:rPr>
        <w:t> </w:t>
      </w:r>
      <w:r>
        <w:rPr/>
        <w:t>the</w:t>
      </w:r>
      <w:r>
        <w:rPr>
          <w:spacing w:val="-36"/>
        </w:rPr>
        <w:t> </w:t>
      </w:r>
      <w:r>
        <w:rPr/>
        <w:t>Council’s</w:t>
      </w:r>
      <w:r>
        <w:rPr>
          <w:spacing w:val="-29"/>
        </w:rPr>
        <w:t> </w:t>
      </w:r>
      <w:r>
        <w:rPr/>
        <w:t>scrutiny</w:t>
      </w:r>
      <w:r>
        <w:rPr>
          <w:spacing w:val="-30"/>
        </w:rPr>
        <w:t> </w:t>
      </w:r>
      <w:r>
        <w:rPr/>
        <w:t>processes</w:t>
      </w:r>
      <w:r>
        <w:rPr>
          <w:spacing w:val="-30"/>
        </w:rPr>
        <w:t> </w:t>
      </w:r>
      <w:r>
        <w:rPr/>
        <w:t>since</w:t>
      </w:r>
      <w:r>
        <w:rPr>
          <w:spacing w:val="-35"/>
        </w:rPr>
        <w:t> </w:t>
      </w:r>
      <w:r>
        <w:rPr/>
        <w:t>the</w:t>
      </w:r>
      <w:r>
        <w:rPr>
          <w:spacing w:val="-34"/>
        </w:rPr>
        <w:t> </w:t>
      </w:r>
      <w:r>
        <w:rPr/>
        <w:t>strategy</w:t>
      </w:r>
      <w:r>
        <w:rPr>
          <w:spacing w:val="-29"/>
        </w:rPr>
        <w:t> </w:t>
      </w:r>
      <w:r>
        <w:rPr/>
        <w:t>was</w:t>
      </w:r>
      <w:r>
        <w:rPr>
          <w:spacing w:val="-33"/>
        </w:rPr>
        <w:t> </w:t>
      </w:r>
      <w:r>
        <w:rPr/>
        <w:t>adopted</w:t>
      </w:r>
      <w:r>
        <w:rPr>
          <w:spacing w:val="-32"/>
        </w:rPr>
        <w:t> </w:t>
      </w:r>
      <w:r>
        <w:rPr/>
        <w:t>in</w:t>
      </w:r>
      <w:r>
        <w:rPr>
          <w:spacing w:val="-29"/>
        </w:rPr>
        <w:t> </w:t>
      </w:r>
      <w:r>
        <w:rPr/>
        <w:t>2014.</w:t>
      </w:r>
      <w:r>
        <w:rPr>
          <w:spacing w:val="-31"/>
        </w:rPr>
        <w:t> </w:t>
      </w:r>
      <w:r>
        <w:rPr/>
        <w:t>This</w:t>
      </w:r>
      <w:r>
        <w:rPr>
          <w:spacing w:val="-36"/>
        </w:rPr>
        <w:t> </w:t>
      </w:r>
      <w:r>
        <w:rPr/>
        <w:t>has</w:t>
      </w:r>
      <w:r>
        <w:rPr>
          <w:spacing w:val="-38"/>
        </w:rPr>
        <w:t> </w:t>
      </w:r>
      <w:r>
        <w:rPr/>
        <w:t>now been</w:t>
      </w:r>
      <w:r>
        <w:rPr>
          <w:spacing w:val="-28"/>
        </w:rPr>
        <w:t> </w:t>
      </w:r>
      <w:r>
        <w:rPr/>
        <w:t>fully</w:t>
      </w:r>
      <w:r>
        <w:rPr>
          <w:spacing w:val="-32"/>
        </w:rPr>
        <w:t> </w:t>
      </w:r>
      <w:r>
        <w:rPr/>
        <w:t>updated</w:t>
      </w:r>
      <w:r>
        <w:rPr>
          <w:spacing w:val="-24"/>
        </w:rPr>
        <w:t> </w:t>
      </w:r>
      <w:r>
        <w:rPr/>
        <w:t>to</w:t>
      </w:r>
      <w:r>
        <w:rPr>
          <w:spacing w:val="-33"/>
        </w:rPr>
        <w:t> </w:t>
      </w:r>
      <w:r>
        <w:rPr/>
        <w:t>take</w:t>
      </w:r>
      <w:r>
        <w:rPr>
          <w:spacing w:val="-27"/>
        </w:rPr>
        <w:t> </w:t>
      </w:r>
      <w:r>
        <w:rPr/>
        <w:t>account</w:t>
      </w:r>
      <w:r>
        <w:rPr>
          <w:spacing w:val="-23"/>
        </w:rPr>
        <w:t> </w:t>
      </w:r>
      <w:r>
        <w:rPr/>
        <w:t>of</w:t>
      </w:r>
      <w:r>
        <w:rPr>
          <w:spacing w:val="-31"/>
        </w:rPr>
        <w:t> </w:t>
      </w:r>
      <w:r>
        <w:rPr/>
        <w:t>revised</w:t>
      </w:r>
      <w:r>
        <w:rPr>
          <w:spacing w:val="-26"/>
        </w:rPr>
        <w:t> </w:t>
      </w:r>
      <w:r>
        <w:rPr/>
        <w:t>priorities,</w:t>
      </w:r>
      <w:r>
        <w:rPr>
          <w:spacing w:val="-17"/>
        </w:rPr>
        <w:t> </w:t>
      </w:r>
      <w:r>
        <w:rPr/>
        <w:t>works</w:t>
      </w:r>
      <w:r>
        <w:rPr>
          <w:spacing w:val="-27"/>
        </w:rPr>
        <w:t> </w:t>
      </w:r>
      <w:r>
        <w:rPr/>
        <w:t>completed</w:t>
      </w:r>
      <w:r>
        <w:rPr>
          <w:spacing w:val="-22"/>
        </w:rPr>
        <w:t> </w:t>
      </w:r>
      <w:r>
        <w:rPr/>
        <w:t>and</w:t>
      </w:r>
      <w:r>
        <w:rPr>
          <w:spacing w:val="-30"/>
        </w:rPr>
        <w:t> </w:t>
      </w:r>
      <w:r>
        <w:rPr/>
        <w:t>newly</w:t>
      </w:r>
      <w:r>
        <w:rPr>
          <w:spacing w:val="-26"/>
        </w:rPr>
        <w:t> </w:t>
      </w:r>
      <w:r>
        <w:rPr/>
        <w:t>identified problems.</w:t>
      </w:r>
    </w:p>
    <w:p>
      <w:pPr>
        <w:pStyle w:val="BodyText"/>
        <w:spacing w:before="2"/>
        <w:rPr>
          <w:sz w:val="33"/>
        </w:rPr>
      </w:pPr>
    </w:p>
    <w:p>
      <w:pPr>
        <w:pStyle w:val="BodyText"/>
        <w:ind w:left="1018"/>
      </w:pPr>
      <w:r>
        <w:rPr>
          <w:color w:val="DB4952"/>
          <w:w w:val="110"/>
        </w:rPr>
        <w:t>Contact </w:t>
      </w:r>
      <w:r>
        <w:rPr>
          <w:color w:val="DD504F"/>
          <w:w w:val="110"/>
        </w:rPr>
        <w:t>name </w:t>
      </w:r>
      <w:r>
        <w:rPr>
          <w:color w:val="E2464F"/>
          <w:w w:val="110"/>
        </w:rPr>
        <w:t>Richard </w:t>
      </w:r>
      <w:r>
        <w:rPr>
          <w:color w:val="F25449"/>
          <w:w w:val="110"/>
        </w:rPr>
        <w:t>Lewis</w:t>
      </w:r>
    </w:p>
    <w:p>
      <w:pPr>
        <w:pStyle w:val="BodyText"/>
        <w:spacing w:before="177"/>
        <w:ind w:left="1018"/>
      </w:pPr>
      <w:r>
        <w:rPr>
          <w:w w:val="105"/>
        </w:rPr>
        <w:t>Contact details: 0113 378 8529 | </w:t>
      </w:r>
      <w:hyperlink r:id="rId37">
        <w:r>
          <w:rPr>
            <w:w w:val="105"/>
          </w:rPr>
          <w:t>frm@leeds.gov.uk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376;mso-wrap-distance-left:0;mso-wrap-distance-right:0" from="69.114151pt,8.70879pt" to="562.032251pt,8.70879pt" stroked="true" strokeweight="1.43988pt" strokecolor="#ff3b42">
            <v:stroke dashstyle="solid"/>
            <w10:wrap type="topAndBottom"/>
          </v:line>
        </w:pict>
      </w:r>
    </w:p>
    <w:p>
      <w:pPr>
        <w:pStyle w:val="BodyText"/>
        <w:spacing w:before="3"/>
        <w:rPr>
          <w:sz w:val="9"/>
        </w:rPr>
      </w:pPr>
    </w:p>
    <w:p>
      <w:pPr>
        <w:spacing w:after="0"/>
        <w:rPr>
          <w:sz w:val="9"/>
        </w:rPr>
        <w:sectPr>
          <w:footerReference w:type="even" r:id="rId34"/>
          <w:pgSz w:w="11920" w:h="16850"/>
          <w:pgMar w:footer="0" w:header="0" w:top="580" w:bottom="280" w:left="400" w:right="540"/>
        </w:sectPr>
      </w:pPr>
    </w:p>
    <w:p>
      <w:pPr>
        <w:spacing w:before="94"/>
        <w:ind w:left="991" w:right="984" w:firstLine="0"/>
        <w:jc w:val="center"/>
        <w:rPr>
          <w:sz w:val="20"/>
        </w:rPr>
      </w:pPr>
      <w:r>
        <w:rPr>
          <w:sz w:val="20"/>
        </w:rPr>
        <w:t>WSP</w:t>
      </w:r>
    </w:p>
    <w:p>
      <w:pPr>
        <w:spacing w:before="0"/>
        <w:ind w:left="1024" w:right="0" w:firstLine="0"/>
        <w:jc w:val="left"/>
        <w:rPr>
          <w:sz w:val="20"/>
        </w:rPr>
      </w:pPr>
      <w:r>
        <w:rPr>
          <w:sz w:val="20"/>
        </w:rPr>
        <w:t>December 2018</w:t>
      </w:r>
    </w:p>
    <w:p>
      <w:pPr>
        <w:spacing w:before="94"/>
        <w:ind w:left="0" w:right="177" w:firstLine="0"/>
        <w:jc w:val="right"/>
        <w:rPr>
          <w:sz w:val="20"/>
        </w:rPr>
      </w:pPr>
      <w:r>
        <w:rPr/>
        <w:br w:type="column"/>
      </w:r>
      <w:r>
        <w:rPr>
          <w:sz w:val="20"/>
        </w:rPr>
        <w:t>LOCAL FLOOD RISK MANAGEMENT</w:t>
      </w:r>
      <w:r>
        <w:rPr>
          <w:spacing w:val="-28"/>
          <w:sz w:val="20"/>
        </w:rPr>
        <w:t> </w:t>
      </w:r>
      <w:r>
        <w:rPr>
          <w:sz w:val="20"/>
        </w:rPr>
        <w:t>STRATEGY</w:t>
      </w:r>
    </w:p>
    <w:p>
      <w:pPr>
        <w:spacing w:before="0"/>
        <w:ind w:left="0" w:right="166" w:firstLine="0"/>
        <w:jc w:val="right"/>
        <w:rPr>
          <w:sz w:val="20"/>
        </w:rPr>
      </w:pPr>
      <w:r>
        <w:rPr>
          <w:sz w:val="20"/>
        </w:rPr>
        <w:t>Project No.: 70046860 | Our Ref No.:</w:t>
      </w:r>
      <w:r>
        <w:rPr>
          <w:spacing w:val="-32"/>
          <w:sz w:val="20"/>
        </w:rPr>
        <w:t> </w:t>
      </w:r>
      <w:r>
        <w:rPr>
          <w:sz w:val="20"/>
        </w:rPr>
        <w:t>003</w:t>
      </w:r>
    </w:p>
    <w:p>
      <w:pPr>
        <w:spacing w:before="0"/>
        <w:ind w:left="0" w:right="177" w:firstLine="0"/>
        <w:jc w:val="right"/>
        <w:rPr>
          <w:sz w:val="20"/>
        </w:rPr>
      </w:pPr>
      <w:r>
        <w:rPr>
          <w:sz w:val="20"/>
        </w:rPr>
        <w:t>Leeds City</w:t>
      </w:r>
      <w:r>
        <w:rPr>
          <w:spacing w:val="-38"/>
          <w:sz w:val="20"/>
        </w:rPr>
        <w:t> </w:t>
      </w:r>
      <w:r>
        <w:rPr>
          <w:sz w:val="20"/>
        </w:rPr>
        <w:t>Council</w:t>
      </w:r>
    </w:p>
    <w:p>
      <w:pPr>
        <w:spacing w:after="0"/>
        <w:jc w:val="right"/>
        <w:rPr>
          <w:sz w:val="20"/>
        </w:rPr>
        <w:sectPr>
          <w:type w:val="continuous"/>
          <w:pgSz w:w="11920" w:h="16850"/>
          <w:pgMar w:top="1220" w:bottom="0" w:left="400" w:right="540"/>
          <w:cols w:num="2" w:equalWidth="0">
            <w:col w:w="2471" w:space="2767"/>
            <w:col w:w="574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ListParagraph"/>
        <w:numPr>
          <w:ilvl w:val="0"/>
          <w:numId w:val="4"/>
        </w:numPr>
        <w:tabs>
          <w:tab w:pos="1016" w:val="left" w:leader="none"/>
          <w:tab w:pos="1017" w:val="left" w:leader="none"/>
        </w:tabs>
        <w:spacing w:line="240" w:lineRule="auto" w:before="90" w:after="0"/>
        <w:ind w:left="1016" w:right="0" w:hanging="856"/>
        <w:jc w:val="left"/>
        <w:rPr>
          <w:sz w:val="32"/>
        </w:rPr>
      </w:pPr>
      <w:r>
        <w:rPr/>
        <w:pict>
          <v:line style="position:absolute;mso-position-horizontal-relative:page;mso-position-vertical-relative:paragraph;z-index:-280;mso-wrap-distance-left:0;mso-wrap-distance-right:0" from="27.837641pt,25.867247pt" to="562.752171pt,25.867247pt" stroked="true" strokeweight="1.1999pt" strokecolor="#b3574f">
            <v:stroke dashstyle="solid"/>
            <w10:wrap type="topAndBottom"/>
          </v:line>
        </w:pict>
      </w:r>
      <w:r>
        <w:rPr/>
        <w:pict>
          <v:group style="position:absolute;margin-left:123.349602pt;margin-top:-56.566002pt;width:5.3pt;height:35.050pt;mso-position-horizontal-relative:page;mso-position-vertical-relative:paragraph;z-index:1792" coordorigin="2467,-1131" coordsize="106,701">
            <v:shape style="position:absolute;left:2467;top:-1132;width:106;height:48" type="#_x0000_t75" stroked="false">
              <v:imagedata r:id="rId14" o:title=""/>
            </v:shape>
            <v:shape style="position:absolute;left:2486;top:-469;width:87;height:39" type="#_x0000_t75" stroked="false">
              <v:imagedata r:id="rId15" o:title=""/>
            </v:shape>
            <v:line style="position:absolute" from="2515,-1131" to="2515,-440" stroked="true" strokeweight="4.799592pt" strokecolor="#ff6477">
              <v:stroke dashstyle="solid"/>
            </v:line>
            <w10:wrap type="none"/>
          </v:group>
        </w:pict>
      </w:r>
      <w:bookmarkStart w:name="Leeds LFRMS 2018 Update_Page_13" w:id="14"/>
      <w:bookmarkEnd w:id="14"/>
      <w:r>
        <w:rPr/>
      </w:r>
      <w:bookmarkStart w:name="Leeds LFRMS 2018 Update_Page_13" w:id="15"/>
      <w:bookmarkEnd w:id="15"/>
      <w:r>
        <w:rPr>
          <w:sz w:val="32"/>
        </w:rPr>
        <w:t>LEGISLATIV</w:t>
      </w:r>
      <w:r>
        <w:rPr>
          <w:sz w:val="32"/>
        </w:rPr>
        <w:t>E</w:t>
      </w:r>
      <w:r>
        <w:rPr>
          <w:spacing w:val="31"/>
          <w:sz w:val="32"/>
        </w:rPr>
        <w:t> </w:t>
      </w:r>
      <w:r>
        <w:rPr>
          <w:sz w:val="32"/>
        </w:rPr>
        <w:t>CONTEXT</w:t>
      </w:r>
    </w:p>
    <w:p>
      <w:pPr>
        <w:pStyle w:val="ListParagraph"/>
        <w:numPr>
          <w:ilvl w:val="1"/>
          <w:numId w:val="4"/>
        </w:numPr>
        <w:tabs>
          <w:tab w:pos="1013" w:val="left" w:leader="none"/>
          <w:tab w:pos="1014" w:val="left" w:leader="none"/>
        </w:tabs>
        <w:spacing w:line="240" w:lineRule="auto" w:before="231" w:after="0"/>
        <w:ind w:left="1017" w:right="0" w:hanging="862"/>
        <w:jc w:val="left"/>
        <w:rPr>
          <w:sz w:val="28"/>
        </w:rPr>
      </w:pPr>
      <w:r>
        <w:rPr>
          <w:sz w:val="28"/>
        </w:rPr>
        <w:t>INTRODUCTION</w:t>
      </w:r>
    </w:p>
    <w:p>
      <w:pPr>
        <w:pStyle w:val="BodyText"/>
        <w:spacing w:line="261" w:lineRule="auto" w:before="157"/>
        <w:ind w:left="1015" w:firstLine="9"/>
      </w:pPr>
      <w:r>
        <w:rPr/>
        <w:t>This</w:t>
      </w:r>
      <w:r>
        <w:rPr>
          <w:spacing w:val="-34"/>
        </w:rPr>
        <w:t> </w:t>
      </w:r>
      <w:r>
        <w:rPr/>
        <w:t>Strategy</w:t>
      </w:r>
      <w:r>
        <w:rPr>
          <w:spacing w:val="-32"/>
        </w:rPr>
        <w:t> </w:t>
      </w:r>
      <w:r>
        <w:rPr/>
        <w:t>has</w:t>
      </w:r>
      <w:r>
        <w:rPr>
          <w:spacing w:val="-38"/>
        </w:rPr>
        <w:t> </w:t>
      </w:r>
      <w:r>
        <w:rPr/>
        <w:t>been</w:t>
      </w:r>
      <w:r>
        <w:rPr>
          <w:spacing w:val="-30"/>
        </w:rPr>
        <w:t> </w:t>
      </w:r>
      <w:r>
        <w:rPr/>
        <w:t>developed</w:t>
      </w:r>
      <w:r>
        <w:rPr>
          <w:spacing w:val="-26"/>
        </w:rPr>
        <w:t> </w:t>
      </w:r>
      <w:r>
        <w:rPr/>
        <w:t>with</w:t>
      </w:r>
      <w:r>
        <w:rPr>
          <w:spacing w:val="-34"/>
        </w:rPr>
        <w:t> </w:t>
      </w:r>
      <w:r>
        <w:rPr/>
        <w:t>regard</w:t>
      </w:r>
      <w:r>
        <w:rPr>
          <w:spacing w:val="-34"/>
        </w:rPr>
        <w:t> </w:t>
      </w:r>
      <w:r>
        <w:rPr/>
        <w:t>to</w:t>
      </w:r>
      <w:r>
        <w:rPr>
          <w:spacing w:val="-35"/>
        </w:rPr>
        <w:t> </w:t>
      </w:r>
      <w:r>
        <w:rPr/>
        <w:t>all</w:t>
      </w:r>
      <w:r>
        <w:rPr>
          <w:spacing w:val="-34"/>
        </w:rPr>
        <w:t> </w:t>
      </w:r>
      <w:r>
        <w:rPr/>
        <w:t>current</w:t>
      </w:r>
      <w:r>
        <w:rPr>
          <w:spacing w:val="-29"/>
        </w:rPr>
        <w:t> </w:t>
      </w:r>
      <w:r>
        <w:rPr/>
        <w:t>legislation</w:t>
      </w:r>
      <w:r>
        <w:rPr>
          <w:spacing w:val="-27"/>
        </w:rPr>
        <w:t> </w:t>
      </w:r>
      <w:r>
        <w:rPr/>
        <w:t>and</w:t>
      </w:r>
      <w:r>
        <w:rPr>
          <w:spacing w:val="-31"/>
        </w:rPr>
        <w:t> </w:t>
      </w:r>
      <w:r>
        <w:rPr/>
        <w:t>guidance</w:t>
      </w:r>
      <w:r>
        <w:rPr>
          <w:spacing w:val="-31"/>
        </w:rPr>
        <w:t> </w:t>
      </w:r>
      <w:r>
        <w:rPr/>
        <w:t>relating</w:t>
      </w:r>
      <w:r>
        <w:rPr>
          <w:spacing w:val="-31"/>
        </w:rPr>
        <w:t> </w:t>
      </w:r>
      <w:r>
        <w:rPr/>
        <w:t>to</w:t>
      </w:r>
      <w:r>
        <w:rPr>
          <w:spacing w:val="-36"/>
        </w:rPr>
        <w:t> </w:t>
      </w:r>
      <w:r>
        <w:rPr/>
        <w:t>flood risk management in the district of</w:t>
      </w:r>
      <w:r>
        <w:rPr>
          <w:spacing w:val="23"/>
        </w:rPr>
        <w:t> </w:t>
      </w:r>
      <w:r>
        <w:rPr/>
        <w:t>Leeds.</w:t>
      </w:r>
    </w:p>
    <w:p>
      <w:pPr>
        <w:pStyle w:val="BodyText"/>
        <w:spacing w:line="261" w:lineRule="auto" w:before="124"/>
        <w:ind w:left="1016" w:right="212" w:firstLine="8"/>
      </w:pPr>
      <w:r>
        <w:rPr/>
        <w:t>There</w:t>
      </w:r>
      <w:r>
        <w:rPr>
          <w:spacing w:val="-33"/>
        </w:rPr>
        <w:t> </w:t>
      </w:r>
      <w:r>
        <w:rPr/>
        <w:t>is</w:t>
      </w:r>
      <w:r>
        <w:rPr>
          <w:spacing w:val="-31"/>
        </w:rPr>
        <w:t> </w:t>
      </w:r>
      <w:r>
        <w:rPr/>
        <w:t>appreciation</w:t>
      </w:r>
      <w:r>
        <w:rPr>
          <w:spacing w:val="-20"/>
        </w:rPr>
        <w:t> </w:t>
      </w:r>
      <w:r>
        <w:rPr/>
        <w:t>that</w:t>
      </w:r>
      <w:r>
        <w:rPr>
          <w:spacing w:val="-28"/>
        </w:rPr>
        <w:t> </w:t>
      </w:r>
      <w:r>
        <w:rPr/>
        <w:t>the</w:t>
      </w:r>
      <w:r>
        <w:rPr>
          <w:spacing w:val="-33"/>
        </w:rPr>
        <w:t> </w:t>
      </w:r>
      <w:r>
        <w:rPr/>
        <w:t>legislation</w:t>
      </w:r>
      <w:r>
        <w:rPr>
          <w:spacing w:val="-22"/>
        </w:rPr>
        <w:t> </w:t>
      </w:r>
      <w:r>
        <w:rPr/>
        <w:t>and</w:t>
      </w:r>
      <w:r>
        <w:rPr>
          <w:spacing w:val="-28"/>
        </w:rPr>
        <w:t> </w:t>
      </w:r>
      <w:r>
        <w:rPr/>
        <w:t>guidance,</w:t>
      </w:r>
      <w:r>
        <w:rPr>
          <w:spacing w:val="-17"/>
        </w:rPr>
        <w:t> </w:t>
      </w:r>
      <w:r>
        <w:rPr/>
        <w:t>set</w:t>
      </w:r>
      <w:r>
        <w:rPr>
          <w:spacing w:val="-27"/>
        </w:rPr>
        <w:t> </w:t>
      </w:r>
      <w:r>
        <w:rPr/>
        <w:t>out</w:t>
      </w:r>
      <w:r>
        <w:rPr>
          <w:spacing w:val="-34"/>
        </w:rPr>
        <w:t> </w:t>
      </w:r>
      <w:r>
        <w:rPr/>
        <w:t>in</w:t>
      </w:r>
      <w:r>
        <w:rPr>
          <w:spacing w:val="-27"/>
        </w:rPr>
        <w:t> </w:t>
      </w:r>
      <w:r>
        <w:rPr/>
        <w:t>the</w:t>
      </w:r>
      <w:r>
        <w:rPr>
          <w:spacing w:val="-32"/>
        </w:rPr>
        <w:t> </w:t>
      </w:r>
      <w:r>
        <w:rPr/>
        <w:t>following</w:t>
      </w:r>
      <w:r>
        <w:rPr>
          <w:spacing w:val="-20"/>
        </w:rPr>
        <w:t> </w:t>
      </w:r>
      <w:r>
        <w:rPr/>
        <w:t>sub-section,</w:t>
      </w:r>
      <w:r>
        <w:rPr>
          <w:spacing w:val="-26"/>
        </w:rPr>
        <w:t> </w:t>
      </w:r>
      <w:r>
        <w:rPr/>
        <w:t>may change</w:t>
      </w:r>
      <w:r>
        <w:rPr>
          <w:spacing w:val="-35"/>
        </w:rPr>
        <w:t> </w:t>
      </w:r>
      <w:r>
        <w:rPr/>
        <w:t>in</w:t>
      </w:r>
      <w:r>
        <w:rPr>
          <w:spacing w:val="-37"/>
        </w:rPr>
        <w:t> </w:t>
      </w:r>
      <w:r>
        <w:rPr/>
        <w:t>the</w:t>
      </w:r>
      <w:r>
        <w:rPr>
          <w:spacing w:val="-35"/>
        </w:rPr>
        <w:t> </w:t>
      </w:r>
      <w:r>
        <w:rPr/>
        <w:t>years</w:t>
      </w:r>
      <w:r>
        <w:rPr>
          <w:spacing w:val="-32"/>
        </w:rPr>
        <w:t> </w:t>
      </w:r>
      <w:r>
        <w:rPr/>
        <w:t>following</w:t>
      </w:r>
      <w:r>
        <w:rPr>
          <w:spacing w:val="-27"/>
        </w:rPr>
        <w:t> </w:t>
      </w:r>
      <w:r>
        <w:rPr/>
        <w:t>the</w:t>
      </w:r>
      <w:r>
        <w:rPr>
          <w:spacing w:val="-33"/>
        </w:rPr>
        <w:t> </w:t>
      </w:r>
      <w:r>
        <w:rPr/>
        <w:t>departure</w:t>
      </w:r>
      <w:r>
        <w:rPr>
          <w:spacing w:val="-26"/>
        </w:rPr>
        <w:t> </w:t>
      </w:r>
      <w:r>
        <w:rPr/>
        <w:t>of</w:t>
      </w:r>
      <w:r>
        <w:rPr>
          <w:spacing w:val="-36"/>
        </w:rPr>
        <w:t> </w:t>
      </w:r>
      <w:r>
        <w:rPr/>
        <w:t>the</w:t>
      </w:r>
      <w:r>
        <w:rPr>
          <w:spacing w:val="-29"/>
        </w:rPr>
        <w:t> </w:t>
      </w:r>
      <w:r>
        <w:rPr/>
        <w:t>United</w:t>
      </w:r>
      <w:r>
        <w:rPr>
          <w:spacing w:val="-29"/>
        </w:rPr>
        <w:t> </w:t>
      </w:r>
      <w:r>
        <w:rPr/>
        <w:t>Kingdom</w:t>
      </w:r>
      <w:r>
        <w:rPr>
          <w:spacing w:val="-28"/>
        </w:rPr>
        <w:t> </w:t>
      </w:r>
      <w:r>
        <w:rPr/>
        <w:t>(UK)</w:t>
      </w:r>
      <w:r>
        <w:rPr>
          <w:spacing w:val="-32"/>
        </w:rPr>
        <w:t> </w:t>
      </w:r>
      <w:r>
        <w:rPr/>
        <w:t>from</w:t>
      </w:r>
      <w:r>
        <w:rPr>
          <w:spacing w:val="-29"/>
        </w:rPr>
        <w:t> </w:t>
      </w:r>
      <w:r>
        <w:rPr/>
        <w:t>the</w:t>
      </w:r>
      <w:r>
        <w:rPr>
          <w:spacing w:val="-33"/>
        </w:rPr>
        <w:t> </w:t>
      </w:r>
      <w:r>
        <w:rPr/>
        <w:t>European</w:t>
      </w:r>
      <w:r>
        <w:rPr>
          <w:spacing w:val="-26"/>
        </w:rPr>
        <w:t> </w:t>
      </w:r>
      <w:r>
        <w:rPr/>
        <w:t>Union (EU).</w:t>
      </w:r>
    </w:p>
    <w:p>
      <w:pPr>
        <w:pStyle w:val="BodyText"/>
        <w:spacing w:line="266" w:lineRule="auto" w:before="124"/>
        <w:ind w:left="1015" w:firstLine="4"/>
      </w:pPr>
      <w:r>
        <w:rPr/>
        <w:t>Section 9 contains a list of reference material related to flood risk for Leeds district. It contains relevant</w:t>
      </w:r>
      <w:r>
        <w:rPr>
          <w:spacing w:val="-34"/>
        </w:rPr>
        <w:t> </w:t>
      </w:r>
      <w:r>
        <w:rPr/>
        <w:t>legislation,</w:t>
      </w:r>
      <w:r>
        <w:rPr>
          <w:spacing w:val="-26"/>
        </w:rPr>
        <w:t> </w:t>
      </w:r>
      <w:r>
        <w:rPr/>
        <w:t>guidance,</w:t>
      </w:r>
      <w:r>
        <w:rPr>
          <w:spacing w:val="-31"/>
        </w:rPr>
        <w:t> </w:t>
      </w:r>
      <w:r>
        <w:rPr/>
        <w:t>reports,</w:t>
      </w:r>
      <w:r>
        <w:rPr>
          <w:spacing w:val="-27"/>
        </w:rPr>
        <w:t> </w:t>
      </w:r>
      <w:r>
        <w:rPr/>
        <w:t>strategies</w:t>
      </w:r>
      <w:r>
        <w:rPr>
          <w:spacing w:val="-32"/>
        </w:rPr>
        <w:t> </w:t>
      </w:r>
      <w:r>
        <w:rPr/>
        <w:t>and</w:t>
      </w:r>
      <w:r>
        <w:rPr>
          <w:spacing w:val="-31"/>
        </w:rPr>
        <w:t> </w:t>
      </w:r>
      <w:r>
        <w:rPr/>
        <w:t>studies,</w:t>
      </w:r>
      <w:r>
        <w:rPr>
          <w:spacing w:val="-27"/>
        </w:rPr>
        <w:t> </w:t>
      </w:r>
      <w:r>
        <w:rPr/>
        <w:t>which</w:t>
      </w:r>
      <w:r>
        <w:rPr>
          <w:spacing w:val="-36"/>
        </w:rPr>
        <w:t> </w:t>
      </w:r>
      <w:r>
        <w:rPr/>
        <w:t>have</w:t>
      </w:r>
      <w:r>
        <w:rPr>
          <w:spacing w:val="-34"/>
        </w:rPr>
        <w:t> </w:t>
      </w:r>
      <w:r>
        <w:rPr/>
        <w:t>been</w:t>
      </w:r>
      <w:r>
        <w:rPr>
          <w:spacing w:val="-33"/>
        </w:rPr>
        <w:t> </w:t>
      </w:r>
      <w:r>
        <w:rPr/>
        <w:t>used</w:t>
      </w:r>
      <w:r>
        <w:rPr>
          <w:spacing w:val="-39"/>
        </w:rPr>
        <w:t> </w:t>
      </w:r>
      <w:r>
        <w:rPr/>
        <w:t>to</w:t>
      </w:r>
      <w:r>
        <w:rPr>
          <w:spacing w:val="-38"/>
        </w:rPr>
        <w:t> </w:t>
      </w:r>
      <w:r>
        <w:rPr/>
        <w:t>develop</w:t>
      </w:r>
      <w:r>
        <w:rPr>
          <w:spacing w:val="-32"/>
        </w:rPr>
        <w:t> </w:t>
      </w:r>
      <w:r>
        <w:rPr/>
        <w:t>this strategy.</w:t>
      </w:r>
    </w:p>
    <w:p>
      <w:pPr>
        <w:pStyle w:val="ListParagraph"/>
        <w:numPr>
          <w:ilvl w:val="1"/>
          <w:numId w:val="4"/>
        </w:numPr>
        <w:tabs>
          <w:tab w:pos="1017" w:val="left" w:leader="none"/>
          <w:tab w:pos="1018" w:val="left" w:leader="none"/>
        </w:tabs>
        <w:spacing w:line="240" w:lineRule="auto" w:before="128" w:after="0"/>
        <w:ind w:left="1017" w:right="0" w:hanging="862"/>
        <w:jc w:val="left"/>
        <w:rPr>
          <w:sz w:val="28"/>
        </w:rPr>
      </w:pPr>
      <w:r>
        <w:rPr>
          <w:sz w:val="28"/>
        </w:rPr>
        <w:t>EUROPEAN UNION WITHDRAWAL</w:t>
      </w:r>
      <w:r>
        <w:rPr>
          <w:spacing w:val="-5"/>
          <w:sz w:val="28"/>
        </w:rPr>
        <w:t> </w:t>
      </w:r>
      <w:r>
        <w:rPr>
          <w:sz w:val="28"/>
        </w:rPr>
        <w:t>ACT</w:t>
      </w:r>
    </w:p>
    <w:p>
      <w:pPr>
        <w:pStyle w:val="BodyText"/>
        <w:spacing w:line="261" w:lineRule="auto" w:before="157"/>
        <w:ind w:left="1015" w:firstLine="6"/>
      </w:pPr>
      <w:r>
        <w:rPr/>
        <w:t>Exactly</w:t>
      </w:r>
      <w:r>
        <w:rPr>
          <w:spacing w:val="-18"/>
        </w:rPr>
        <w:t> </w:t>
      </w:r>
      <w:r>
        <w:rPr/>
        <w:t>what</w:t>
      </w:r>
      <w:r>
        <w:rPr>
          <w:spacing w:val="-21"/>
        </w:rPr>
        <w:t> </w:t>
      </w:r>
      <w:r>
        <w:rPr/>
        <w:t>leaving</w:t>
      </w:r>
      <w:r>
        <w:rPr>
          <w:spacing w:val="-19"/>
        </w:rPr>
        <w:t> </w:t>
      </w:r>
      <w:r>
        <w:rPr/>
        <w:t>the</w:t>
      </w:r>
      <w:r>
        <w:rPr>
          <w:spacing w:val="-26"/>
        </w:rPr>
        <w:t> </w:t>
      </w:r>
      <w:r>
        <w:rPr/>
        <w:t>EU</w:t>
      </w:r>
      <w:r>
        <w:rPr>
          <w:spacing w:val="-26"/>
        </w:rPr>
        <w:t> </w:t>
      </w:r>
      <w:r>
        <w:rPr/>
        <w:t>will</w:t>
      </w:r>
      <w:r>
        <w:rPr>
          <w:spacing w:val="-22"/>
        </w:rPr>
        <w:t> </w:t>
      </w:r>
      <w:r>
        <w:rPr/>
        <w:t>mean</w:t>
      </w:r>
      <w:r>
        <w:rPr>
          <w:spacing w:val="-15"/>
        </w:rPr>
        <w:t> </w:t>
      </w:r>
      <w:r>
        <w:rPr/>
        <w:t>for</w:t>
      </w:r>
      <w:r>
        <w:rPr>
          <w:spacing w:val="-26"/>
        </w:rPr>
        <w:t> </w:t>
      </w:r>
      <w:r>
        <w:rPr/>
        <w:t>the</w:t>
      </w:r>
      <w:r>
        <w:rPr>
          <w:spacing w:val="-25"/>
        </w:rPr>
        <w:t> </w:t>
      </w:r>
      <w:r>
        <w:rPr/>
        <w:t>environment</w:t>
      </w:r>
      <w:r>
        <w:rPr>
          <w:spacing w:val="-11"/>
        </w:rPr>
        <w:t> </w:t>
      </w:r>
      <w:r>
        <w:rPr/>
        <w:t>of</w:t>
      </w:r>
      <w:r>
        <w:rPr>
          <w:spacing w:val="-28"/>
        </w:rPr>
        <w:t> </w:t>
      </w:r>
      <w:r>
        <w:rPr/>
        <w:t>the</w:t>
      </w:r>
      <w:r>
        <w:rPr>
          <w:spacing w:val="-25"/>
        </w:rPr>
        <w:t> </w:t>
      </w:r>
      <w:r>
        <w:rPr/>
        <w:t>UK</w:t>
      </w:r>
      <w:r>
        <w:rPr>
          <w:spacing w:val="-31"/>
        </w:rPr>
        <w:t> </w:t>
      </w:r>
      <w:r>
        <w:rPr/>
        <w:t>is</w:t>
      </w:r>
      <w:r>
        <w:rPr>
          <w:spacing w:val="-36"/>
        </w:rPr>
        <w:t> </w:t>
      </w:r>
      <w:r>
        <w:rPr/>
        <w:t>hard</w:t>
      </w:r>
      <w:r>
        <w:rPr>
          <w:spacing w:val="-26"/>
        </w:rPr>
        <w:t> </w:t>
      </w:r>
      <w:r>
        <w:rPr/>
        <w:t>to</w:t>
      </w:r>
      <w:r>
        <w:rPr>
          <w:spacing w:val="-29"/>
        </w:rPr>
        <w:t> </w:t>
      </w:r>
      <w:r>
        <w:rPr/>
        <w:t>predict,</w:t>
      </w:r>
      <w:r>
        <w:rPr>
          <w:spacing w:val="-17"/>
        </w:rPr>
        <w:t> </w:t>
      </w:r>
      <w:r>
        <w:rPr/>
        <w:t>but</w:t>
      </w:r>
      <w:r>
        <w:rPr>
          <w:spacing w:val="-25"/>
        </w:rPr>
        <w:t> </w:t>
      </w:r>
      <w:r>
        <w:rPr/>
        <w:t>it</w:t>
      </w:r>
      <w:r>
        <w:rPr>
          <w:spacing w:val="-23"/>
        </w:rPr>
        <w:t> </w:t>
      </w:r>
      <w:r>
        <w:rPr/>
        <w:t>will</w:t>
      </w:r>
      <w:r>
        <w:rPr>
          <w:spacing w:val="-29"/>
        </w:rPr>
        <w:t> </w:t>
      </w:r>
      <w:r>
        <w:rPr/>
        <w:t>be significant. The protection of the UK’s natural environment has been profoundly shaped by EU legislation and policy for four</w:t>
      </w:r>
      <w:r>
        <w:rPr>
          <w:spacing w:val="19"/>
        </w:rPr>
        <w:t> </w:t>
      </w:r>
      <w:r>
        <w:rPr/>
        <w:t>decades.</w:t>
      </w:r>
    </w:p>
    <w:p>
      <w:pPr>
        <w:pStyle w:val="BodyText"/>
        <w:spacing w:line="271" w:lineRule="auto" w:before="124"/>
        <w:ind w:left="1024"/>
      </w:pPr>
      <w:r>
        <w:rPr/>
        <w:t>The</w:t>
      </w:r>
      <w:r>
        <w:rPr>
          <w:spacing w:val="-32"/>
        </w:rPr>
        <w:t> </w:t>
      </w:r>
      <w:r>
        <w:rPr/>
        <w:t>European</w:t>
      </w:r>
      <w:r>
        <w:rPr>
          <w:spacing w:val="-19"/>
        </w:rPr>
        <w:t> </w:t>
      </w:r>
      <w:r>
        <w:rPr/>
        <w:t>Union</w:t>
      </w:r>
      <w:r>
        <w:rPr>
          <w:spacing w:val="-29"/>
        </w:rPr>
        <w:t> </w:t>
      </w:r>
      <w:r>
        <w:rPr/>
        <w:t>Withdrawal</w:t>
      </w:r>
      <w:r>
        <w:rPr>
          <w:spacing w:val="-14"/>
        </w:rPr>
        <w:t> </w:t>
      </w:r>
      <w:r>
        <w:rPr/>
        <w:t>Bill</w:t>
      </w:r>
      <w:r>
        <w:rPr>
          <w:spacing w:val="-29"/>
        </w:rPr>
        <w:t> </w:t>
      </w:r>
      <w:r>
        <w:rPr/>
        <w:t>had</w:t>
      </w:r>
      <w:r>
        <w:rPr>
          <w:spacing w:val="-36"/>
        </w:rPr>
        <w:t> </w:t>
      </w:r>
      <w:r>
        <w:rPr/>
        <w:t>its</w:t>
      </w:r>
      <w:r>
        <w:rPr>
          <w:spacing w:val="-35"/>
        </w:rPr>
        <w:t> </w:t>
      </w:r>
      <w:r>
        <w:rPr/>
        <w:t>first</w:t>
      </w:r>
      <w:r>
        <w:rPr>
          <w:spacing w:val="-31"/>
        </w:rPr>
        <w:t> </w:t>
      </w:r>
      <w:r>
        <w:rPr/>
        <w:t>reading</w:t>
      </w:r>
      <w:r>
        <w:rPr>
          <w:spacing w:val="-27"/>
        </w:rPr>
        <w:t> </w:t>
      </w:r>
      <w:r>
        <w:rPr/>
        <w:t>in</w:t>
      </w:r>
      <w:r>
        <w:rPr>
          <w:spacing w:val="-33"/>
        </w:rPr>
        <w:t> </w:t>
      </w:r>
      <w:r>
        <w:rPr/>
        <w:t>the</w:t>
      </w:r>
      <w:r>
        <w:rPr>
          <w:spacing w:val="-32"/>
        </w:rPr>
        <w:t> </w:t>
      </w:r>
      <w:r>
        <w:rPr/>
        <w:t>House</w:t>
      </w:r>
      <w:r>
        <w:rPr>
          <w:spacing w:val="-29"/>
        </w:rPr>
        <w:t> </w:t>
      </w:r>
      <w:r>
        <w:rPr/>
        <w:t>of</w:t>
      </w:r>
      <w:r>
        <w:rPr>
          <w:spacing w:val="-36"/>
        </w:rPr>
        <w:t> </w:t>
      </w:r>
      <w:r>
        <w:rPr/>
        <w:t>Commons</w:t>
      </w:r>
      <w:r>
        <w:rPr>
          <w:spacing w:val="-23"/>
        </w:rPr>
        <w:t> </w:t>
      </w:r>
      <w:r>
        <w:rPr/>
        <w:t>on</w:t>
      </w:r>
      <w:r>
        <w:rPr>
          <w:spacing w:val="-29"/>
        </w:rPr>
        <w:t> </w:t>
      </w:r>
      <w:r>
        <w:rPr/>
        <w:t>13</w:t>
      </w:r>
      <w:r>
        <w:rPr>
          <w:spacing w:val="-31"/>
        </w:rPr>
        <w:t> </w:t>
      </w:r>
      <w:r>
        <w:rPr/>
        <w:t>July</w:t>
      </w:r>
      <w:r>
        <w:rPr>
          <w:spacing w:val="-26"/>
        </w:rPr>
        <w:t> </w:t>
      </w:r>
      <w:r>
        <w:rPr/>
        <w:t>2017. The bill proposed to do three main</w:t>
      </w:r>
      <w:r>
        <w:rPr>
          <w:spacing w:val="-12"/>
        </w:rPr>
        <w:t> </w:t>
      </w:r>
      <w:r>
        <w:rPr/>
        <w:t>things:</w:t>
      </w:r>
    </w:p>
    <w:p>
      <w:pPr>
        <w:pStyle w:val="ListParagraph"/>
        <w:numPr>
          <w:ilvl w:val="2"/>
          <w:numId w:val="4"/>
        </w:numPr>
        <w:tabs>
          <w:tab w:pos="1445" w:val="left" w:leader="none"/>
        </w:tabs>
        <w:spacing w:line="276" w:lineRule="auto" w:before="113" w:after="0"/>
        <w:ind w:left="1439" w:right="268" w:hanging="267"/>
        <w:jc w:val="left"/>
        <w:rPr>
          <w:color w:val="FF362F"/>
          <w:sz w:val="22"/>
        </w:rPr>
      </w:pPr>
      <w:r>
        <w:rPr>
          <w:sz w:val="22"/>
        </w:rPr>
        <w:t>Repeal</w:t>
      </w:r>
      <w:r>
        <w:rPr>
          <w:spacing w:val="-10"/>
          <w:sz w:val="22"/>
        </w:rPr>
        <w:t> </w:t>
      </w:r>
      <w:r>
        <w:rPr>
          <w:sz w:val="22"/>
        </w:rPr>
        <w:t>the</w:t>
      </w:r>
      <w:r>
        <w:rPr>
          <w:spacing w:val="-13"/>
          <w:sz w:val="22"/>
        </w:rPr>
        <w:t> </w:t>
      </w:r>
      <w:r>
        <w:rPr>
          <w:sz w:val="22"/>
        </w:rPr>
        <w:t>European Communities</w:t>
      </w:r>
      <w:r>
        <w:rPr>
          <w:spacing w:val="4"/>
          <w:sz w:val="22"/>
        </w:rPr>
        <w:t> </w:t>
      </w:r>
      <w:r>
        <w:rPr>
          <w:sz w:val="22"/>
        </w:rPr>
        <w:t>Act</w:t>
      </w:r>
      <w:r>
        <w:rPr>
          <w:spacing w:val="-3"/>
          <w:sz w:val="22"/>
        </w:rPr>
        <w:t> </w:t>
      </w:r>
      <w:r>
        <w:rPr>
          <w:sz w:val="22"/>
        </w:rPr>
        <w:t>1972.This</w:t>
      </w:r>
      <w:r>
        <w:rPr>
          <w:spacing w:val="-8"/>
          <w:sz w:val="22"/>
        </w:rPr>
        <w:t> </w:t>
      </w:r>
      <w:r>
        <w:rPr>
          <w:sz w:val="22"/>
        </w:rPr>
        <w:t>legislation</w:t>
      </w:r>
      <w:r>
        <w:rPr>
          <w:spacing w:val="-3"/>
          <w:sz w:val="22"/>
        </w:rPr>
        <w:t> </w:t>
      </w:r>
      <w:r>
        <w:rPr>
          <w:sz w:val="22"/>
        </w:rPr>
        <w:t>provides</w:t>
      </w:r>
      <w:r>
        <w:rPr>
          <w:spacing w:val="-9"/>
          <w:sz w:val="22"/>
        </w:rPr>
        <w:t> </w:t>
      </w:r>
      <w:r>
        <w:rPr>
          <w:sz w:val="22"/>
        </w:rPr>
        <w:t>legal</w:t>
      </w:r>
      <w:r>
        <w:rPr>
          <w:spacing w:val="1"/>
          <w:sz w:val="22"/>
        </w:rPr>
        <w:t> </w:t>
      </w:r>
      <w:r>
        <w:rPr>
          <w:sz w:val="22"/>
        </w:rPr>
        <w:t>authority</w:t>
      </w:r>
      <w:r>
        <w:rPr>
          <w:spacing w:val="-7"/>
          <w:sz w:val="22"/>
        </w:rPr>
        <w:t> </w:t>
      </w:r>
      <w:r>
        <w:rPr>
          <w:sz w:val="22"/>
        </w:rPr>
        <w:t>for</w:t>
      </w:r>
      <w:r>
        <w:rPr>
          <w:spacing w:val="-4"/>
          <w:sz w:val="22"/>
        </w:rPr>
        <w:t> </w:t>
      </w:r>
      <w:r>
        <w:rPr>
          <w:sz w:val="22"/>
        </w:rPr>
        <w:t>EU</w:t>
      </w:r>
      <w:r>
        <w:rPr>
          <w:spacing w:val="-14"/>
          <w:sz w:val="22"/>
        </w:rPr>
        <w:t> </w:t>
      </w:r>
      <w:r>
        <w:rPr>
          <w:sz w:val="22"/>
        </w:rPr>
        <w:t>law </w:t>
      </w:r>
      <w:r>
        <w:rPr>
          <w:sz w:val="23"/>
        </w:rPr>
        <w:t>to</w:t>
      </w:r>
      <w:r>
        <w:rPr>
          <w:spacing w:val="-22"/>
          <w:sz w:val="23"/>
        </w:rPr>
        <w:t> </w:t>
      </w:r>
      <w:r>
        <w:rPr>
          <w:sz w:val="23"/>
        </w:rPr>
        <w:t>have</w:t>
      </w:r>
      <w:r>
        <w:rPr>
          <w:spacing w:val="-19"/>
          <w:sz w:val="23"/>
        </w:rPr>
        <w:t> </w:t>
      </w:r>
      <w:r>
        <w:rPr>
          <w:sz w:val="23"/>
        </w:rPr>
        <w:t>effect</w:t>
      </w:r>
      <w:r>
        <w:rPr>
          <w:spacing w:val="-16"/>
          <w:sz w:val="23"/>
        </w:rPr>
        <w:t> </w:t>
      </w:r>
      <w:r>
        <w:rPr>
          <w:sz w:val="23"/>
        </w:rPr>
        <w:t>as</w:t>
      </w:r>
      <w:r>
        <w:rPr>
          <w:spacing w:val="-27"/>
          <w:sz w:val="23"/>
        </w:rPr>
        <w:t> </w:t>
      </w:r>
      <w:r>
        <w:rPr>
          <w:sz w:val="23"/>
        </w:rPr>
        <w:t>national</w:t>
      </w:r>
      <w:r>
        <w:rPr>
          <w:spacing w:val="-19"/>
          <w:sz w:val="23"/>
        </w:rPr>
        <w:t> </w:t>
      </w:r>
      <w:r>
        <w:rPr>
          <w:sz w:val="23"/>
        </w:rPr>
        <w:t>law</w:t>
      </w:r>
      <w:r>
        <w:rPr>
          <w:spacing w:val="-17"/>
          <w:sz w:val="23"/>
        </w:rPr>
        <w:t> </w:t>
      </w:r>
      <w:r>
        <w:rPr>
          <w:sz w:val="23"/>
        </w:rPr>
        <w:t>in</w:t>
      </w:r>
      <w:r>
        <w:rPr>
          <w:spacing w:val="-26"/>
          <w:sz w:val="23"/>
        </w:rPr>
        <w:t> </w:t>
      </w:r>
      <w:r>
        <w:rPr>
          <w:sz w:val="23"/>
        </w:rPr>
        <w:t>the</w:t>
      </w:r>
      <w:r>
        <w:rPr>
          <w:spacing w:val="-21"/>
          <w:sz w:val="23"/>
        </w:rPr>
        <w:t> </w:t>
      </w:r>
      <w:r>
        <w:rPr>
          <w:sz w:val="23"/>
        </w:rPr>
        <w:t>UK.</w:t>
      </w:r>
      <w:r>
        <w:rPr>
          <w:spacing w:val="-14"/>
          <w:sz w:val="23"/>
        </w:rPr>
        <w:t> </w:t>
      </w:r>
      <w:r>
        <w:rPr>
          <w:sz w:val="23"/>
        </w:rPr>
        <w:t>This</w:t>
      </w:r>
      <w:r>
        <w:rPr>
          <w:spacing w:val="-21"/>
          <w:sz w:val="23"/>
        </w:rPr>
        <w:t> </w:t>
      </w:r>
      <w:r>
        <w:rPr>
          <w:sz w:val="23"/>
        </w:rPr>
        <w:t>will</w:t>
      </w:r>
      <w:r>
        <w:rPr>
          <w:spacing w:val="-25"/>
          <w:sz w:val="23"/>
        </w:rPr>
        <w:t> </w:t>
      </w:r>
      <w:r>
        <w:rPr>
          <w:sz w:val="23"/>
        </w:rPr>
        <w:t>no</w:t>
      </w:r>
      <w:r>
        <w:rPr>
          <w:spacing w:val="-26"/>
          <w:sz w:val="23"/>
        </w:rPr>
        <w:t> </w:t>
      </w:r>
      <w:r>
        <w:rPr>
          <w:sz w:val="23"/>
        </w:rPr>
        <w:t>longer</w:t>
      </w:r>
      <w:r>
        <w:rPr>
          <w:spacing w:val="-20"/>
          <w:sz w:val="23"/>
        </w:rPr>
        <w:t> </w:t>
      </w:r>
      <w:r>
        <w:rPr>
          <w:sz w:val="23"/>
        </w:rPr>
        <w:t>be</w:t>
      </w:r>
      <w:r>
        <w:rPr>
          <w:spacing w:val="-27"/>
          <w:sz w:val="23"/>
        </w:rPr>
        <w:t> </w:t>
      </w:r>
      <w:r>
        <w:rPr>
          <w:sz w:val="23"/>
        </w:rPr>
        <w:t>the</w:t>
      </w:r>
      <w:r>
        <w:rPr>
          <w:spacing w:val="-22"/>
          <w:sz w:val="23"/>
        </w:rPr>
        <w:t> </w:t>
      </w:r>
      <w:r>
        <w:rPr>
          <w:sz w:val="23"/>
        </w:rPr>
        <w:t>case</w:t>
      </w:r>
      <w:r>
        <w:rPr>
          <w:spacing w:val="-20"/>
          <w:sz w:val="23"/>
        </w:rPr>
        <w:t> </w:t>
      </w:r>
      <w:r>
        <w:rPr>
          <w:sz w:val="23"/>
        </w:rPr>
        <w:t>after</w:t>
      </w:r>
      <w:r>
        <w:rPr>
          <w:spacing w:val="-22"/>
          <w:sz w:val="23"/>
        </w:rPr>
        <w:t> </w:t>
      </w:r>
      <w:r>
        <w:rPr>
          <w:sz w:val="23"/>
        </w:rPr>
        <w:t>the</w:t>
      </w:r>
      <w:r>
        <w:rPr>
          <w:spacing w:val="-16"/>
          <w:sz w:val="23"/>
        </w:rPr>
        <w:t> </w:t>
      </w:r>
      <w:r>
        <w:rPr>
          <w:sz w:val="23"/>
        </w:rPr>
        <w:t>UK</w:t>
      </w:r>
      <w:r>
        <w:rPr>
          <w:spacing w:val="-27"/>
          <w:sz w:val="23"/>
        </w:rPr>
        <w:t> </w:t>
      </w:r>
      <w:r>
        <w:rPr>
          <w:sz w:val="23"/>
        </w:rPr>
        <w:t>leaves</w:t>
      </w:r>
      <w:r>
        <w:rPr>
          <w:spacing w:val="-26"/>
          <w:sz w:val="23"/>
        </w:rPr>
        <w:t> </w:t>
      </w:r>
      <w:r>
        <w:rPr>
          <w:sz w:val="23"/>
        </w:rPr>
        <w:t>the </w:t>
      </w:r>
      <w:r>
        <w:rPr>
          <w:sz w:val="21"/>
        </w:rPr>
        <w:t>EU.</w:t>
      </w:r>
    </w:p>
    <w:p>
      <w:pPr>
        <w:pStyle w:val="ListParagraph"/>
        <w:numPr>
          <w:ilvl w:val="2"/>
          <w:numId w:val="4"/>
        </w:numPr>
        <w:tabs>
          <w:tab w:pos="1447" w:val="left" w:leader="none"/>
        </w:tabs>
        <w:spacing w:line="240" w:lineRule="auto" w:before="0" w:after="0"/>
        <w:ind w:left="1446" w:right="0" w:hanging="274"/>
        <w:jc w:val="left"/>
        <w:rPr>
          <w:color w:val="F93834"/>
          <w:sz w:val="22"/>
        </w:rPr>
      </w:pPr>
      <w:r>
        <w:rPr>
          <w:sz w:val="22"/>
        </w:rPr>
        <w:t>Bring all EU laws onto the UK books. Laws and regulations made over the past 40 years</w:t>
      </w:r>
      <w:r>
        <w:rPr>
          <w:spacing w:val="-18"/>
          <w:sz w:val="22"/>
        </w:rPr>
        <w:t> </w:t>
      </w:r>
      <w:r>
        <w:rPr>
          <w:sz w:val="22"/>
        </w:rPr>
        <w:t>while</w:t>
      </w:r>
    </w:p>
    <w:p>
      <w:pPr>
        <w:pStyle w:val="BodyText"/>
        <w:spacing w:before="36"/>
        <w:ind w:left="1439"/>
      </w:pPr>
      <w:r>
        <w:rPr/>
        <w:t>the UK was a member of the EU will continue to apply after the UK leaves the EU.</w:t>
      </w:r>
    </w:p>
    <w:p>
      <w:pPr>
        <w:pStyle w:val="ListParagraph"/>
        <w:numPr>
          <w:ilvl w:val="2"/>
          <w:numId w:val="4"/>
        </w:numPr>
        <w:tabs>
          <w:tab w:pos="1441" w:val="left" w:leader="none"/>
        </w:tabs>
        <w:spacing w:line="240" w:lineRule="auto" w:before="32" w:after="0"/>
        <w:ind w:left="1440" w:right="0" w:hanging="268"/>
        <w:jc w:val="left"/>
        <w:rPr>
          <w:color w:val="EF4136"/>
          <w:sz w:val="22"/>
        </w:rPr>
      </w:pPr>
      <w:r>
        <w:rPr>
          <w:sz w:val="22"/>
        </w:rPr>
        <w:t>Give ministers power to make secondary</w:t>
      </w:r>
      <w:r>
        <w:rPr>
          <w:spacing w:val="53"/>
          <w:sz w:val="22"/>
        </w:rPr>
        <w:t> </w:t>
      </w:r>
      <w:r>
        <w:rPr>
          <w:sz w:val="22"/>
        </w:rPr>
        <w:t>legislation.</w:t>
      </w:r>
    </w:p>
    <w:p>
      <w:pPr>
        <w:pStyle w:val="BodyText"/>
        <w:spacing w:before="2"/>
        <w:rPr>
          <w:sz w:val="21"/>
        </w:rPr>
      </w:pPr>
    </w:p>
    <w:p>
      <w:pPr>
        <w:pStyle w:val="BodyText"/>
        <w:spacing w:line="261" w:lineRule="auto"/>
        <w:ind w:left="1021" w:right="212" w:firstLine="3"/>
      </w:pPr>
      <w:r>
        <w:rPr>
          <w:spacing w:val="-1"/>
          <w:w w:val="94"/>
        </w:rPr>
        <w:t>Th</w:t>
      </w:r>
      <w:r>
        <w:rPr>
          <w:w w:val="94"/>
        </w:rPr>
        <w:t>e</w:t>
      </w:r>
      <w:r>
        <w:rPr>
          <w:spacing w:val="2"/>
        </w:rPr>
        <w:t> </w:t>
      </w:r>
      <w:r>
        <w:rPr>
          <w:spacing w:val="-1"/>
          <w:w w:val="93"/>
        </w:rPr>
        <w:t>Europea</w:t>
      </w:r>
      <w:r>
        <w:rPr>
          <w:w w:val="93"/>
        </w:rPr>
        <w:t>n</w:t>
      </w:r>
      <w:r>
        <w:rPr>
          <w:spacing w:val="27"/>
        </w:rPr>
        <w:t> </w:t>
      </w:r>
      <w:r>
        <w:rPr>
          <w:spacing w:val="-1"/>
          <w:w w:val="93"/>
        </w:rPr>
        <w:t>Unio</w:t>
      </w:r>
      <w:r>
        <w:rPr>
          <w:w w:val="93"/>
        </w:rPr>
        <w:t>n</w:t>
      </w:r>
      <w:r>
        <w:rPr>
          <w:spacing w:val="4"/>
        </w:rPr>
        <w:t> </w:t>
      </w:r>
      <w:r>
        <w:rPr>
          <w:w w:val="94"/>
        </w:rPr>
        <w:t>(</w:t>
      </w:r>
      <w:r>
        <w:rPr>
          <w:spacing w:val="-1"/>
          <w:w w:val="94"/>
        </w:rPr>
        <w:t>Withdrawal</w:t>
      </w:r>
      <w:r>
        <w:rPr>
          <w:w w:val="94"/>
        </w:rPr>
        <w:t>)</w:t>
      </w:r>
      <w:r>
        <w:rPr>
          <w:spacing w:val="25"/>
        </w:rPr>
        <w:t> </w:t>
      </w:r>
      <w:r>
        <w:rPr>
          <w:spacing w:val="-1"/>
          <w:w w:val="94"/>
        </w:rPr>
        <w:t>Ac</w:t>
      </w:r>
      <w:r>
        <w:rPr>
          <w:w w:val="94"/>
        </w:rPr>
        <w:t>t</w:t>
      </w:r>
      <w:r>
        <w:rPr>
          <w:spacing w:val="-8"/>
        </w:rPr>
        <w:t> </w:t>
      </w:r>
      <w:r>
        <w:rPr>
          <w:spacing w:val="-1"/>
          <w:w w:val="95"/>
        </w:rPr>
        <w:t>becam</w:t>
      </w:r>
      <w:r>
        <w:rPr>
          <w:w w:val="95"/>
        </w:rPr>
        <w:t>e</w:t>
      </w:r>
      <w:r>
        <w:rPr>
          <w:spacing w:val="3"/>
        </w:rPr>
        <w:t> </w:t>
      </w:r>
      <w:r>
        <w:rPr>
          <w:spacing w:val="-1"/>
          <w:w w:val="92"/>
        </w:rPr>
        <w:t>la</w:t>
      </w:r>
      <w:r>
        <w:rPr>
          <w:w w:val="92"/>
        </w:rPr>
        <w:t>w</w:t>
      </w:r>
      <w:r>
        <w:rPr>
          <w:spacing w:val="18"/>
        </w:rPr>
        <w:t> </w:t>
      </w:r>
      <w:r>
        <w:rPr>
          <w:spacing w:val="-1"/>
          <w:w w:val="93"/>
        </w:rPr>
        <w:t>o</w:t>
      </w:r>
      <w:r>
        <w:rPr>
          <w:w w:val="93"/>
        </w:rPr>
        <w:t>n</w:t>
      </w:r>
      <w:r>
        <w:rPr>
          <w:spacing w:val="5"/>
        </w:rPr>
        <w:t> </w:t>
      </w:r>
      <w:r>
        <w:rPr>
          <w:spacing w:val="-1"/>
          <w:w w:val="94"/>
        </w:rPr>
        <w:t>2</w:t>
      </w:r>
      <w:r>
        <w:rPr>
          <w:spacing w:val="4"/>
          <w:w w:val="94"/>
        </w:rPr>
        <w:t>6</w:t>
      </w:r>
      <w:r>
        <w:rPr>
          <w:spacing w:val="5"/>
          <w:w w:val="94"/>
          <w:position w:val="8"/>
          <w:sz w:val="11"/>
        </w:rPr>
        <w:t>t</w:t>
      </w:r>
      <w:r>
        <w:rPr>
          <w:w w:val="57"/>
          <w:position w:val="8"/>
        </w:rPr>
        <w:t>h</w:t>
      </w:r>
      <w:r>
        <w:rPr>
          <w:spacing w:val="-21"/>
          <w:position w:val="8"/>
        </w:rPr>
        <w:t> </w:t>
      </w:r>
      <w:r>
        <w:rPr>
          <w:w w:val="93"/>
        </w:rPr>
        <w:t>June</w:t>
      </w:r>
      <w:r>
        <w:rPr>
          <w:spacing w:val="9"/>
        </w:rPr>
        <w:t> </w:t>
      </w:r>
      <w:r>
        <w:rPr>
          <w:spacing w:val="-1"/>
          <w:w w:val="92"/>
        </w:rPr>
        <w:t>2018</w:t>
      </w:r>
      <w:r>
        <w:rPr>
          <w:w w:val="92"/>
        </w:rPr>
        <w:t>.</w:t>
      </w:r>
      <w:r>
        <w:rPr>
          <w:spacing w:val="18"/>
        </w:rPr>
        <w:t> </w:t>
      </w:r>
      <w:r>
        <w:rPr>
          <w:spacing w:val="-1"/>
          <w:w w:val="92"/>
        </w:rPr>
        <w:t>A</w:t>
      </w:r>
      <w:r>
        <w:rPr>
          <w:w w:val="92"/>
        </w:rPr>
        <w:t>t</w:t>
      </w:r>
      <w:r>
        <w:rPr>
          <w:spacing w:val="-1"/>
        </w:rPr>
        <w:t> </w:t>
      </w:r>
      <w:r>
        <w:rPr>
          <w:spacing w:val="-1"/>
          <w:w w:val="95"/>
        </w:rPr>
        <w:t>th</w:t>
      </w:r>
      <w:r>
        <w:rPr>
          <w:w w:val="95"/>
        </w:rPr>
        <w:t>e</w:t>
      </w:r>
      <w:r>
        <w:rPr>
          <w:spacing w:val="-4"/>
        </w:rPr>
        <w:t> </w:t>
      </w:r>
      <w:r>
        <w:rPr>
          <w:spacing w:val="-1"/>
          <w:w w:val="96"/>
        </w:rPr>
        <w:t>tim</w:t>
      </w:r>
      <w:r>
        <w:rPr>
          <w:w w:val="96"/>
        </w:rPr>
        <w:t>e</w:t>
      </w:r>
      <w:r>
        <w:rPr>
          <w:spacing w:val="5"/>
        </w:rPr>
        <w:t> </w:t>
      </w:r>
      <w:r>
        <w:rPr>
          <w:spacing w:val="-1"/>
          <w:w w:val="93"/>
        </w:rPr>
        <w:t>o</w:t>
      </w:r>
      <w:r>
        <w:rPr>
          <w:w w:val="93"/>
        </w:rPr>
        <w:t>f</w:t>
      </w:r>
      <w:r>
        <w:rPr>
          <w:spacing w:val="4"/>
        </w:rPr>
        <w:t> </w:t>
      </w:r>
      <w:r>
        <w:rPr>
          <w:spacing w:val="-1"/>
          <w:w w:val="93"/>
        </w:rPr>
        <w:t>writing</w:t>
      </w:r>
      <w:r>
        <w:rPr>
          <w:w w:val="93"/>
        </w:rPr>
        <w:t>,</w:t>
      </w:r>
      <w:r>
        <w:rPr>
          <w:spacing w:val="9"/>
        </w:rPr>
        <w:t> </w:t>
      </w:r>
      <w:r>
        <w:rPr>
          <w:spacing w:val="-1"/>
          <w:w w:val="96"/>
        </w:rPr>
        <w:t>i</w:t>
      </w:r>
      <w:r>
        <w:rPr>
          <w:w w:val="96"/>
        </w:rPr>
        <w:t>t</w:t>
      </w:r>
      <w:r>
        <w:rPr>
          <w:spacing w:val="-4"/>
        </w:rPr>
        <w:t> </w:t>
      </w:r>
      <w:r>
        <w:rPr>
          <w:spacing w:val="-1"/>
          <w:w w:val="99"/>
        </w:rPr>
        <w:t>is </w:t>
      </w:r>
      <w:r>
        <w:rPr/>
        <w:t>anticipated</w:t>
      </w:r>
      <w:r>
        <w:rPr>
          <w:spacing w:val="-31"/>
        </w:rPr>
        <w:t> </w:t>
      </w:r>
      <w:r>
        <w:rPr/>
        <w:t>that</w:t>
      </w:r>
      <w:r>
        <w:rPr>
          <w:spacing w:val="-37"/>
        </w:rPr>
        <w:t> </w:t>
      </w:r>
      <w:r>
        <w:rPr/>
        <w:t>the</w:t>
      </w:r>
      <w:r>
        <w:rPr>
          <w:spacing w:val="-39"/>
        </w:rPr>
        <w:t> </w:t>
      </w:r>
      <w:r>
        <w:rPr/>
        <w:t>laws</w:t>
      </w:r>
      <w:r>
        <w:rPr>
          <w:spacing w:val="-37"/>
        </w:rPr>
        <w:t> </w:t>
      </w:r>
      <w:r>
        <w:rPr/>
        <w:t>and</w:t>
      </w:r>
      <w:r>
        <w:rPr>
          <w:spacing w:val="-38"/>
        </w:rPr>
        <w:t> </w:t>
      </w:r>
      <w:r>
        <w:rPr/>
        <w:t>regulations</w:t>
      </w:r>
      <w:r>
        <w:rPr>
          <w:spacing w:val="-37"/>
        </w:rPr>
        <w:t> </w:t>
      </w:r>
      <w:r>
        <w:rPr/>
        <w:t>transposed</w:t>
      </w:r>
      <w:r>
        <w:rPr>
          <w:spacing w:val="-30"/>
        </w:rPr>
        <w:t> </w:t>
      </w:r>
      <w:r>
        <w:rPr/>
        <w:t>from</w:t>
      </w:r>
      <w:r>
        <w:rPr>
          <w:spacing w:val="-34"/>
        </w:rPr>
        <w:t> </w:t>
      </w:r>
      <w:r>
        <w:rPr/>
        <w:t>European</w:t>
      </w:r>
      <w:r>
        <w:rPr>
          <w:spacing w:val="-31"/>
        </w:rPr>
        <w:t> </w:t>
      </w:r>
      <w:r>
        <w:rPr/>
        <w:t>Directives</w:t>
      </w:r>
      <w:r>
        <w:rPr>
          <w:spacing w:val="-37"/>
        </w:rPr>
        <w:t> </w:t>
      </w:r>
      <w:r>
        <w:rPr/>
        <w:t>will</w:t>
      </w:r>
      <w:r>
        <w:rPr>
          <w:spacing w:val="-35"/>
        </w:rPr>
        <w:t> </w:t>
      </w:r>
      <w:r>
        <w:rPr/>
        <w:t>be</w:t>
      </w:r>
      <w:r>
        <w:rPr>
          <w:spacing w:val="-38"/>
        </w:rPr>
        <w:t> </w:t>
      </w:r>
      <w:r>
        <w:rPr/>
        <w:t>committed</w:t>
      </w:r>
      <w:r>
        <w:rPr>
          <w:spacing w:val="-30"/>
        </w:rPr>
        <w:t> </w:t>
      </w:r>
      <w:r>
        <w:rPr/>
        <w:t>to UK law following the UK’s departure from the</w:t>
      </w:r>
      <w:r>
        <w:rPr>
          <w:spacing w:val="24"/>
        </w:rPr>
        <w:t> </w:t>
      </w:r>
      <w:r>
        <w:rPr/>
        <w:t>EU.</w:t>
      </w:r>
    </w:p>
    <w:p>
      <w:pPr>
        <w:pStyle w:val="ListParagraph"/>
        <w:numPr>
          <w:ilvl w:val="1"/>
          <w:numId w:val="4"/>
        </w:numPr>
        <w:tabs>
          <w:tab w:pos="1023" w:val="left" w:leader="none"/>
          <w:tab w:pos="1024" w:val="left" w:leader="none"/>
        </w:tabs>
        <w:spacing w:line="240" w:lineRule="auto" w:before="135" w:after="0"/>
        <w:ind w:left="1023" w:right="0" w:hanging="868"/>
        <w:jc w:val="left"/>
        <w:rPr>
          <w:sz w:val="28"/>
        </w:rPr>
      </w:pPr>
      <w:r>
        <w:rPr>
          <w:sz w:val="28"/>
        </w:rPr>
        <w:t>THE FLOOD RISK</w:t>
      </w:r>
      <w:r>
        <w:rPr>
          <w:spacing w:val="24"/>
          <w:sz w:val="28"/>
        </w:rPr>
        <w:t> </w:t>
      </w:r>
      <w:r>
        <w:rPr>
          <w:sz w:val="28"/>
        </w:rPr>
        <w:t>REGULATIONS</w:t>
      </w:r>
    </w:p>
    <w:p>
      <w:pPr>
        <w:pStyle w:val="BodyText"/>
        <w:spacing w:line="264" w:lineRule="auto" w:before="157"/>
        <w:ind w:left="1016" w:right="307" w:firstLine="7"/>
      </w:pPr>
      <w:r>
        <w:rPr/>
        <w:t>The</w:t>
      </w:r>
      <w:r>
        <w:rPr>
          <w:spacing w:val="-30"/>
        </w:rPr>
        <w:t> </w:t>
      </w:r>
      <w:r>
        <w:rPr/>
        <w:t>European</w:t>
      </w:r>
      <w:r>
        <w:rPr>
          <w:spacing w:val="-17"/>
        </w:rPr>
        <w:t> </w:t>
      </w:r>
      <w:r>
        <w:rPr/>
        <w:t>Union</w:t>
      </w:r>
      <w:r>
        <w:rPr>
          <w:spacing w:val="-26"/>
        </w:rPr>
        <w:t> </w:t>
      </w:r>
      <w:r>
        <w:rPr/>
        <w:t>Flood</w:t>
      </w:r>
      <w:r>
        <w:rPr>
          <w:spacing w:val="-20"/>
        </w:rPr>
        <w:t> </w:t>
      </w:r>
      <w:r>
        <w:rPr/>
        <w:t>Directive</w:t>
      </w:r>
      <w:r>
        <w:rPr>
          <w:spacing w:val="-26"/>
        </w:rPr>
        <w:t> </w:t>
      </w:r>
      <w:r>
        <w:rPr/>
        <w:t>(2007/60/EC)</w:t>
      </w:r>
      <w:r>
        <w:rPr>
          <w:spacing w:val="-22"/>
        </w:rPr>
        <w:t> </w:t>
      </w:r>
      <w:r>
        <w:rPr/>
        <w:t>is</w:t>
      </w:r>
      <w:r>
        <w:rPr>
          <w:spacing w:val="-32"/>
        </w:rPr>
        <w:t> </w:t>
      </w:r>
      <w:r>
        <w:rPr/>
        <w:t>consolidated</w:t>
      </w:r>
      <w:r>
        <w:rPr>
          <w:spacing w:val="-26"/>
        </w:rPr>
        <w:t> </w:t>
      </w:r>
      <w:r>
        <w:rPr/>
        <w:t>into</w:t>
      </w:r>
      <w:r>
        <w:rPr>
          <w:spacing w:val="-30"/>
        </w:rPr>
        <w:t> </w:t>
      </w:r>
      <w:r>
        <w:rPr/>
        <w:t>UK</w:t>
      </w:r>
      <w:r>
        <w:rPr>
          <w:spacing w:val="-39"/>
        </w:rPr>
        <w:t> </w:t>
      </w:r>
      <w:r>
        <w:rPr/>
        <w:t>law</w:t>
      </w:r>
      <w:r>
        <w:rPr>
          <w:spacing w:val="-26"/>
        </w:rPr>
        <w:t> </w:t>
      </w:r>
      <w:r>
        <w:rPr/>
        <w:t>in</w:t>
      </w:r>
      <w:r>
        <w:rPr>
          <w:spacing w:val="-28"/>
        </w:rPr>
        <w:t> </w:t>
      </w:r>
      <w:r>
        <w:rPr/>
        <w:t>the</w:t>
      </w:r>
      <w:r>
        <w:rPr>
          <w:spacing w:val="-30"/>
        </w:rPr>
        <w:t> </w:t>
      </w:r>
      <w:r>
        <w:rPr/>
        <w:t>Flood</w:t>
      </w:r>
      <w:r>
        <w:rPr>
          <w:spacing w:val="-25"/>
        </w:rPr>
        <w:t> </w:t>
      </w:r>
      <w:r>
        <w:rPr/>
        <w:t>Risk Regulations</w:t>
      </w:r>
      <w:r>
        <w:rPr>
          <w:spacing w:val="-33"/>
        </w:rPr>
        <w:t> </w:t>
      </w:r>
      <w:r>
        <w:rPr/>
        <w:t>2009</w:t>
      </w:r>
      <w:r>
        <w:rPr>
          <w:spacing w:val="-39"/>
        </w:rPr>
        <w:t> </w:t>
      </w:r>
      <w:r>
        <w:rPr/>
        <w:t>(FRR),</w:t>
      </w:r>
      <w:r>
        <w:rPr>
          <w:spacing w:val="-31"/>
        </w:rPr>
        <w:t> </w:t>
      </w:r>
      <w:r>
        <w:rPr/>
        <w:t>which</w:t>
      </w:r>
      <w:r>
        <w:rPr>
          <w:spacing w:val="-36"/>
        </w:rPr>
        <w:t> </w:t>
      </w:r>
      <w:r>
        <w:rPr/>
        <w:t>came</w:t>
      </w:r>
      <w:r>
        <w:rPr>
          <w:spacing w:val="-39"/>
        </w:rPr>
        <w:t> </w:t>
      </w:r>
      <w:r>
        <w:rPr/>
        <w:t>into</w:t>
      </w:r>
      <w:r>
        <w:rPr>
          <w:spacing w:val="-39"/>
        </w:rPr>
        <w:t> </w:t>
      </w:r>
      <w:r>
        <w:rPr/>
        <w:t>force</w:t>
      </w:r>
      <w:r>
        <w:rPr>
          <w:spacing w:val="-36"/>
        </w:rPr>
        <w:t> </w:t>
      </w:r>
      <w:r>
        <w:rPr/>
        <w:t>on</w:t>
      </w:r>
      <w:r>
        <w:rPr>
          <w:spacing w:val="-36"/>
        </w:rPr>
        <w:t> </w:t>
      </w:r>
      <w:r>
        <w:rPr/>
        <w:t>10th</w:t>
      </w:r>
      <w:r>
        <w:rPr>
          <w:spacing w:val="-34"/>
        </w:rPr>
        <w:t> </w:t>
      </w:r>
      <w:r>
        <w:rPr/>
        <w:t>December</w:t>
      </w:r>
      <w:r>
        <w:rPr>
          <w:spacing w:val="-28"/>
        </w:rPr>
        <w:t> </w:t>
      </w:r>
      <w:r>
        <w:rPr/>
        <w:t>2009.</w:t>
      </w:r>
      <w:r>
        <w:rPr>
          <w:spacing w:val="-32"/>
        </w:rPr>
        <w:t> </w:t>
      </w:r>
      <w:r>
        <w:rPr/>
        <w:t>Under</w:t>
      </w:r>
      <w:r>
        <w:rPr>
          <w:spacing w:val="-37"/>
        </w:rPr>
        <w:t> </w:t>
      </w:r>
      <w:r>
        <w:rPr/>
        <w:t>these</w:t>
      </w:r>
      <w:r>
        <w:rPr>
          <w:spacing w:val="-38"/>
        </w:rPr>
        <w:t> </w:t>
      </w:r>
      <w:r>
        <w:rPr/>
        <w:t>regulations Leeds</w:t>
      </w:r>
      <w:r>
        <w:rPr>
          <w:spacing w:val="-30"/>
        </w:rPr>
        <w:t> </w:t>
      </w:r>
      <w:r>
        <w:rPr/>
        <w:t>City</w:t>
      </w:r>
      <w:r>
        <w:rPr>
          <w:spacing w:val="-28"/>
        </w:rPr>
        <w:t> </w:t>
      </w:r>
      <w:r>
        <w:rPr/>
        <w:t>Council</w:t>
      </w:r>
      <w:r>
        <w:rPr>
          <w:spacing w:val="-31"/>
        </w:rPr>
        <w:t> </w:t>
      </w:r>
      <w:r>
        <w:rPr/>
        <w:t>(as</w:t>
      </w:r>
      <w:r>
        <w:rPr>
          <w:spacing w:val="-31"/>
        </w:rPr>
        <w:t> </w:t>
      </w:r>
      <w:r>
        <w:rPr/>
        <w:t>a</w:t>
      </w:r>
      <w:r>
        <w:rPr>
          <w:spacing w:val="-37"/>
        </w:rPr>
        <w:t> </w:t>
      </w:r>
      <w:r>
        <w:rPr/>
        <w:t>unitary</w:t>
      </w:r>
      <w:r>
        <w:rPr>
          <w:spacing w:val="-26"/>
        </w:rPr>
        <w:t> </w:t>
      </w:r>
      <w:r>
        <w:rPr/>
        <w:t>authority)</w:t>
      </w:r>
      <w:r>
        <w:rPr>
          <w:spacing w:val="-31"/>
        </w:rPr>
        <w:t> </w:t>
      </w:r>
      <w:r>
        <w:rPr/>
        <w:t>is</w:t>
      </w:r>
      <w:r>
        <w:rPr>
          <w:spacing w:val="-33"/>
        </w:rPr>
        <w:t> </w:t>
      </w:r>
      <w:r>
        <w:rPr/>
        <w:t>designated</w:t>
      </w:r>
      <w:r>
        <w:rPr>
          <w:spacing w:val="-17"/>
        </w:rPr>
        <w:t> </w:t>
      </w:r>
      <w:r>
        <w:rPr/>
        <w:t>a</w:t>
      </w:r>
      <w:r>
        <w:rPr>
          <w:spacing w:val="-35"/>
        </w:rPr>
        <w:t> </w:t>
      </w:r>
      <w:r>
        <w:rPr/>
        <w:t>'Lead</w:t>
      </w:r>
      <w:r>
        <w:rPr>
          <w:spacing w:val="-28"/>
        </w:rPr>
        <w:t> </w:t>
      </w:r>
      <w:r>
        <w:rPr/>
        <w:t>Local</w:t>
      </w:r>
      <w:r>
        <w:rPr>
          <w:spacing w:val="-29"/>
        </w:rPr>
        <w:t> </w:t>
      </w:r>
      <w:r>
        <w:rPr/>
        <w:t>Flood</w:t>
      </w:r>
      <w:r>
        <w:rPr>
          <w:spacing w:val="-28"/>
        </w:rPr>
        <w:t> </w:t>
      </w:r>
      <w:r>
        <w:rPr/>
        <w:t>Authority'</w:t>
      </w:r>
      <w:r>
        <w:rPr>
          <w:spacing w:val="-24"/>
        </w:rPr>
        <w:t> </w:t>
      </w:r>
      <w:r>
        <w:rPr/>
        <w:t>(LLFA)</w:t>
      </w:r>
      <w:r>
        <w:rPr>
          <w:spacing w:val="-29"/>
        </w:rPr>
        <w:t> </w:t>
      </w:r>
      <w:r>
        <w:rPr/>
        <w:t>for the</w:t>
      </w:r>
      <w:r>
        <w:rPr>
          <w:spacing w:val="1"/>
        </w:rPr>
        <w:t> </w:t>
      </w:r>
      <w:r>
        <w:rPr/>
        <w:t>area.</w:t>
      </w:r>
    </w:p>
    <w:p>
      <w:pPr>
        <w:pStyle w:val="BodyText"/>
        <w:spacing w:line="264" w:lineRule="auto" w:before="122"/>
        <w:ind w:left="1018" w:firstLine="2"/>
      </w:pPr>
      <w:r>
        <w:rPr/>
        <w:t>FRR</w:t>
      </w:r>
      <w:r>
        <w:rPr>
          <w:spacing w:val="-24"/>
        </w:rPr>
        <w:t> </w:t>
      </w:r>
      <w:r>
        <w:rPr/>
        <w:t>states</w:t>
      </w:r>
      <w:r>
        <w:rPr>
          <w:spacing w:val="-26"/>
        </w:rPr>
        <w:t> </w:t>
      </w:r>
      <w:r>
        <w:rPr/>
        <w:t>that</w:t>
      </w:r>
      <w:r>
        <w:rPr>
          <w:spacing w:val="-23"/>
        </w:rPr>
        <w:t> </w:t>
      </w:r>
      <w:r>
        <w:rPr/>
        <w:t>an</w:t>
      </w:r>
      <w:r>
        <w:rPr>
          <w:spacing w:val="-27"/>
        </w:rPr>
        <w:t> </w:t>
      </w:r>
      <w:r>
        <w:rPr/>
        <w:t>LLFA</w:t>
      </w:r>
      <w:r>
        <w:rPr>
          <w:spacing w:val="-22"/>
        </w:rPr>
        <w:t> </w:t>
      </w:r>
      <w:r>
        <w:rPr/>
        <w:t>must</w:t>
      </w:r>
      <w:r>
        <w:rPr>
          <w:spacing w:val="-26"/>
        </w:rPr>
        <w:t> </w:t>
      </w:r>
      <w:r>
        <w:rPr/>
        <w:t>prepare</w:t>
      </w:r>
      <w:r>
        <w:rPr>
          <w:spacing w:val="-21"/>
        </w:rPr>
        <w:t> </w:t>
      </w:r>
      <w:r>
        <w:rPr/>
        <w:t>a</w:t>
      </w:r>
      <w:r>
        <w:rPr>
          <w:spacing w:val="-34"/>
        </w:rPr>
        <w:t> </w:t>
      </w:r>
      <w:r>
        <w:rPr/>
        <w:t>preliminary</w:t>
      </w:r>
      <w:r>
        <w:rPr>
          <w:spacing w:val="-13"/>
        </w:rPr>
        <w:t> </w:t>
      </w:r>
      <w:r>
        <w:rPr/>
        <w:t>assessment</w:t>
      </w:r>
      <w:r>
        <w:rPr>
          <w:spacing w:val="-15"/>
        </w:rPr>
        <w:t> </w:t>
      </w:r>
      <w:r>
        <w:rPr/>
        <w:t>report</w:t>
      </w:r>
      <w:r>
        <w:rPr>
          <w:spacing w:val="-23"/>
        </w:rPr>
        <w:t> </w:t>
      </w:r>
      <w:r>
        <w:rPr/>
        <w:t>in</w:t>
      </w:r>
      <w:r>
        <w:rPr>
          <w:spacing w:val="-31"/>
        </w:rPr>
        <w:t> </w:t>
      </w:r>
      <w:r>
        <w:rPr/>
        <w:t>relation</w:t>
      </w:r>
      <w:r>
        <w:rPr>
          <w:spacing w:val="-25"/>
        </w:rPr>
        <w:t> </w:t>
      </w:r>
      <w:r>
        <w:rPr/>
        <w:t>to</w:t>
      </w:r>
      <w:r>
        <w:rPr>
          <w:spacing w:val="-30"/>
        </w:rPr>
        <w:t> </w:t>
      </w:r>
      <w:r>
        <w:rPr/>
        <w:t>flooding</w:t>
      </w:r>
      <w:r>
        <w:rPr>
          <w:spacing w:val="-23"/>
        </w:rPr>
        <w:t> </w:t>
      </w:r>
      <w:r>
        <w:rPr/>
        <w:t>in</w:t>
      </w:r>
      <w:r>
        <w:rPr>
          <w:spacing w:val="-32"/>
        </w:rPr>
        <w:t> </w:t>
      </w:r>
      <w:r>
        <w:rPr/>
        <w:t>its area,</w:t>
      </w:r>
      <w:r>
        <w:rPr>
          <w:spacing w:val="-28"/>
        </w:rPr>
        <w:t> </w:t>
      </w:r>
      <w:r>
        <w:rPr/>
        <w:t>described</w:t>
      </w:r>
      <w:r>
        <w:rPr>
          <w:spacing w:val="-29"/>
        </w:rPr>
        <w:t> </w:t>
      </w:r>
      <w:r>
        <w:rPr/>
        <w:t>as</w:t>
      </w:r>
      <w:r>
        <w:rPr>
          <w:spacing w:val="-34"/>
        </w:rPr>
        <w:t> </w:t>
      </w:r>
      <w:r>
        <w:rPr/>
        <w:t>a</w:t>
      </w:r>
      <w:r>
        <w:rPr>
          <w:spacing w:val="-35"/>
        </w:rPr>
        <w:t> </w:t>
      </w:r>
      <w:r>
        <w:rPr/>
        <w:t>Preliminary</w:t>
      </w:r>
      <w:r>
        <w:rPr>
          <w:spacing w:val="-22"/>
        </w:rPr>
        <w:t> </w:t>
      </w:r>
      <w:r>
        <w:rPr/>
        <w:t>Flood</w:t>
      </w:r>
      <w:r>
        <w:rPr>
          <w:spacing w:val="-30"/>
        </w:rPr>
        <w:t> </w:t>
      </w:r>
      <w:r>
        <w:rPr/>
        <w:t>Risk</w:t>
      </w:r>
      <w:r>
        <w:rPr>
          <w:spacing w:val="-29"/>
        </w:rPr>
        <w:t> </w:t>
      </w:r>
      <w:r>
        <w:rPr/>
        <w:t>Assessment</w:t>
      </w:r>
      <w:r>
        <w:rPr>
          <w:spacing w:val="-24"/>
        </w:rPr>
        <w:t> </w:t>
      </w:r>
      <w:r>
        <w:rPr/>
        <w:t>(PFRA).</w:t>
      </w:r>
      <w:r>
        <w:rPr>
          <w:spacing w:val="-29"/>
        </w:rPr>
        <w:t> </w:t>
      </w:r>
      <w:r>
        <w:rPr/>
        <w:t>The</w:t>
      </w:r>
      <w:r>
        <w:rPr>
          <w:spacing w:val="-34"/>
        </w:rPr>
        <w:t> </w:t>
      </w:r>
      <w:r>
        <w:rPr/>
        <w:t>PFRA</w:t>
      </w:r>
      <w:r>
        <w:rPr>
          <w:spacing w:val="-26"/>
        </w:rPr>
        <w:t> </w:t>
      </w:r>
      <w:r>
        <w:rPr/>
        <w:t>aims</w:t>
      </w:r>
      <w:r>
        <w:rPr>
          <w:spacing w:val="-33"/>
        </w:rPr>
        <w:t> </w:t>
      </w:r>
      <w:r>
        <w:rPr/>
        <w:t>to</w:t>
      </w:r>
      <w:r>
        <w:rPr>
          <w:spacing w:val="-38"/>
        </w:rPr>
        <w:t> </w:t>
      </w:r>
      <w:r>
        <w:rPr/>
        <w:t>locate</w:t>
      </w:r>
      <w:r>
        <w:rPr>
          <w:spacing w:val="-32"/>
        </w:rPr>
        <w:t> </w:t>
      </w:r>
      <w:r>
        <w:rPr/>
        <w:t>areas</w:t>
      </w:r>
      <w:r>
        <w:rPr>
          <w:spacing w:val="-40"/>
        </w:rPr>
        <w:t> </w:t>
      </w:r>
      <w:r>
        <w:rPr/>
        <w:t>in which the risk of surface water and groundwater flooding is significant and warrants further examination</w:t>
      </w:r>
      <w:r>
        <w:rPr>
          <w:spacing w:val="-22"/>
        </w:rPr>
        <w:t> </w:t>
      </w:r>
      <w:r>
        <w:rPr/>
        <w:t>through</w:t>
      </w:r>
      <w:r>
        <w:rPr>
          <w:spacing w:val="-24"/>
        </w:rPr>
        <w:t> </w:t>
      </w:r>
      <w:r>
        <w:rPr/>
        <w:t>the</w:t>
      </w:r>
      <w:r>
        <w:rPr>
          <w:spacing w:val="-32"/>
        </w:rPr>
        <w:t> </w:t>
      </w:r>
      <w:r>
        <w:rPr/>
        <w:t>production</w:t>
      </w:r>
      <w:r>
        <w:rPr>
          <w:spacing w:val="-19"/>
        </w:rPr>
        <w:t> </w:t>
      </w:r>
      <w:r>
        <w:rPr/>
        <w:t>of</w:t>
      </w:r>
      <w:r>
        <w:rPr>
          <w:spacing w:val="-33"/>
        </w:rPr>
        <w:t> </w:t>
      </w:r>
      <w:r>
        <w:rPr/>
        <w:t>flood</w:t>
      </w:r>
      <w:r>
        <w:rPr>
          <w:spacing w:val="-29"/>
        </w:rPr>
        <w:t> </w:t>
      </w:r>
      <w:r>
        <w:rPr/>
        <w:t>risk</w:t>
      </w:r>
      <w:r>
        <w:rPr>
          <w:spacing w:val="-32"/>
        </w:rPr>
        <w:t> </w:t>
      </w:r>
      <w:r>
        <w:rPr/>
        <w:t>maps</w:t>
      </w:r>
      <w:r>
        <w:rPr>
          <w:spacing w:val="-25"/>
        </w:rPr>
        <w:t> </w:t>
      </w:r>
      <w:r>
        <w:rPr/>
        <w:t>and</w:t>
      </w:r>
      <w:r>
        <w:rPr>
          <w:spacing w:val="-30"/>
        </w:rPr>
        <w:t> </w:t>
      </w:r>
      <w:r>
        <w:rPr/>
        <w:t>management</w:t>
      </w:r>
      <w:r>
        <w:rPr>
          <w:spacing w:val="-15"/>
        </w:rPr>
        <w:t> </w:t>
      </w:r>
      <w:r>
        <w:rPr/>
        <w:t>plans.</w:t>
      </w:r>
      <w:r>
        <w:rPr>
          <w:spacing w:val="-25"/>
        </w:rPr>
        <w:t> </w:t>
      </w:r>
      <w:r>
        <w:rPr/>
        <w:t>It</w:t>
      </w:r>
      <w:r>
        <w:rPr>
          <w:spacing w:val="-35"/>
        </w:rPr>
        <w:t> </w:t>
      </w:r>
      <w:r>
        <w:rPr/>
        <w:t>must</w:t>
      </w:r>
      <w:r>
        <w:rPr>
          <w:spacing w:val="-32"/>
        </w:rPr>
        <w:t> </w:t>
      </w:r>
      <w:r>
        <w:rPr/>
        <w:t>be</w:t>
      </w:r>
      <w:r>
        <w:rPr>
          <w:spacing w:val="-34"/>
        </w:rPr>
        <w:t> </w:t>
      </w:r>
      <w:r>
        <w:rPr/>
        <w:t>updated every</w:t>
      </w:r>
      <w:r>
        <w:rPr>
          <w:spacing w:val="-28"/>
        </w:rPr>
        <w:t> </w:t>
      </w:r>
      <w:r>
        <w:rPr/>
        <w:t>six</w:t>
      </w:r>
      <w:r>
        <w:rPr>
          <w:spacing w:val="-32"/>
        </w:rPr>
        <w:t> </w:t>
      </w:r>
      <w:r>
        <w:rPr/>
        <w:t>years</w:t>
      </w:r>
      <w:r>
        <w:rPr>
          <w:spacing w:val="-34"/>
        </w:rPr>
        <w:t> </w:t>
      </w:r>
      <w:r>
        <w:rPr/>
        <w:t>in</w:t>
      </w:r>
      <w:r>
        <w:rPr>
          <w:spacing w:val="-31"/>
        </w:rPr>
        <w:t> </w:t>
      </w:r>
      <w:r>
        <w:rPr/>
        <w:t>line</w:t>
      </w:r>
      <w:r>
        <w:rPr>
          <w:spacing w:val="-29"/>
        </w:rPr>
        <w:t> </w:t>
      </w:r>
      <w:r>
        <w:rPr/>
        <w:t>with</w:t>
      </w:r>
      <w:r>
        <w:rPr>
          <w:spacing w:val="-31"/>
        </w:rPr>
        <w:t> </w:t>
      </w:r>
      <w:r>
        <w:rPr/>
        <w:t>Environment</w:t>
      </w:r>
      <w:r>
        <w:rPr>
          <w:spacing w:val="-19"/>
        </w:rPr>
        <w:t> </w:t>
      </w:r>
      <w:r>
        <w:rPr/>
        <w:t>Agency</w:t>
      </w:r>
      <w:r>
        <w:rPr>
          <w:spacing w:val="-27"/>
        </w:rPr>
        <w:t> </w:t>
      </w:r>
      <w:r>
        <w:rPr/>
        <w:t>(EA)</w:t>
      </w:r>
      <w:r>
        <w:rPr>
          <w:spacing w:val="-31"/>
        </w:rPr>
        <w:t> </w:t>
      </w:r>
      <w:r>
        <w:rPr/>
        <w:t>guidance.</w:t>
      </w:r>
      <w:r>
        <w:rPr>
          <w:spacing w:val="-23"/>
        </w:rPr>
        <w:t> </w:t>
      </w:r>
      <w:r>
        <w:rPr/>
        <w:t>Leeds</w:t>
      </w:r>
      <w:r>
        <w:rPr>
          <w:spacing w:val="-31"/>
        </w:rPr>
        <w:t> </w:t>
      </w:r>
      <w:r>
        <w:rPr/>
        <w:t>City</w:t>
      </w:r>
      <w:r>
        <w:rPr>
          <w:spacing w:val="-34"/>
        </w:rPr>
        <w:t> </w:t>
      </w:r>
      <w:r>
        <w:rPr/>
        <w:t>Council</w:t>
      </w:r>
      <w:r>
        <w:rPr>
          <w:spacing w:val="-28"/>
        </w:rPr>
        <w:t> </w:t>
      </w:r>
      <w:r>
        <w:rPr/>
        <w:t>completed</w:t>
      </w:r>
      <w:r>
        <w:rPr>
          <w:spacing w:val="-30"/>
        </w:rPr>
        <w:t> </w:t>
      </w:r>
      <w:r>
        <w:rPr/>
        <w:t>their first</w:t>
      </w:r>
      <w:r>
        <w:rPr>
          <w:spacing w:val="-17"/>
        </w:rPr>
        <w:t> </w:t>
      </w:r>
      <w:r>
        <w:rPr/>
        <w:t>PFRA</w:t>
      </w:r>
      <w:r>
        <w:rPr>
          <w:spacing w:val="-15"/>
        </w:rPr>
        <w:t> </w:t>
      </w:r>
      <w:r>
        <w:rPr/>
        <w:t>for</w:t>
      </w:r>
      <w:r>
        <w:rPr>
          <w:spacing w:val="-21"/>
        </w:rPr>
        <w:t> </w:t>
      </w:r>
      <w:r>
        <w:rPr/>
        <w:t>Leeds</w:t>
      </w:r>
      <w:r>
        <w:rPr>
          <w:spacing w:val="-18"/>
        </w:rPr>
        <w:t> </w:t>
      </w:r>
      <w:r>
        <w:rPr/>
        <w:t>district</w:t>
      </w:r>
      <w:r>
        <w:rPr>
          <w:spacing w:val="-18"/>
        </w:rPr>
        <w:t> </w:t>
      </w:r>
      <w:r>
        <w:rPr/>
        <w:t>in</w:t>
      </w:r>
      <w:r>
        <w:rPr>
          <w:spacing w:val="-23"/>
        </w:rPr>
        <w:t> </w:t>
      </w:r>
      <w:r>
        <w:rPr/>
        <w:t>September</w:t>
      </w:r>
      <w:r>
        <w:rPr>
          <w:spacing w:val="-6"/>
        </w:rPr>
        <w:t> </w:t>
      </w:r>
      <w:r>
        <w:rPr/>
        <w:t>2011</w:t>
      </w:r>
      <w:r>
        <w:rPr>
          <w:spacing w:val="-15"/>
        </w:rPr>
        <w:t> </w:t>
      </w:r>
      <w:r>
        <w:rPr/>
        <w:t>and</w:t>
      </w:r>
      <w:r>
        <w:rPr>
          <w:spacing w:val="-25"/>
        </w:rPr>
        <w:t> </w:t>
      </w:r>
      <w:r>
        <w:rPr/>
        <w:t>produced</w:t>
      </w:r>
      <w:r>
        <w:rPr>
          <w:spacing w:val="-12"/>
        </w:rPr>
        <w:t> </w:t>
      </w:r>
      <w:r>
        <w:rPr/>
        <w:t>an</w:t>
      </w:r>
      <w:r>
        <w:rPr>
          <w:spacing w:val="-25"/>
        </w:rPr>
        <w:t> </w:t>
      </w:r>
      <w:r>
        <w:rPr/>
        <w:t>updated</w:t>
      </w:r>
      <w:r>
        <w:rPr>
          <w:spacing w:val="-14"/>
        </w:rPr>
        <w:t> </w:t>
      </w:r>
      <w:r>
        <w:rPr/>
        <w:t>PFRA</w:t>
      </w:r>
      <w:r>
        <w:rPr>
          <w:spacing w:val="-17"/>
        </w:rPr>
        <w:t> </w:t>
      </w:r>
      <w:r>
        <w:rPr/>
        <w:t>in</w:t>
      </w:r>
      <w:r>
        <w:rPr>
          <w:spacing w:val="-21"/>
        </w:rPr>
        <w:t> </w:t>
      </w:r>
      <w:r>
        <w:rPr/>
        <w:t>June</w:t>
      </w:r>
      <w:r>
        <w:rPr>
          <w:spacing w:val="-18"/>
        </w:rPr>
        <w:t> </w:t>
      </w:r>
      <w:r>
        <w:rPr/>
        <w:t>2017.</w:t>
      </w:r>
    </w:p>
    <w:p>
      <w:pPr>
        <w:pStyle w:val="BodyText"/>
        <w:spacing w:line="271" w:lineRule="auto" w:before="117"/>
        <w:ind w:left="1021" w:right="212" w:firstLine="2"/>
      </w:pPr>
      <w:r>
        <w:rPr/>
        <w:t>The</w:t>
      </w:r>
      <w:r>
        <w:rPr>
          <w:spacing w:val="-31"/>
        </w:rPr>
        <w:t> </w:t>
      </w:r>
      <w:r>
        <w:rPr/>
        <w:t>Local</w:t>
      </w:r>
      <w:r>
        <w:rPr>
          <w:spacing w:val="-25"/>
        </w:rPr>
        <w:t> </w:t>
      </w:r>
      <w:r>
        <w:rPr/>
        <w:t>Flood</w:t>
      </w:r>
      <w:r>
        <w:rPr>
          <w:spacing w:val="-27"/>
        </w:rPr>
        <w:t> </w:t>
      </w:r>
      <w:r>
        <w:rPr/>
        <w:t>Risk</w:t>
      </w:r>
      <w:r>
        <w:rPr>
          <w:spacing w:val="-26"/>
        </w:rPr>
        <w:t> </w:t>
      </w:r>
      <w:r>
        <w:rPr/>
        <w:t>Management</w:t>
      </w:r>
      <w:r>
        <w:rPr>
          <w:spacing w:val="-19"/>
        </w:rPr>
        <w:t> </w:t>
      </w:r>
      <w:r>
        <w:rPr/>
        <w:t>Strategy</w:t>
      </w:r>
      <w:r>
        <w:rPr>
          <w:spacing w:val="-27"/>
        </w:rPr>
        <w:t> </w:t>
      </w:r>
      <w:r>
        <w:rPr/>
        <w:t>(LFRMS)</w:t>
      </w:r>
      <w:r>
        <w:rPr>
          <w:spacing w:val="-28"/>
        </w:rPr>
        <w:t> </w:t>
      </w:r>
      <w:r>
        <w:rPr/>
        <w:t>must</w:t>
      </w:r>
      <w:r>
        <w:rPr>
          <w:spacing w:val="-27"/>
        </w:rPr>
        <w:t> </w:t>
      </w:r>
      <w:r>
        <w:rPr/>
        <w:t>consider</w:t>
      </w:r>
      <w:r>
        <w:rPr>
          <w:spacing w:val="-30"/>
        </w:rPr>
        <w:t> </w:t>
      </w:r>
      <w:r>
        <w:rPr/>
        <w:t>the</w:t>
      </w:r>
      <w:r>
        <w:rPr>
          <w:spacing w:val="-26"/>
        </w:rPr>
        <w:t> </w:t>
      </w:r>
      <w:r>
        <w:rPr/>
        <w:t>outcomes</w:t>
      </w:r>
      <w:r>
        <w:rPr>
          <w:spacing w:val="-25"/>
        </w:rPr>
        <w:t> </w:t>
      </w:r>
      <w:r>
        <w:rPr/>
        <w:t>of</w:t>
      </w:r>
      <w:r>
        <w:rPr>
          <w:spacing w:val="-32"/>
        </w:rPr>
        <w:t> </w:t>
      </w:r>
      <w:r>
        <w:rPr/>
        <w:t>the</w:t>
      </w:r>
      <w:r>
        <w:rPr>
          <w:spacing w:val="-32"/>
        </w:rPr>
        <w:t> </w:t>
      </w:r>
      <w:r>
        <w:rPr/>
        <w:t>PFRA, and</w:t>
      </w:r>
      <w:r>
        <w:rPr>
          <w:spacing w:val="-34"/>
        </w:rPr>
        <w:t> </w:t>
      </w:r>
      <w:r>
        <w:rPr/>
        <w:t>its</w:t>
      </w:r>
      <w:r>
        <w:rPr>
          <w:spacing w:val="-39"/>
        </w:rPr>
        <w:t> </w:t>
      </w:r>
      <w:r>
        <w:rPr/>
        <w:t>updates,</w:t>
      </w:r>
      <w:r>
        <w:rPr>
          <w:spacing w:val="-26"/>
        </w:rPr>
        <w:t> </w:t>
      </w:r>
      <w:r>
        <w:rPr/>
        <w:t>when</w:t>
      </w:r>
      <w:r>
        <w:rPr>
          <w:spacing w:val="-31"/>
        </w:rPr>
        <w:t> </w:t>
      </w:r>
      <w:r>
        <w:rPr/>
        <w:t>developing</w:t>
      </w:r>
      <w:r>
        <w:rPr>
          <w:spacing w:val="-24"/>
        </w:rPr>
        <w:t> </w:t>
      </w:r>
      <w:r>
        <w:rPr/>
        <w:t>the</w:t>
      </w:r>
      <w:r>
        <w:rPr>
          <w:spacing w:val="-35"/>
        </w:rPr>
        <w:t> </w:t>
      </w:r>
      <w:r>
        <w:rPr/>
        <w:t>specific</w:t>
      </w:r>
      <w:r>
        <w:rPr>
          <w:spacing w:val="-32"/>
        </w:rPr>
        <w:t> </w:t>
      </w:r>
      <w:r>
        <w:rPr/>
        <w:t>measures</w:t>
      </w:r>
      <w:r>
        <w:rPr>
          <w:spacing w:val="-26"/>
        </w:rPr>
        <w:t> </w:t>
      </w:r>
      <w:r>
        <w:rPr/>
        <w:t>set</w:t>
      </w:r>
      <w:r>
        <w:rPr>
          <w:spacing w:val="-33"/>
        </w:rPr>
        <w:t> </w:t>
      </w:r>
      <w:r>
        <w:rPr/>
        <w:t>out</w:t>
      </w:r>
      <w:r>
        <w:rPr>
          <w:spacing w:val="-36"/>
        </w:rPr>
        <w:t> </w:t>
      </w:r>
      <w:r>
        <w:rPr/>
        <w:t>in</w:t>
      </w:r>
      <w:r>
        <w:rPr>
          <w:spacing w:val="-37"/>
        </w:rPr>
        <w:t> </w:t>
      </w:r>
      <w:r>
        <w:rPr/>
        <w:t>the</w:t>
      </w:r>
      <w:r>
        <w:rPr>
          <w:spacing w:val="-33"/>
        </w:rPr>
        <w:t> </w:t>
      </w:r>
      <w:r>
        <w:rPr/>
        <w:t>‘List</w:t>
      </w:r>
      <w:r>
        <w:rPr>
          <w:spacing w:val="-31"/>
        </w:rPr>
        <w:t> </w:t>
      </w:r>
      <w:r>
        <w:rPr/>
        <w:t>of</w:t>
      </w:r>
      <w:r>
        <w:rPr>
          <w:spacing w:val="-34"/>
        </w:rPr>
        <w:t> </w:t>
      </w:r>
      <w:r>
        <w:rPr/>
        <w:t>Measures’</w:t>
      </w:r>
      <w:r>
        <w:rPr>
          <w:spacing w:val="-29"/>
        </w:rPr>
        <w:t> </w:t>
      </w:r>
      <w:r>
        <w:rPr/>
        <w:t>(Appendix</w:t>
      </w:r>
    </w:p>
    <w:p>
      <w:pPr>
        <w:spacing w:after="0" w:line="271" w:lineRule="auto"/>
        <w:sectPr>
          <w:footerReference w:type="default" r:id="rId38"/>
          <w:footerReference w:type="even" r:id="rId39"/>
          <w:pgSz w:w="11920" w:h="16850"/>
          <w:pgMar w:footer="1246" w:header="0" w:top="580" w:bottom="1440" w:left="400" w:right="540"/>
          <w:pgNumType w:start="1"/>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line="264" w:lineRule="auto" w:before="92"/>
        <w:ind w:left="1015" w:right="212" w:firstLine="3"/>
      </w:pPr>
      <w:r>
        <w:rPr/>
        <w:pict>
          <v:group style="position:absolute;margin-left:537.554504pt;margin-top:-50.127747pt;width:5.8pt;height:34.6pt;mso-position-horizontal-relative:page;mso-position-vertical-relative:paragraph;z-index:1816" coordorigin="10751,-1003" coordsize="116,692">
            <v:shape style="position:absolute;left:10751;top:-1003;width:116;height:39" type="#_x0000_t75" stroked="false">
              <v:imagedata r:id="rId27" o:title=""/>
            </v:shape>
            <v:shape style="position:absolute;left:10827;top:-389;width:39;height:77" type="#_x0000_t75" stroked="false">
              <v:imagedata r:id="rId28" o:title=""/>
            </v:shape>
            <v:line style="position:absolute" from="10804,-1003" to="10804,-321" stroked="true" strokeweight="5.279551pt" strokecolor="#d85970">
              <v:stroke dashstyle="solid"/>
            </v:line>
            <w10:wrap type="none"/>
          </v:group>
        </w:pict>
      </w:r>
      <w:bookmarkStart w:name="Leeds LFRMS 2018 Update_Page_14" w:id="16"/>
      <w:bookmarkEnd w:id="16"/>
      <w:r>
        <w:rPr/>
      </w:r>
      <w:r>
        <w:rPr/>
        <w:t>C). The updated PFRA revealed a change in understanding of flood risk across Leeds district resulting</w:t>
      </w:r>
      <w:r>
        <w:rPr>
          <w:spacing w:val="-27"/>
        </w:rPr>
        <w:t> </w:t>
      </w:r>
      <w:r>
        <w:rPr/>
        <w:t>in</w:t>
      </w:r>
      <w:r>
        <w:rPr>
          <w:spacing w:val="-33"/>
        </w:rPr>
        <w:t> </w:t>
      </w:r>
      <w:r>
        <w:rPr/>
        <w:t>the</w:t>
      </w:r>
      <w:r>
        <w:rPr>
          <w:spacing w:val="-35"/>
        </w:rPr>
        <w:t> </w:t>
      </w:r>
      <w:r>
        <w:rPr/>
        <w:t>identification</w:t>
      </w:r>
      <w:r>
        <w:rPr>
          <w:spacing w:val="-30"/>
        </w:rPr>
        <w:t> </w:t>
      </w:r>
      <w:r>
        <w:rPr/>
        <w:t>of</w:t>
      </w:r>
      <w:r>
        <w:rPr>
          <w:spacing w:val="-29"/>
        </w:rPr>
        <w:t> </w:t>
      </w:r>
      <w:r>
        <w:rPr/>
        <w:t>a</w:t>
      </w:r>
      <w:r>
        <w:rPr>
          <w:spacing w:val="-37"/>
        </w:rPr>
        <w:t> </w:t>
      </w:r>
      <w:r>
        <w:rPr/>
        <w:t>new</w:t>
      </w:r>
      <w:r>
        <w:rPr>
          <w:spacing w:val="-22"/>
        </w:rPr>
        <w:t> </w:t>
      </w:r>
      <w:r>
        <w:rPr/>
        <w:t>Flood</w:t>
      </w:r>
      <w:r>
        <w:rPr>
          <w:spacing w:val="-27"/>
        </w:rPr>
        <w:t> </w:t>
      </w:r>
      <w:r>
        <w:rPr/>
        <w:t>Risk</w:t>
      </w:r>
      <w:r>
        <w:rPr>
          <w:spacing w:val="-26"/>
        </w:rPr>
        <w:t> </w:t>
      </w:r>
      <w:r>
        <w:rPr/>
        <w:t>Area</w:t>
      </w:r>
      <w:r>
        <w:rPr>
          <w:spacing w:val="-28"/>
        </w:rPr>
        <w:t> </w:t>
      </w:r>
      <w:r>
        <w:rPr/>
        <w:t>(FRA)</w:t>
      </w:r>
      <w:r>
        <w:rPr>
          <w:spacing w:val="-29"/>
        </w:rPr>
        <w:t> </w:t>
      </w:r>
      <w:r>
        <w:rPr/>
        <w:t>for</w:t>
      </w:r>
      <w:r>
        <w:rPr>
          <w:spacing w:val="-30"/>
        </w:rPr>
        <w:t> </w:t>
      </w:r>
      <w:r>
        <w:rPr/>
        <w:t>Leeds</w:t>
      </w:r>
      <w:r>
        <w:rPr>
          <w:spacing w:val="-27"/>
        </w:rPr>
        <w:t> </w:t>
      </w:r>
      <w:r>
        <w:rPr/>
        <w:t>district.</w:t>
      </w:r>
      <w:r>
        <w:rPr>
          <w:spacing w:val="-23"/>
        </w:rPr>
        <w:t> </w:t>
      </w:r>
      <w:r>
        <w:rPr/>
        <w:t>The</w:t>
      </w:r>
      <w:r>
        <w:rPr>
          <w:spacing w:val="-31"/>
        </w:rPr>
        <w:t> </w:t>
      </w:r>
      <w:r>
        <w:rPr/>
        <w:t>PFRA</w:t>
      </w:r>
      <w:r>
        <w:rPr>
          <w:spacing w:val="-28"/>
        </w:rPr>
        <w:t> </w:t>
      </w:r>
      <w:r>
        <w:rPr/>
        <w:t>Update was accepted by the EA in December 2017 and subsequently submitted to the European Commission.</w:t>
      </w:r>
    </w:p>
    <w:p>
      <w:pPr>
        <w:pStyle w:val="ListParagraph"/>
        <w:numPr>
          <w:ilvl w:val="1"/>
          <w:numId w:val="4"/>
        </w:numPr>
        <w:tabs>
          <w:tab w:pos="1023" w:val="left" w:leader="none"/>
          <w:tab w:pos="1024" w:val="left" w:leader="none"/>
        </w:tabs>
        <w:spacing w:line="240" w:lineRule="auto" w:before="134" w:after="0"/>
        <w:ind w:left="1023" w:right="0" w:hanging="868"/>
        <w:jc w:val="left"/>
        <w:rPr>
          <w:sz w:val="28"/>
        </w:rPr>
      </w:pPr>
      <w:r>
        <w:rPr>
          <w:sz w:val="28"/>
        </w:rPr>
        <w:t>THE WATER ENVIRONMENT</w:t>
      </w:r>
      <w:r>
        <w:rPr>
          <w:spacing w:val="54"/>
          <w:sz w:val="28"/>
        </w:rPr>
        <w:t> </w:t>
      </w:r>
      <w:r>
        <w:rPr>
          <w:sz w:val="28"/>
        </w:rPr>
        <w:t>REGULATIONS</w:t>
      </w:r>
    </w:p>
    <w:p>
      <w:pPr>
        <w:pStyle w:val="BodyText"/>
        <w:spacing w:line="261" w:lineRule="auto" w:before="157"/>
        <w:ind w:left="1017" w:firstLine="7"/>
      </w:pPr>
      <w:r>
        <w:rPr/>
        <w:t>The</w:t>
      </w:r>
      <w:r>
        <w:rPr>
          <w:spacing w:val="-38"/>
        </w:rPr>
        <w:t> </w:t>
      </w:r>
      <w:r>
        <w:rPr/>
        <w:t>European</w:t>
      </w:r>
      <w:r>
        <w:rPr>
          <w:spacing w:val="-28"/>
        </w:rPr>
        <w:t> </w:t>
      </w:r>
      <w:r>
        <w:rPr/>
        <w:t>Union</w:t>
      </w:r>
      <w:r>
        <w:rPr>
          <w:spacing w:val="-35"/>
        </w:rPr>
        <w:t> </w:t>
      </w:r>
      <w:r>
        <w:rPr/>
        <w:t>Water</w:t>
      </w:r>
      <w:r>
        <w:rPr>
          <w:spacing w:val="-34"/>
        </w:rPr>
        <w:t> </w:t>
      </w:r>
      <w:r>
        <w:rPr/>
        <w:t>Framework</w:t>
      </w:r>
      <w:r>
        <w:rPr>
          <w:spacing w:val="-27"/>
        </w:rPr>
        <w:t> </w:t>
      </w:r>
      <w:r>
        <w:rPr/>
        <w:t>Directive</w:t>
      </w:r>
      <w:r>
        <w:rPr>
          <w:spacing w:val="-34"/>
        </w:rPr>
        <w:t> </w:t>
      </w:r>
      <w:r>
        <w:rPr/>
        <w:t>(2000/60/EC)</w:t>
      </w:r>
      <w:r>
        <w:rPr>
          <w:spacing w:val="-32"/>
        </w:rPr>
        <w:t> </w:t>
      </w:r>
      <w:r>
        <w:rPr/>
        <w:t>is</w:t>
      </w:r>
      <w:r>
        <w:rPr>
          <w:spacing w:val="-39"/>
        </w:rPr>
        <w:t> </w:t>
      </w:r>
      <w:r>
        <w:rPr/>
        <w:t>consolidated</w:t>
      </w:r>
      <w:r>
        <w:rPr>
          <w:spacing w:val="-34"/>
        </w:rPr>
        <w:t> </w:t>
      </w:r>
      <w:r>
        <w:rPr/>
        <w:t>into</w:t>
      </w:r>
      <w:r>
        <w:rPr>
          <w:spacing w:val="-38"/>
        </w:rPr>
        <w:t> </w:t>
      </w:r>
      <w:r>
        <w:rPr/>
        <w:t>UK</w:t>
      </w:r>
      <w:r>
        <w:rPr>
          <w:spacing w:val="-45"/>
        </w:rPr>
        <w:t> </w:t>
      </w:r>
      <w:r>
        <w:rPr/>
        <w:t>law</w:t>
      </w:r>
      <w:r>
        <w:rPr>
          <w:spacing w:val="-35"/>
        </w:rPr>
        <w:t> </w:t>
      </w:r>
      <w:r>
        <w:rPr/>
        <w:t>in</w:t>
      </w:r>
      <w:r>
        <w:rPr>
          <w:spacing w:val="-39"/>
        </w:rPr>
        <w:t> </w:t>
      </w:r>
      <w:r>
        <w:rPr/>
        <w:t>the Water</w:t>
      </w:r>
      <w:r>
        <w:rPr>
          <w:spacing w:val="-19"/>
        </w:rPr>
        <w:t> </w:t>
      </w:r>
      <w:r>
        <w:rPr/>
        <w:t>Environment</w:t>
      </w:r>
      <w:r>
        <w:rPr>
          <w:spacing w:val="-12"/>
        </w:rPr>
        <w:t> </w:t>
      </w:r>
      <w:r>
        <w:rPr/>
        <w:t>(Water</w:t>
      </w:r>
      <w:r>
        <w:rPr>
          <w:spacing w:val="-18"/>
        </w:rPr>
        <w:t> </w:t>
      </w:r>
      <w:r>
        <w:rPr/>
        <w:t>Framework</w:t>
      </w:r>
      <w:r>
        <w:rPr>
          <w:spacing w:val="-8"/>
        </w:rPr>
        <w:t> </w:t>
      </w:r>
      <w:r>
        <w:rPr/>
        <w:t>Directive)</w:t>
      </w:r>
      <w:r>
        <w:rPr>
          <w:spacing w:val="-23"/>
        </w:rPr>
        <w:t> </w:t>
      </w:r>
      <w:r>
        <w:rPr/>
        <w:t>(England</w:t>
      </w:r>
      <w:r>
        <w:rPr>
          <w:spacing w:val="-15"/>
        </w:rPr>
        <w:t> </w:t>
      </w:r>
      <w:r>
        <w:rPr/>
        <w:t>and</w:t>
      </w:r>
      <w:r>
        <w:rPr>
          <w:spacing w:val="-24"/>
        </w:rPr>
        <w:t> </w:t>
      </w:r>
      <w:r>
        <w:rPr/>
        <w:t>Wales)</w:t>
      </w:r>
      <w:r>
        <w:rPr>
          <w:spacing w:val="-21"/>
        </w:rPr>
        <w:t> </w:t>
      </w:r>
      <w:r>
        <w:rPr/>
        <w:t>Regulations</w:t>
      </w:r>
      <w:r>
        <w:rPr>
          <w:spacing w:val="-9"/>
        </w:rPr>
        <w:t> </w:t>
      </w:r>
      <w:r>
        <w:rPr/>
        <w:t>2017.</w:t>
      </w:r>
    </w:p>
    <w:p>
      <w:pPr>
        <w:pStyle w:val="BodyText"/>
        <w:spacing w:before="124"/>
        <w:ind w:left="1024"/>
      </w:pPr>
      <w:r>
        <w:rPr/>
        <w:t>The aims of the Water Framework Directive (WFD) are to:</w:t>
      </w:r>
    </w:p>
    <w:p>
      <w:pPr>
        <w:pStyle w:val="ListParagraph"/>
        <w:numPr>
          <w:ilvl w:val="2"/>
          <w:numId w:val="4"/>
        </w:numPr>
        <w:tabs>
          <w:tab w:pos="1445" w:val="left" w:leader="none"/>
        </w:tabs>
        <w:spacing w:line="240" w:lineRule="auto" w:before="148" w:after="0"/>
        <w:ind w:left="1444" w:right="0" w:hanging="273"/>
        <w:jc w:val="left"/>
        <w:rPr>
          <w:color w:val="DD4B26"/>
          <w:sz w:val="23"/>
        </w:rPr>
      </w:pPr>
      <w:r>
        <w:rPr>
          <w:sz w:val="23"/>
        </w:rPr>
        <w:t>Prevent</w:t>
      </w:r>
      <w:r>
        <w:rPr>
          <w:spacing w:val="-17"/>
          <w:sz w:val="23"/>
        </w:rPr>
        <w:t> </w:t>
      </w:r>
      <w:r>
        <w:rPr>
          <w:sz w:val="23"/>
        </w:rPr>
        <w:t>deterioration</w:t>
      </w:r>
      <w:r>
        <w:rPr>
          <w:spacing w:val="-9"/>
          <w:sz w:val="23"/>
        </w:rPr>
        <w:t> </w:t>
      </w:r>
      <w:r>
        <w:rPr>
          <w:sz w:val="23"/>
        </w:rPr>
        <w:t>and</w:t>
      </w:r>
      <w:r>
        <w:rPr>
          <w:spacing w:val="-17"/>
          <w:sz w:val="23"/>
        </w:rPr>
        <w:t> </w:t>
      </w:r>
      <w:r>
        <w:rPr>
          <w:sz w:val="23"/>
        </w:rPr>
        <w:t>enhance</w:t>
      </w:r>
      <w:r>
        <w:rPr>
          <w:spacing w:val="-15"/>
          <w:sz w:val="23"/>
        </w:rPr>
        <w:t> </w:t>
      </w:r>
      <w:r>
        <w:rPr>
          <w:sz w:val="23"/>
        </w:rPr>
        <w:t>status</w:t>
      </w:r>
      <w:r>
        <w:rPr>
          <w:spacing w:val="-15"/>
          <w:sz w:val="23"/>
        </w:rPr>
        <w:t> </w:t>
      </w:r>
      <w:r>
        <w:rPr>
          <w:sz w:val="23"/>
        </w:rPr>
        <w:t>of</w:t>
      </w:r>
      <w:r>
        <w:rPr>
          <w:spacing w:val="-24"/>
          <w:sz w:val="23"/>
        </w:rPr>
        <w:t> </w:t>
      </w:r>
      <w:r>
        <w:rPr>
          <w:sz w:val="23"/>
        </w:rPr>
        <w:t>aquatic</w:t>
      </w:r>
      <w:r>
        <w:rPr>
          <w:spacing w:val="-11"/>
          <w:sz w:val="23"/>
        </w:rPr>
        <w:t> </w:t>
      </w:r>
      <w:r>
        <w:rPr>
          <w:sz w:val="23"/>
        </w:rPr>
        <w:t>ecosystems,</w:t>
      </w:r>
      <w:r>
        <w:rPr>
          <w:spacing w:val="-11"/>
          <w:sz w:val="23"/>
        </w:rPr>
        <w:t> </w:t>
      </w:r>
      <w:r>
        <w:rPr>
          <w:sz w:val="23"/>
        </w:rPr>
        <w:t>including</w:t>
      </w:r>
      <w:r>
        <w:rPr>
          <w:spacing w:val="-7"/>
          <w:sz w:val="23"/>
        </w:rPr>
        <w:t> </w:t>
      </w:r>
      <w:r>
        <w:rPr>
          <w:sz w:val="23"/>
        </w:rPr>
        <w:t>groundwater;</w:t>
      </w:r>
    </w:p>
    <w:p>
      <w:pPr>
        <w:pStyle w:val="ListParagraph"/>
        <w:numPr>
          <w:ilvl w:val="2"/>
          <w:numId w:val="4"/>
        </w:numPr>
        <w:tabs>
          <w:tab w:pos="1445" w:val="left" w:leader="none"/>
        </w:tabs>
        <w:spacing w:line="240" w:lineRule="auto" w:before="24" w:after="0"/>
        <w:ind w:left="1444" w:right="0" w:hanging="273"/>
        <w:jc w:val="left"/>
        <w:rPr>
          <w:color w:val="EF4136"/>
          <w:sz w:val="23"/>
        </w:rPr>
      </w:pPr>
      <w:r>
        <w:rPr>
          <w:sz w:val="23"/>
        </w:rPr>
        <w:t>Promote sustainable water</w:t>
      </w:r>
      <w:r>
        <w:rPr>
          <w:spacing w:val="-24"/>
          <w:sz w:val="23"/>
        </w:rPr>
        <w:t> </w:t>
      </w:r>
      <w:r>
        <w:rPr>
          <w:sz w:val="23"/>
        </w:rPr>
        <w:t>use;</w:t>
      </w:r>
    </w:p>
    <w:p>
      <w:pPr>
        <w:pStyle w:val="ListParagraph"/>
        <w:numPr>
          <w:ilvl w:val="2"/>
          <w:numId w:val="4"/>
        </w:numPr>
        <w:tabs>
          <w:tab w:pos="1445" w:val="left" w:leader="none"/>
        </w:tabs>
        <w:spacing w:line="240" w:lineRule="auto" w:before="23" w:after="0"/>
        <w:ind w:left="1444" w:right="0" w:hanging="273"/>
        <w:jc w:val="left"/>
        <w:rPr>
          <w:color w:val="EF2F26"/>
          <w:sz w:val="23"/>
        </w:rPr>
      </w:pPr>
      <w:r>
        <w:rPr>
          <w:sz w:val="23"/>
        </w:rPr>
        <w:t>Reduce pollution,</w:t>
      </w:r>
      <w:r>
        <w:rPr>
          <w:spacing w:val="22"/>
          <w:sz w:val="23"/>
        </w:rPr>
        <w:t> </w:t>
      </w:r>
      <w:r>
        <w:rPr>
          <w:sz w:val="23"/>
        </w:rPr>
        <w:t>and</w:t>
      </w:r>
    </w:p>
    <w:p>
      <w:pPr>
        <w:pStyle w:val="ListParagraph"/>
        <w:numPr>
          <w:ilvl w:val="2"/>
          <w:numId w:val="4"/>
        </w:numPr>
        <w:tabs>
          <w:tab w:pos="1442" w:val="left" w:leader="none"/>
        </w:tabs>
        <w:spacing w:line="240" w:lineRule="auto" w:before="33" w:after="0"/>
        <w:ind w:left="1441" w:right="0" w:hanging="270"/>
        <w:jc w:val="left"/>
        <w:rPr>
          <w:color w:val="EB3D31"/>
          <w:sz w:val="23"/>
        </w:rPr>
      </w:pPr>
      <w:r>
        <w:rPr>
          <w:sz w:val="23"/>
        </w:rPr>
        <w:t>Contribute to the mitigation of floods and</w:t>
      </w:r>
      <w:r>
        <w:rPr>
          <w:spacing w:val="5"/>
          <w:sz w:val="23"/>
        </w:rPr>
        <w:t> </w:t>
      </w:r>
      <w:r>
        <w:rPr>
          <w:sz w:val="23"/>
        </w:rPr>
        <w:t>droughts.</w:t>
      </w:r>
    </w:p>
    <w:p>
      <w:pPr>
        <w:pStyle w:val="BodyText"/>
        <w:spacing w:line="266" w:lineRule="auto" w:before="139"/>
        <w:ind w:left="1015" w:right="509" w:firstLine="6"/>
        <w:jc w:val="both"/>
      </w:pPr>
      <w:r>
        <w:rPr/>
        <w:t>Regulation</w:t>
      </w:r>
      <w:r>
        <w:rPr>
          <w:spacing w:val="-32"/>
        </w:rPr>
        <w:t> </w:t>
      </w:r>
      <w:r>
        <w:rPr/>
        <w:t>33</w:t>
      </w:r>
      <w:r>
        <w:rPr>
          <w:spacing w:val="-38"/>
        </w:rPr>
        <w:t> </w:t>
      </w:r>
      <w:r>
        <w:rPr/>
        <w:t>of</w:t>
      </w:r>
      <w:r>
        <w:rPr>
          <w:spacing w:val="-38"/>
        </w:rPr>
        <w:t> </w:t>
      </w:r>
      <w:r>
        <w:rPr/>
        <w:t>the</w:t>
      </w:r>
      <w:r>
        <w:rPr>
          <w:spacing w:val="-38"/>
        </w:rPr>
        <w:t> </w:t>
      </w:r>
      <w:r>
        <w:rPr/>
        <w:t>Water</w:t>
      </w:r>
      <w:r>
        <w:rPr>
          <w:spacing w:val="-33"/>
        </w:rPr>
        <w:t> </w:t>
      </w:r>
      <w:r>
        <w:rPr/>
        <w:t>Environment</w:t>
      </w:r>
      <w:r>
        <w:rPr>
          <w:spacing w:val="-24"/>
        </w:rPr>
        <w:t> </w:t>
      </w:r>
      <w:r>
        <w:rPr/>
        <w:t>Regulations</w:t>
      </w:r>
      <w:r>
        <w:rPr>
          <w:spacing w:val="-27"/>
        </w:rPr>
        <w:t> </w:t>
      </w:r>
      <w:r>
        <w:rPr/>
        <w:t>states</w:t>
      </w:r>
      <w:r>
        <w:rPr>
          <w:spacing w:val="-36"/>
        </w:rPr>
        <w:t> </w:t>
      </w:r>
      <w:r>
        <w:rPr/>
        <w:t>that</w:t>
      </w:r>
      <w:r>
        <w:rPr>
          <w:spacing w:val="-37"/>
        </w:rPr>
        <w:t> </w:t>
      </w:r>
      <w:r>
        <w:rPr/>
        <w:t>local</w:t>
      </w:r>
      <w:r>
        <w:rPr>
          <w:spacing w:val="-34"/>
        </w:rPr>
        <w:t> </w:t>
      </w:r>
      <w:r>
        <w:rPr/>
        <w:t>authorities,</w:t>
      </w:r>
      <w:r>
        <w:rPr>
          <w:spacing w:val="-24"/>
        </w:rPr>
        <w:t> </w:t>
      </w:r>
      <w:r>
        <w:rPr/>
        <w:t>as</w:t>
      </w:r>
      <w:r>
        <w:rPr>
          <w:spacing w:val="-38"/>
        </w:rPr>
        <w:t> </w:t>
      </w:r>
      <w:r>
        <w:rPr/>
        <w:t>well</w:t>
      </w:r>
      <w:r>
        <w:rPr>
          <w:spacing w:val="-35"/>
        </w:rPr>
        <w:t> </w:t>
      </w:r>
      <w:r>
        <w:rPr/>
        <w:t>as</w:t>
      </w:r>
      <w:r>
        <w:rPr>
          <w:spacing w:val="-37"/>
        </w:rPr>
        <w:t> </w:t>
      </w:r>
      <w:r>
        <w:rPr/>
        <w:t>other public</w:t>
      </w:r>
      <w:r>
        <w:rPr>
          <w:spacing w:val="-28"/>
        </w:rPr>
        <w:t> </w:t>
      </w:r>
      <w:r>
        <w:rPr/>
        <w:t>bodies,</w:t>
      </w:r>
      <w:r>
        <w:rPr>
          <w:spacing w:val="-34"/>
        </w:rPr>
        <w:t> </w:t>
      </w:r>
      <w:r>
        <w:rPr/>
        <w:t>must</w:t>
      </w:r>
      <w:r>
        <w:rPr>
          <w:spacing w:val="-33"/>
        </w:rPr>
        <w:t> </w:t>
      </w:r>
      <w:r>
        <w:rPr/>
        <w:t>’have</w:t>
      </w:r>
      <w:r>
        <w:rPr>
          <w:spacing w:val="-32"/>
        </w:rPr>
        <w:t> </w:t>
      </w:r>
      <w:r>
        <w:rPr/>
        <w:t>regard</w:t>
      </w:r>
      <w:r>
        <w:rPr>
          <w:spacing w:val="-33"/>
        </w:rPr>
        <w:t> </w:t>
      </w:r>
      <w:r>
        <w:rPr/>
        <w:t>to</w:t>
      </w:r>
      <w:r>
        <w:rPr>
          <w:spacing w:val="-35"/>
        </w:rPr>
        <w:t> </w:t>
      </w:r>
      <w:r>
        <w:rPr/>
        <w:t>the</w:t>
      </w:r>
      <w:r>
        <w:rPr>
          <w:spacing w:val="-32"/>
        </w:rPr>
        <w:t> </w:t>
      </w:r>
      <w:r>
        <w:rPr/>
        <w:t>RBMP</w:t>
      </w:r>
      <w:r>
        <w:rPr>
          <w:spacing w:val="-24"/>
        </w:rPr>
        <w:t> </w:t>
      </w:r>
      <w:r>
        <w:rPr/>
        <w:t>for</w:t>
      </w:r>
      <w:r>
        <w:rPr>
          <w:spacing w:val="-31"/>
        </w:rPr>
        <w:t> </w:t>
      </w:r>
      <w:r>
        <w:rPr/>
        <w:t>a</w:t>
      </w:r>
      <w:r>
        <w:rPr>
          <w:spacing w:val="-36"/>
        </w:rPr>
        <w:t> </w:t>
      </w:r>
      <w:r>
        <w:rPr/>
        <w:t>river</w:t>
      </w:r>
      <w:r>
        <w:rPr>
          <w:spacing w:val="-33"/>
        </w:rPr>
        <w:t> </w:t>
      </w:r>
      <w:r>
        <w:rPr/>
        <w:t>basin</w:t>
      </w:r>
      <w:r>
        <w:rPr>
          <w:spacing w:val="-26"/>
        </w:rPr>
        <w:t> </w:t>
      </w:r>
      <w:r>
        <w:rPr/>
        <w:t>district’</w:t>
      </w:r>
      <w:r>
        <w:rPr>
          <w:spacing w:val="-23"/>
        </w:rPr>
        <w:t> </w:t>
      </w:r>
      <w:r>
        <w:rPr/>
        <w:t>‘when</w:t>
      </w:r>
      <w:r>
        <w:rPr>
          <w:spacing w:val="-28"/>
        </w:rPr>
        <w:t> </w:t>
      </w:r>
      <w:r>
        <w:rPr/>
        <w:t>exercising</w:t>
      </w:r>
      <w:r>
        <w:rPr>
          <w:spacing w:val="-25"/>
        </w:rPr>
        <w:t> </w:t>
      </w:r>
      <w:r>
        <w:rPr/>
        <w:t>functions affecting</w:t>
      </w:r>
      <w:r>
        <w:rPr>
          <w:spacing w:val="-4"/>
        </w:rPr>
        <w:t> </w:t>
      </w:r>
      <w:r>
        <w:rPr/>
        <w:t>the</w:t>
      </w:r>
      <w:r>
        <w:rPr>
          <w:spacing w:val="-11"/>
        </w:rPr>
        <w:t> </w:t>
      </w:r>
      <w:r>
        <w:rPr/>
        <w:t>district’.</w:t>
      </w:r>
      <w:r>
        <w:rPr>
          <w:spacing w:val="-2"/>
        </w:rPr>
        <w:t> </w:t>
      </w:r>
      <w:r>
        <w:rPr/>
        <w:t>RBMP</w:t>
      </w:r>
      <w:r>
        <w:rPr>
          <w:spacing w:val="-5"/>
        </w:rPr>
        <w:t> </w:t>
      </w:r>
      <w:r>
        <w:rPr/>
        <w:t>refers</w:t>
      </w:r>
      <w:r>
        <w:rPr>
          <w:spacing w:val="-11"/>
        </w:rPr>
        <w:t> </w:t>
      </w:r>
      <w:r>
        <w:rPr/>
        <w:t>to</w:t>
      </w:r>
      <w:r>
        <w:rPr>
          <w:spacing w:val="-18"/>
        </w:rPr>
        <w:t> </w:t>
      </w:r>
      <w:r>
        <w:rPr/>
        <w:t>the</w:t>
      </w:r>
      <w:r>
        <w:rPr>
          <w:spacing w:val="-9"/>
        </w:rPr>
        <w:t> </w:t>
      </w:r>
      <w:r>
        <w:rPr/>
        <w:t>relevant River</w:t>
      </w:r>
      <w:r>
        <w:rPr>
          <w:spacing w:val="-8"/>
        </w:rPr>
        <w:t> </w:t>
      </w:r>
      <w:r>
        <w:rPr/>
        <w:t>Basin</w:t>
      </w:r>
      <w:r>
        <w:rPr>
          <w:spacing w:val="-5"/>
        </w:rPr>
        <w:t> </w:t>
      </w:r>
      <w:r>
        <w:rPr/>
        <w:t>Management</w:t>
      </w:r>
      <w:r>
        <w:rPr>
          <w:spacing w:val="7"/>
        </w:rPr>
        <w:t> </w:t>
      </w:r>
      <w:r>
        <w:rPr/>
        <w:t>Plan.</w:t>
      </w:r>
    </w:p>
    <w:p>
      <w:pPr>
        <w:pStyle w:val="BodyText"/>
        <w:spacing w:line="264" w:lineRule="auto" w:before="117"/>
        <w:ind w:left="1016" w:right="212" w:firstLine="4"/>
      </w:pPr>
      <w:r>
        <w:rPr/>
        <w:t>Regulation</w:t>
      </w:r>
      <w:r>
        <w:rPr>
          <w:spacing w:val="-20"/>
        </w:rPr>
        <w:t> </w:t>
      </w:r>
      <w:r>
        <w:rPr/>
        <w:t>35</w:t>
      </w:r>
      <w:r>
        <w:rPr>
          <w:spacing w:val="-31"/>
        </w:rPr>
        <w:t> </w:t>
      </w:r>
      <w:r>
        <w:rPr/>
        <w:t>requires</w:t>
      </w:r>
      <w:r>
        <w:rPr>
          <w:spacing w:val="-23"/>
        </w:rPr>
        <w:t> </w:t>
      </w:r>
      <w:r>
        <w:rPr/>
        <w:t>local</w:t>
      </w:r>
      <w:r>
        <w:rPr>
          <w:spacing w:val="-18"/>
        </w:rPr>
        <w:t> </w:t>
      </w:r>
      <w:r>
        <w:rPr/>
        <w:t>authorities</w:t>
      </w:r>
      <w:r>
        <w:rPr>
          <w:spacing w:val="-23"/>
        </w:rPr>
        <w:t> </w:t>
      </w:r>
      <w:r>
        <w:rPr/>
        <w:t>to</w:t>
      </w:r>
      <w:r>
        <w:rPr>
          <w:spacing w:val="-32"/>
        </w:rPr>
        <w:t> </w:t>
      </w:r>
      <w:r>
        <w:rPr/>
        <w:t>provide</w:t>
      </w:r>
      <w:r>
        <w:rPr>
          <w:spacing w:val="-24"/>
        </w:rPr>
        <w:t> </w:t>
      </w:r>
      <w:r>
        <w:rPr/>
        <w:t>‘such</w:t>
      </w:r>
      <w:r>
        <w:rPr>
          <w:spacing w:val="-27"/>
        </w:rPr>
        <w:t> </w:t>
      </w:r>
      <w:r>
        <w:rPr/>
        <w:t>information</w:t>
      </w:r>
      <w:r>
        <w:rPr>
          <w:spacing w:val="-17"/>
        </w:rPr>
        <w:t> </w:t>
      </w:r>
      <w:r>
        <w:rPr/>
        <w:t>in</w:t>
      </w:r>
      <w:r>
        <w:rPr>
          <w:spacing w:val="-25"/>
        </w:rPr>
        <w:t> </w:t>
      </w:r>
      <w:r>
        <w:rPr/>
        <w:t>its</w:t>
      </w:r>
      <w:r>
        <w:rPr>
          <w:spacing w:val="-32"/>
        </w:rPr>
        <w:t> </w:t>
      </w:r>
      <w:r>
        <w:rPr/>
        <w:t>possession’</w:t>
      </w:r>
      <w:r>
        <w:rPr>
          <w:spacing w:val="-15"/>
        </w:rPr>
        <w:t> </w:t>
      </w:r>
      <w:r>
        <w:rPr/>
        <w:t>and</w:t>
      </w:r>
      <w:r>
        <w:rPr>
          <w:spacing w:val="-28"/>
        </w:rPr>
        <w:t> </w:t>
      </w:r>
      <w:r>
        <w:rPr/>
        <w:t>‘such assistance</w:t>
      </w:r>
      <w:r>
        <w:rPr>
          <w:spacing w:val="-32"/>
        </w:rPr>
        <w:t> </w:t>
      </w:r>
      <w:r>
        <w:rPr/>
        <w:t>as</w:t>
      </w:r>
      <w:r>
        <w:rPr>
          <w:spacing w:val="-41"/>
        </w:rPr>
        <w:t> </w:t>
      </w:r>
      <w:r>
        <w:rPr/>
        <w:t>the</w:t>
      </w:r>
      <w:r>
        <w:rPr>
          <w:spacing w:val="-38"/>
        </w:rPr>
        <w:t> </w:t>
      </w:r>
      <w:r>
        <w:rPr/>
        <w:t>Environment</w:t>
      </w:r>
      <w:r>
        <w:rPr>
          <w:spacing w:val="-31"/>
        </w:rPr>
        <w:t> </w:t>
      </w:r>
      <w:r>
        <w:rPr/>
        <w:t>Agency</w:t>
      </w:r>
      <w:r>
        <w:rPr>
          <w:spacing w:val="-39"/>
        </w:rPr>
        <w:t> </w:t>
      </w:r>
      <w:r>
        <w:rPr/>
        <w:t>may</w:t>
      </w:r>
      <w:r>
        <w:rPr>
          <w:spacing w:val="-37"/>
        </w:rPr>
        <w:t> </w:t>
      </w:r>
      <w:r>
        <w:rPr/>
        <w:t>reasonably</w:t>
      </w:r>
      <w:r>
        <w:rPr>
          <w:spacing w:val="-28"/>
        </w:rPr>
        <w:t> </w:t>
      </w:r>
      <w:r>
        <w:rPr/>
        <w:t>seek’</w:t>
      </w:r>
      <w:r>
        <w:rPr>
          <w:spacing w:val="-34"/>
        </w:rPr>
        <w:t> </w:t>
      </w:r>
      <w:r>
        <w:rPr/>
        <w:t>in</w:t>
      </w:r>
      <w:r>
        <w:rPr>
          <w:spacing w:val="-37"/>
        </w:rPr>
        <w:t> </w:t>
      </w:r>
      <w:r>
        <w:rPr/>
        <w:t>connection</w:t>
      </w:r>
      <w:r>
        <w:rPr>
          <w:spacing w:val="-30"/>
        </w:rPr>
        <w:t> </w:t>
      </w:r>
      <w:r>
        <w:rPr/>
        <w:t>with</w:t>
      </w:r>
      <w:r>
        <w:rPr>
          <w:spacing w:val="-40"/>
        </w:rPr>
        <w:t> </w:t>
      </w:r>
      <w:r>
        <w:rPr/>
        <w:t>its</w:t>
      </w:r>
      <w:r>
        <w:rPr>
          <w:spacing w:val="-44"/>
        </w:rPr>
        <w:t> </w:t>
      </w:r>
      <w:r>
        <w:rPr/>
        <w:t>WFD</w:t>
      </w:r>
      <w:r>
        <w:rPr>
          <w:spacing w:val="-39"/>
        </w:rPr>
        <w:t> </w:t>
      </w:r>
      <w:r>
        <w:rPr/>
        <w:t>functions. Incorporation</w:t>
      </w:r>
      <w:r>
        <w:rPr>
          <w:spacing w:val="-17"/>
        </w:rPr>
        <w:t> </w:t>
      </w:r>
      <w:r>
        <w:rPr/>
        <w:t>of</w:t>
      </w:r>
      <w:r>
        <w:rPr>
          <w:spacing w:val="-29"/>
        </w:rPr>
        <w:t> </w:t>
      </w:r>
      <w:r>
        <w:rPr/>
        <w:t>WFD</w:t>
      </w:r>
      <w:r>
        <w:rPr>
          <w:spacing w:val="-26"/>
        </w:rPr>
        <w:t> </w:t>
      </w:r>
      <w:r>
        <w:rPr/>
        <w:t>objectives</w:t>
      </w:r>
      <w:r>
        <w:rPr>
          <w:spacing w:val="-23"/>
        </w:rPr>
        <w:t> </w:t>
      </w:r>
      <w:r>
        <w:rPr/>
        <w:t>into</w:t>
      </w:r>
      <w:r>
        <w:rPr>
          <w:spacing w:val="-28"/>
        </w:rPr>
        <w:t> </w:t>
      </w:r>
      <w:r>
        <w:rPr/>
        <w:t>all</w:t>
      </w:r>
      <w:r>
        <w:rPr>
          <w:spacing w:val="-28"/>
        </w:rPr>
        <w:t> </w:t>
      </w:r>
      <w:r>
        <w:rPr/>
        <w:t>aspects</w:t>
      </w:r>
      <w:r>
        <w:rPr>
          <w:spacing w:val="-30"/>
        </w:rPr>
        <w:t> </w:t>
      </w:r>
      <w:r>
        <w:rPr/>
        <w:t>of</w:t>
      </w:r>
      <w:r>
        <w:rPr>
          <w:spacing w:val="-30"/>
        </w:rPr>
        <w:t> </w:t>
      </w:r>
      <w:r>
        <w:rPr/>
        <w:t>local</w:t>
      </w:r>
      <w:r>
        <w:rPr>
          <w:spacing w:val="-21"/>
        </w:rPr>
        <w:t> </w:t>
      </w:r>
      <w:r>
        <w:rPr/>
        <w:t>authority</w:t>
      </w:r>
      <w:r>
        <w:rPr>
          <w:spacing w:val="-22"/>
        </w:rPr>
        <w:t> </w:t>
      </w:r>
      <w:r>
        <w:rPr/>
        <w:t>function</w:t>
      </w:r>
      <w:r>
        <w:rPr>
          <w:spacing w:val="-15"/>
        </w:rPr>
        <w:t> </w:t>
      </w:r>
      <w:r>
        <w:rPr/>
        <w:t>are</w:t>
      </w:r>
      <w:r>
        <w:rPr>
          <w:spacing w:val="-33"/>
        </w:rPr>
        <w:t> </w:t>
      </w:r>
      <w:r>
        <w:rPr/>
        <w:t>necessary</w:t>
      </w:r>
      <w:r>
        <w:rPr>
          <w:spacing w:val="-20"/>
        </w:rPr>
        <w:t> </w:t>
      </w:r>
      <w:r>
        <w:rPr/>
        <w:t>to</w:t>
      </w:r>
      <w:r>
        <w:rPr>
          <w:spacing w:val="-33"/>
        </w:rPr>
        <w:t> </w:t>
      </w:r>
      <w:r>
        <w:rPr/>
        <w:t>meet this</w:t>
      </w:r>
      <w:r>
        <w:rPr>
          <w:spacing w:val="-3"/>
        </w:rPr>
        <w:t> </w:t>
      </w:r>
      <w:r>
        <w:rPr/>
        <w:t>requirement.</w:t>
      </w:r>
    </w:p>
    <w:p>
      <w:pPr>
        <w:pStyle w:val="BodyText"/>
        <w:spacing w:line="261" w:lineRule="auto" w:before="123"/>
        <w:ind w:left="1015" w:firstLine="7"/>
      </w:pPr>
      <w:r>
        <w:rPr/>
        <w:t>Local authorities can help to address the causes of poor water body status and make a major contribution</w:t>
      </w:r>
      <w:r>
        <w:rPr>
          <w:spacing w:val="-27"/>
        </w:rPr>
        <w:t> </w:t>
      </w:r>
      <w:r>
        <w:rPr/>
        <w:t>to</w:t>
      </w:r>
      <w:r>
        <w:rPr>
          <w:spacing w:val="-36"/>
        </w:rPr>
        <w:t> </w:t>
      </w:r>
      <w:r>
        <w:rPr/>
        <w:t>meeting</w:t>
      </w:r>
      <w:r>
        <w:rPr>
          <w:spacing w:val="-27"/>
        </w:rPr>
        <w:t> </w:t>
      </w:r>
      <w:r>
        <w:rPr/>
        <w:t>WFD</w:t>
      </w:r>
      <w:r>
        <w:rPr>
          <w:spacing w:val="-31"/>
        </w:rPr>
        <w:t> </w:t>
      </w:r>
      <w:r>
        <w:rPr/>
        <w:t>objectives,</w:t>
      </w:r>
      <w:r>
        <w:rPr>
          <w:spacing w:val="-23"/>
        </w:rPr>
        <w:t> </w:t>
      </w:r>
      <w:r>
        <w:rPr/>
        <w:t>both</w:t>
      </w:r>
      <w:r>
        <w:rPr>
          <w:spacing w:val="-28"/>
        </w:rPr>
        <w:t> </w:t>
      </w:r>
      <w:r>
        <w:rPr/>
        <w:t>in</w:t>
      </w:r>
      <w:r>
        <w:rPr>
          <w:spacing w:val="-34"/>
        </w:rPr>
        <w:t> </w:t>
      </w:r>
      <w:r>
        <w:rPr/>
        <w:t>their</w:t>
      </w:r>
      <w:r>
        <w:rPr>
          <w:spacing w:val="-30"/>
        </w:rPr>
        <w:t> </w:t>
      </w:r>
      <w:r>
        <w:rPr/>
        <w:t>own</w:t>
      </w:r>
      <w:r>
        <w:rPr>
          <w:spacing w:val="-30"/>
        </w:rPr>
        <w:t> </w:t>
      </w:r>
      <w:r>
        <w:rPr/>
        <w:t>activities</w:t>
      </w:r>
      <w:r>
        <w:rPr>
          <w:spacing w:val="-29"/>
        </w:rPr>
        <w:t> </w:t>
      </w:r>
      <w:r>
        <w:rPr/>
        <w:t>and</w:t>
      </w:r>
      <w:r>
        <w:rPr>
          <w:spacing w:val="-35"/>
        </w:rPr>
        <w:t> </w:t>
      </w:r>
      <w:r>
        <w:rPr/>
        <w:t>in</w:t>
      </w:r>
      <w:r>
        <w:rPr>
          <w:spacing w:val="-34"/>
        </w:rPr>
        <w:t> </w:t>
      </w:r>
      <w:r>
        <w:rPr/>
        <w:t>their</w:t>
      </w:r>
      <w:r>
        <w:rPr>
          <w:spacing w:val="-31"/>
        </w:rPr>
        <w:t> </w:t>
      </w:r>
      <w:r>
        <w:rPr/>
        <w:t>work</w:t>
      </w:r>
      <w:r>
        <w:rPr>
          <w:spacing w:val="-27"/>
        </w:rPr>
        <w:t> </w:t>
      </w:r>
      <w:r>
        <w:rPr/>
        <w:t>with</w:t>
      </w:r>
      <w:r>
        <w:rPr>
          <w:spacing w:val="-29"/>
        </w:rPr>
        <w:t> </w:t>
      </w:r>
      <w:r>
        <w:rPr/>
        <w:t>others.</w:t>
      </w:r>
      <w:r>
        <w:rPr>
          <w:spacing w:val="-23"/>
        </w:rPr>
        <w:t> </w:t>
      </w:r>
      <w:r>
        <w:rPr/>
        <w:t>Key local authority functions which can contribute to WFD objectives</w:t>
      </w:r>
      <w:r>
        <w:rPr>
          <w:spacing w:val="-19"/>
        </w:rPr>
        <w:t> </w:t>
      </w:r>
      <w:r>
        <w:rPr/>
        <w:t>include:</w:t>
      </w:r>
    </w:p>
    <w:p>
      <w:pPr>
        <w:pStyle w:val="ListParagraph"/>
        <w:numPr>
          <w:ilvl w:val="2"/>
          <w:numId w:val="4"/>
        </w:numPr>
        <w:tabs>
          <w:tab w:pos="1446" w:val="left" w:leader="none"/>
        </w:tabs>
        <w:spacing w:line="240" w:lineRule="auto" w:before="124" w:after="0"/>
        <w:ind w:left="1445" w:right="0" w:hanging="274"/>
        <w:jc w:val="left"/>
        <w:rPr>
          <w:color w:val="E2421C"/>
          <w:sz w:val="23"/>
        </w:rPr>
      </w:pPr>
      <w:r>
        <w:rPr>
          <w:sz w:val="23"/>
        </w:rPr>
        <w:t>Local planning</w:t>
      </w:r>
      <w:r>
        <w:rPr>
          <w:spacing w:val="8"/>
          <w:sz w:val="23"/>
        </w:rPr>
        <w:t> </w:t>
      </w:r>
      <w:r>
        <w:rPr>
          <w:sz w:val="23"/>
        </w:rPr>
        <w:t>policies.</w:t>
      </w:r>
    </w:p>
    <w:p>
      <w:pPr>
        <w:pStyle w:val="ListParagraph"/>
        <w:numPr>
          <w:ilvl w:val="2"/>
          <w:numId w:val="4"/>
        </w:numPr>
        <w:tabs>
          <w:tab w:pos="1445" w:val="left" w:leader="none"/>
        </w:tabs>
        <w:spacing w:line="240" w:lineRule="auto" w:before="23" w:after="0"/>
        <w:ind w:left="1444" w:right="0" w:hanging="273"/>
        <w:jc w:val="left"/>
        <w:rPr>
          <w:color w:val="F93834"/>
          <w:sz w:val="23"/>
        </w:rPr>
      </w:pPr>
      <w:r>
        <w:rPr>
          <w:sz w:val="23"/>
        </w:rPr>
        <w:t>Development management and building</w:t>
      </w:r>
      <w:r>
        <w:rPr>
          <w:spacing w:val="-29"/>
          <w:sz w:val="23"/>
        </w:rPr>
        <w:t> </w:t>
      </w:r>
      <w:r>
        <w:rPr>
          <w:sz w:val="23"/>
        </w:rPr>
        <w:t>control.</w:t>
      </w:r>
    </w:p>
    <w:p>
      <w:pPr>
        <w:pStyle w:val="ListParagraph"/>
        <w:numPr>
          <w:ilvl w:val="2"/>
          <w:numId w:val="4"/>
        </w:numPr>
        <w:tabs>
          <w:tab w:pos="1445" w:val="left" w:leader="none"/>
        </w:tabs>
        <w:spacing w:line="240" w:lineRule="auto" w:before="33" w:after="0"/>
        <w:ind w:left="1444" w:right="0" w:hanging="273"/>
        <w:jc w:val="left"/>
        <w:rPr>
          <w:color w:val="FF3F3A"/>
          <w:sz w:val="23"/>
        </w:rPr>
      </w:pPr>
      <w:r>
        <w:rPr>
          <w:sz w:val="23"/>
        </w:rPr>
        <w:t>Drainage, flood risk management and Sustainable Drainage Systems</w:t>
      </w:r>
      <w:r>
        <w:rPr>
          <w:spacing w:val="-18"/>
          <w:sz w:val="23"/>
        </w:rPr>
        <w:t> </w:t>
      </w:r>
      <w:r>
        <w:rPr>
          <w:sz w:val="23"/>
        </w:rPr>
        <w:t>(SuDS).</w:t>
      </w:r>
    </w:p>
    <w:p>
      <w:pPr>
        <w:pStyle w:val="ListParagraph"/>
        <w:numPr>
          <w:ilvl w:val="2"/>
          <w:numId w:val="4"/>
        </w:numPr>
        <w:tabs>
          <w:tab w:pos="1445" w:val="left" w:leader="none"/>
        </w:tabs>
        <w:spacing w:line="240" w:lineRule="auto" w:before="24" w:after="0"/>
        <w:ind w:left="1444" w:right="0" w:hanging="273"/>
        <w:jc w:val="left"/>
        <w:rPr>
          <w:color w:val="FF2626"/>
          <w:sz w:val="23"/>
        </w:rPr>
      </w:pPr>
      <w:r>
        <w:rPr>
          <w:sz w:val="23"/>
        </w:rPr>
        <w:t>Environmental health and pollution</w:t>
      </w:r>
      <w:r>
        <w:rPr>
          <w:spacing w:val="38"/>
          <w:sz w:val="23"/>
        </w:rPr>
        <w:t> </w:t>
      </w:r>
      <w:r>
        <w:rPr>
          <w:sz w:val="23"/>
        </w:rPr>
        <w:t>control.</w:t>
      </w:r>
    </w:p>
    <w:p>
      <w:pPr>
        <w:pStyle w:val="ListParagraph"/>
        <w:numPr>
          <w:ilvl w:val="2"/>
          <w:numId w:val="4"/>
        </w:numPr>
        <w:tabs>
          <w:tab w:pos="1445" w:val="left" w:leader="none"/>
        </w:tabs>
        <w:spacing w:line="240" w:lineRule="auto" w:before="23" w:after="0"/>
        <w:ind w:left="1445" w:right="0" w:hanging="274"/>
        <w:jc w:val="left"/>
        <w:rPr>
          <w:color w:val="FF413A"/>
          <w:sz w:val="23"/>
        </w:rPr>
      </w:pPr>
      <w:r>
        <w:rPr>
          <w:sz w:val="23"/>
        </w:rPr>
        <w:t>Managing a local authority’s own buildings, assets and</w:t>
      </w:r>
      <w:r>
        <w:rPr>
          <w:spacing w:val="10"/>
          <w:sz w:val="23"/>
        </w:rPr>
        <w:t> </w:t>
      </w:r>
      <w:r>
        <w:rPr>
          <w:sz w:val="23"/>
        </w:rPr>
        <w:t>green-space.</w:t>
      </w:r>
    </w:p>
    <w:p>
      <w:pPr>
        <w:pStyle w:val="ListParagraph"/>
        <w:numPr>
          <w:ilvl w:val="2"/>
          <w:numId w:val="4"/>
        </w:numPr>
        <w:tabs>
          <w:tab w:pos="1446" w:val="left" w:leader="none"/>
        </w:tabs>
        <w:spacing w:line="240" w:lineRule="auto" w:before="34" w:after="0"/>
        <w:ind w:left="1445" w:right="0" w:hanging="274"/>
        <w:jc w:val="left"/>
        <w:rPr>
          <w:color w:val="FF2F2A"/>
          <w:sz w:val="23"/>
        </w:rPr>
      </w:pPr>
      <w:r>
        <w:rPr>
          <w:sz w:val="23"/>
        </w:rPr>
        <w:t>Local authority highway</w:t>
      </w:r>
      <w:r>
        <w:rPr>
          <w:spacing w:val="29"/>
          <w:sz w:val="23"/>
        </w:rPr>
        <w:t> </w:t>
      </w:r>
      <w:r>
        <w:rPr>
          <w:sz w:val="23"/>
        </w:rPr>
        <w:t>functions.</w:t>
      </w:r>
    </w:p>
    <w:p>
      <w:pPr>
        <w:pStyle w:val="ListParagraph"/>
        <w:numPr>
          <w:ilvl w:val="2"/>
          <w:numId w:val="4"/>
        </w:numPr>
        <w:tabs>
          <w:tab w:pos="1442" w:val="left" w:leader="none"/>
        </w:tabs>
        <w:spacing w:line="240" w:lineRule="auto" w:before="23" w:after="0"/>
        <w:ind w:left="1441" w:right="0" w:hanging="270"/>
        <w:jc w:val="left"/>
        <w:rPr>
          <w:color w:val="DD4B26"/>
          <w:sz w:val="23"/>
        </w:rPr>
      </w:pPr>
      <w:r>
        <w:rPr>
          <w:sz w:val="23"/>
        </w:rPr>
        <w:t>Community leadership, advocacy and partnership</w:t>
      </w:r>
      <w:r>
        <w:rPr>
          <w:spacing w:val="-14"/>
          <w:sz w:val="23"/>
        </w:rPr>
        <w:t> </w:t>
      </w:r>
      <w:r>
        <w:rPr>
          <w:sz w:val="23"/>
        </w:rPr>
        <w:t>roles.</w:t>
      </w:r>
    </w:p>
    <w:p>
      <w:pPr>
        <w:pStyle w:val="ListParagraph"/>
        <w:numPr>
          <w:ilvl w:val="1"/>
          <w:numId w:val="4"/>
        </w:numPr>
        <w:tabs>
          <w:tab w:pos="1017" w:val="left" w:leader="none"/>
          <w:tab w:pos="1018" w:val="left" w:leader="none"/>
        </w:tabs>
        <w:spacing w:line="271" w:lineRule="auto" w:before="159" w:after="0"/>
        <w:ind w:left="1017" w:right="1212" w:hanging="862"/>
        <w:jc w:val="left"/>
        <w:rPr>
          <w:sz w:val="28"/>
        </w:rPr>
      </w:pPr>
      <w:r>
        <w:rPr>
          <w:sz w:val="28"/>
        </w:rPr>
        <w:t>ENVIRONMENTAL ASSESSMENT OF PLANS AND PROGRAMMES REGULATIONS</w:t>
      </w:r>
    </w:p>
    <w:p>
      <w:pPr>
        <w:pStyle w:val="BodyText"/>
        <w:spacing w:line="261" w:lineRule="auto" w:before="126"/>
        <w:ind w:left="1021" w:firstLine="3"/>
      </w:pPr>
      <w:r>
        <w:rPr/>
        <w:t>The</w:t>
      </w:r>
      <w:r>
        <w:rPr>
          <w:spacing w:val="-42"/>
        </w:rPr>
        <w:t> </w:t>
      </w:r>
      <w:r>
        <w:rPr/>
        <w:t>Strategic</w:t>
      </w:r>
      <w:r>
        <w:rPr>
          <w:spacing w:val="-36"/>
        </w:rPr>
        <w:t> </w:t>
      </w:r>
      <w:r>
        <w:rPr/>
        <w:t>Environmental</w:t>
      </w:r>
      <w:r>
        <w:rPr>
          <w:spacing w:val="-28"/>
        </w:rPr>
        <w:t> </w:t>
      </w:r>
      <w:r>
        <w:rPr/>
        <w:t>Assessment</w:t>
      </w:r>
      <w:r>
        <w:rPr>
          <w:spacing w:val="-31"/>
        </w:rPr>
        <w:t> </w:t>
      </w:r>
      <w:r>
        <w:rPr/>
        <w:t>Directive</w:t>
      </w:r>
      <w:r>
        <w:rPr>
          <w:spacing w:val="-35"/>
        </w:rPr>
        <w:t> </w:t>
      </w:r>
      <w:r>
        <w:rPr/>
        <w:t>(2001/42/EC)</w:t>
      </w:r>
      <w:r>
        <w:rPr>
          <w:spacing w:val="-39"/>
        </w:rPr>
        <w:t> </w:t>
      </w:r>
      <w:r>
        <w:rPr/>
        <w:t>is</w:t>
      </w:r>
      <w:r>
        <w:rPr>
          <w:spacing w:val="-43"/>
        </w:rPr>
        <w:t> </w:t>
      </w:r>
      <w:r>
        <w:rPr/>
        <w:t>consolidated</w:t>
      </w:r>
      <w:r>
        <w:rPr>
          <w:spacing w:val="-38"/>
        </w:rPr>
        <w:t> </w:t>
      </w:r>
      <w:r>
        <w:rPr/>
        <w:t>into</w:t>
      </w:r>
      <w:r>
        <w:rPr>
          <w:spacing w:val="-42"/>
        </w:rPr>
        <w:t> </w:t>
      </w:r>
      <w:r>
        <w:rPr/>
        <w:t>UK</w:t>
      </w:r>
      <w:r>
        <w:rPr>
          <w:spacing w:val="-44"/>
        </w:rPr>
        <w:t> </w:t>
      </w:r>
      <w:r>
        <w:rPr/>
        <w:t>law</w:t>
      </w:r>
      <w:r>
        <w:rPr>
          <w:spacing w:val="-38"/>
        </w:rPr>
        <w:t> </w:t>
      </w:r>
      <w:r>
        <w:rPr/>
        <w:t>in</w:t>
      </w:r>
      <w:r>
        <w:rPr>
          <w:spacing w:val="-43"/>
        </w:rPr>
        <w:t> </w:t>
      </w:r>
      <w:r>
        <w:rPr/>
        <w:t>the Environmental Assessment of Plans and Programmes Regulations</w:t>
      </w:r>
      <w:r>
        <w:rPr>
          <w:spacing w:val="-33"/>
        </w:rPr>
        <w:t> </w:t>
      </w:r>
      <w:r>
        <w:rPr/>
        <w:t>2004.</w:t>
      </w:r>
    </w:p>
    <w:p>
      <w:pPr>
        <w:pStyle w:val="BodyText"/>
        <w:spacing w:line="264" w:lineRule="auto" w:before="124"/>
        <w:ind w:left="1016" w:right="212" w:firstLine="4"/>
      </w:pPr>
      <w:r>
        <w:rPr/>
        <w:t>A</w:t>
      </w:r>
      <w:r>
        <w:rPr>
          <w:spacing w:val="-31"/>
        </w:rPr>
        <w:t> </w:t>
      </w:r>
      <w:r>
        <w:rPr/>
        <w:t>Strategic</w:t>
      </w:r>
      <w:r>
        <w:rPr>
          <w:spacing w:val="-29"/>
        </w:rPr>
        <w:t> </w:t>
      </w:r>
      <w:r>
        <w:rPr/>
        <w:t>Environmental</w:t>
      </w:r>
      <w:r>
        <w:rPr>
          <w:spacing w:val="-22"/>
        </w:rPr>
        <w:t> </w:t>
      </w:r>
      <w:r>
        <w:rPr/>
        <w:t>Assessment</w:t>
      </w:r>
      <w:r>
        <w:rPr>
          <w:spacing w:val="-22"/>
        </w:rPr>
        <w:t> </w:t>
      </w:r>
      <w:r>
        <w:rPr/>
        <w:t>(SEA)</w:t>
      </w:r>
      <w:r>
        <w:rPr>
          <w:spacing w:val="-30"/>
        </w:rPr>
        <w:t> </w:t>
      </w:r>
      <w:r>
        <w:rPr/>
        <w:t>was</w:t>
      </w:r>
      <w:r>
        <w:rPr>
          <w:spacing w:val="-39"/>
        </w:rPr>
        <w:t> </w:t>
      </w:r>
      <w:r>
        <w:rPr/>
        <w:t>been</w:t>
      </w:r>
      <w:r>
        <w:rPr>
          <w:spacing w:val="-31"/>
        </w:rPr>
        <w:t> </w:t>
      </w:r>
      <w:r>
        <w:rPr/>
        <w:t>undertaken</w:t>
      </w:r>
      <w:r>
        <w:rPr>
          <w:spacing w:val="-27"/>
        </w:rPr>
        <w:t> </w:t>
      </w:r>
      <w:r>
        <w:rPr/>
        <w:t>in</w:t>
      </w:r>
      <w:r>
        <w:rPr>
          <w:spacing w:val="-34"/>
        </w:rPr>
        <w:t> </w:t>
      </w:r>
      <w:r>
        <w:rPr/>
        <w:t>parallel</w:t>
      </w:r>
      <w:r>
        <w:rPr>
          <w:spacing w:val="-31"/>
        </w:rPr>
        <w:t> </w:t>
      </w:r>
      <w:r>
        <w:rPr/>
        <w:t>to</w:t>
      </w:r>
      <w:r>
        <w:rPr>
          <w:spacing w:val="-36"/>
        </w:rPr>
        <w:t> </w:t>
      </w:r>
      <w:r>
        <w:rPr/>
        <w:t>the</w:t>
      </w:r>
      <w:r>
        <w:rPr>
          <w:spacing w:val="-35"/>
        </w:rPr>
        <w:t> </w:t>
      </w:r>
      <w:r>
        <w:rPr/>
        <w:t>production</w:t>
      </w:r>
      <w:r>
        <w:rPr>
          <w:spacing w:val="-25"/>
        </w:rPr>
        <w:t> </w:t>
      </w:r>
      <w:r>
        <w:rPr/>
        <w:t>of the</w:t>
      </w:r>
      <w:r>
        <w:rPr>
          <w:spacing w:val="-42"/>
        </w:rPr>
        <w:t> </w:t>
      </w:r>
      <w:r>
        <w:rPr/>
        <w:t>initial</w:t>
      </w:r>
      <w:r>
        <w:rPr>
          <w:spacing w:val="-32"/>
        </w:rPr>
        <w:t> </w:t>
      </w:r>
      <w:r>
        <w:rPr/>
        <w:t>LFRMS</w:t>
      </w:r>
      <w:r>
        <w:rPr>
          <w:spacing w:val="-36"/>
        </w:rPr>
        <w:t> </w:t>
      </w:r>
      <w:r>
        <w:rPr/>
        <w:t>in</w:t>
      </w:r>
      <w:r>
        <w:rPr>
          <w:spacing w:val="-38"/>
        </w:rPr>
        <w:t> </w:t>
      </w:r>
      <w:r>
        <w:rPr/>
        <w:t>accordance</w:t>
      </w:r>
      <w:r>
        <w:rPr>
          <w:spacing w:val="-33"/>
        </w:rPr>
        <w:t> </w:t>
      </w:r>
      <w:r>
        <w:rPr/>
        <w:t>with</w:t>
      </w:r>
      <w:r>
        <w:rPr>
          <w:spacing w:val="-38"/>
        </w:rPr>
        <w:t> </w:t>
      </w:r>
      <w:r>
        <w:rPr/>
        <w:t>these</w:t>
      </w:r>
      <w:r>
        <w:rPr>
          <w:spacing w:val="-35"/>
        </w:rPr>
        <w:t> </w:t>
      </w:r>
      <w:r>
        <w:rPr/>
        <w:t>regulations.</w:t>
      </w:r>
      <w:r>
        <w:rPr>
          <w:spacing w:val="-33"/>
        </w:rPr>
        <w:t> </w:t>
      </w:r>
      <w:r>
        <w:rPr/>
        <w:t>This</w:t>
      </w:r>
      <w:r>
        <w:rPr>
          <w:spacing w:val="-40"/>
        </w:rPr>
        <w:t> </w:t>
      </w:r>
      <w:r>
        <w:rPr/>
        <w:t>used</w:t>
      </w:r>
      <w:r>
        <w:rPr>
          <w:spacing w:val="-39"/>
        </w:rPr>
        <w:t> </w:t>
      </w:r>
      <w:r>
        <w:rPr/>
        <w:t>the</w:t>
      </w:r>
      <w:r>
        <w:rPr>
          <w:spacing w:val="-38"/>
        </w:rPr>
        <w:t> </w:t>
      </w:r>
      <w:r>
        <w:rPr/>
        <w:t>Leeds</w:t>
      </w:r>
      <w:r>
        <w:rPr>
          <w:spacing w:val="-37"/>
        </w:rPr>
        <w:t> </w:t>
      </w:r>
      <w:r>
        <w:rPr/>
        <w:t>Sustainability</w:t>
      </w:r>
      <w:r>
        <w:rPr>
          <w:spacing w:val="-39"/>
        </w:rPr>
        <w:t> </w:t>
      </w:r>
      <w:r>
        <w:rPr/>
        <w:t>Appraisal Framework</w:t>
      </w:r>
      <w:r>
        <w:rPr>
          <w:spacing w:val="-15"/>
        </w:rPr>
        <w:t> </w:t>
      </w:r>
      <w:r>
        <w:rPr/>
        <w:t>to</w:t>
      </w:r>
      <w:r>
        <w:rPr>
          <w:spacing w:val="-22"/>
        </w:rPr>
        <w:t> </w:t>
      </w:r>
      <w:r>
        <w:rPr/>
        <w:t>appraise</w:t>
      </w:r>
      <w:r>
        <w:rPr>
          <w:spacing w:val="-26"/>
        </w:rPr>
        <w:t> </w:t>
      </w:r>
      <w:r>
        <w:rPr/>
        <w:t>the</w:t>
      </w:r>
      <w:r>
        <w:rPr>
          <w:spacing w:val="-26"/>
        </w:rPr>
        <w:t> </w:t>
      </w:r>
      <w:r>
        <w:rPr/>
        <w:t>LFRMS,</w:t>
      </w:r>
      <w:r>
        <w:rPr>
          <w:spacing w:val="-16"/>
        </w:rPr>
        <w:t> </w:t>
      </w:r>
      <w:r>
        <w:rPr/>
        <w:t>with</w:t>
      </w:r>
      <w:r>
        <w:rPr>
          <w:spacing w:val="-25"/>
        </w:rPr>
        <w:t> </w:t>
      </w:r>
      <w:r>
        <w:rPr/>
        <w:t>focus</w:t>
      </w:r>
      <w:r>
        <w:rPr>
          <w:spacing w:val="-23"/>
        </w:rPr>
        <w:t> </w:t>
      </w:r>
      <w:r>
        <w:rPr/>
        <w:t>on</w:t>
      </w:r>
      <w:r>
        <w:rPr>
          <w:spacing w:val="-29"/>
        </w:rPr>
        <w:t> </w:t>
      </w:r>
      <w:r>
        <w:rPr/>
        <w:t>the</w:t>
      </w:r>
      <w:r>
        <w:rPr>
          <w:spacing w:val="-30"/>
        </w:rPr>
        <w:t> </w:t>
      </w:r>
      <w:r>
        <w:rPr/>
        <w:t>‘Objectives</w:t>
      </w:r>
      <w:r>
        <w:rPr>
          <w:spacing w:val="-21"/>
        </w:rPr>
        <w:t> </w:t>
      </w:r>
      <w:r>
        <w:rPr/>
        <w:t>for</w:t>
      </w:r>
      <w:r>
        <w:rPr>
          <w:spacing w:val="-30"/>
        </w:rPr>
        <w:t> </w:t>
      </w:r>
      <w:r>
        <w:rPr/>
        <w:t>managing</w:t>
      </w:r>
      <w:r>
        <w:rPr>
          <w:spacing w:val="-18"/>
        </w:rPr>
        <w:t> </w:t>
      </w:r>
      <w:r>
        <w:rPr/>
        <w:t>flood</w:t>
      </w:r>
      <w:r>
        <w:rPr>
          <w:spacing w:val="-27"/>
        </w:rPr>
        <w:t> </w:t>
      </w:r>
      <w:r>
        <w:rPr/>
        <w:t>risk’</w:t>
      </w:r>
      <w:r>
        <w:rPr>
          <w:spacing w:val="-26"/>
        </w:rPr>
        <w:t> </w:t>
      </w:r>
      <w:r>
        <w:rPr/>
        <w:t>that</w:t>
      </w:r>
      <w:r>
        <w:rPr>
          <w:spacing w:val="-23"/>
        </w:rPr>
        <w:t> </w:t>
      </w:r>
      <w:r>
        <w:rPr/>
        <w:t>are defined in Section 6 of the strategy and the associated ‘List of Measures’ in Appendix C. This framework</w:t>
      </w:r>
      <w:r>
        <w:rPr>
          <w:spacing w:val="-26"/>
        </w:rPr>
        <w:t> </w:t>
      </w:r>
      <w:r>
        <w:rPr/>
        <w:t>promotes</w:t>
      </w:r>
      <w:r>
        <w:rPr>
          <w:spacing w:val="-29"/>
        </w:rPr>
        <w:t> </w:t>
      </w:r>
      <w:r>
        <w:rPr/>
        <w:t>sustainable</w:t>
      </w:r>
      <w:r>
        <w:rPr>
          <w:spacing w:val="-24"/>
        </w:rPr>
        <w:t> </w:t>
      </w:r>
      <w:r>
        <w:rPr/>
        <w:t>development:</w:t>
      </w:r>
      <w:r>
        <w:rPr>
          <w:spacing w:val="-18"/>
        </w:rPr>
        <w:t> </w:t>
      </w:r>
      <w:r>
        <w:rPr/>
        <w:t>development</w:t>
      </w:r>
      <w:r>
        <w:rPr>
          <w:spacing w:val="-21"/>
        </w:rPr>
        <w:t> </w:t>
      </w:r>
      <w:r>
        <w:rPr/>
        <w:t>that</w:t>
      </w:r>
      <w:r>
        <w:rPr>
          <w:spacing w:val="-33"/>
        </w:rPr>
        <w:t> </w:t>
      </w:r>
      <w:r>
        <w:rPr/>
        <w:t>‘meets</w:t>
      </w:r>
      <w:r>
        <w:rPr>
          <w:spacing w:val="-32"/>
        </w:rPr>
        <w:t> </w:t>
      </w:r>
      <w:r>
        <w:rPr/>
        <w:t>the</w:t>
      </w:r>
      <w:r>
        <w:rPr>
          <w:spacing w:val="-37"/>
        </w:rPr>
        <w:t> </w:t>
      </w:r>
      <w:r>
        <w:rPr/>
        <w:t>needs</w:t>
      </w:r>
      <w:r>
        <w:rPr>
          <w:spacing w:val="-29"/>
        </w:rPr>
        <w:t> </w:t>
      </w:r>
      <w:r>
        <w:rPr/>
        <w:t>of</w:t>
      </w:r>
      <w:r>
        <w:rPr>
          <w:spacing w:val="-35"/>
        </w:rPr>
        <w:t> </w:t>
      </w:r>
      <w:r>
        <w:rPr/>
        <w:t>the</w:t>
      </w:r>
      <w:r>
        <w:rPr>
          <w:spacing w:val="-36"/>
        </w:rPr>
        <w:t> </w:t>
      </w:r>
      <w:r>
        <w:rPr/>
        <w:t>present without compromising the ability of future generations to meet their own needs’ (Brundtland Commission,</w:t>
      </w:r>
      <w:r>
        <w:rPr>
          <w:spacing w:val="37"/>
        </w:rPr>
        <w:t> </w:t>
      </w:r>
      <w:r>
        <w:rPr/>
        <w:t>1987).</w:t>
      </w:r>
    </w:p>
    <w:p>
      <w:pPr>
        <w:spacing w:after="0" w:line="264" w:lineRule="auto"/>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line="264" w:lineRule="auto" w:before="92"/>
        <w:ind w:left="1021" w:hanging="1"/>
      </w:pPr>
      <w:r>
        <w:rPr/>
        <w:pict>
          <v:group style="position:absolute;margin-left:123.349602pt;margin-top:-50.127747pt;width:5.3pt;height:35.050pt;mso-position-horizontal-relative:page;mso-position-vertical-relative:paragraph;z-index:1840" coordorigin="2467,-1003" coordsize="106,701">
            <v:shape style="position:absolute;left:2467;top:-1003;width:106;height:48" type="#_x0000_t75" stroked="false">
              <v:imagedata r:id="rId14" o:title=""/>
            </v:shape>
            <v:shape style="position:absolute;left:2486;top:-341;width:87;height:39" type="#_x0000_t75" stroked="false">
              <v:imagedata r:id="rId15" o:title=""/>
            </v:shape>
            <v:line style="position:absolute" from="2515,-1003" to="2515,-311" stroked="true" strokeweight="4.799592pt" strokecolor="#ff6477">
              <v:stroke dashstyle="solid"/>
            </v:line>
            <w10:wrap type="none"/>
          </v:group>
        </w:pict>
      </w:r>
      <w:bookmarkStart w:name="Leeds LFRMS 2018 Update_Page_15" w:id="17"/>
      <w:bookmarkEnd w:id="17"/>
      <w:r>
        <w:rPr/>
      </w:r>
      <w:r>
        <w:rPr/>
        <w:t>For the purpose of this update the LFRMS objectives and the objectives of the sustainability appraisal</w:t>
      </w:r>
      <w:r>
        <w:rPr>
          <w:spacing w:val="-34"/>
        </w:rPr>
        <w:t> </w:t>
      </w:r>
      <w:r>
        <w:rPr/>
        <w:t>framework</w:t>
      </w:r>
      <w:r>
        <w:rPr>
          <w:spacing w:val="-29"/>
        </w:rPr>
        <w:t> </w:t>
      </w:r>
      <w:r>
        <w:rPr/>
        <w:t>are</w:t>
      </w:r>
      <w:r>
        <w:rPr>
          <w:spacing w:val="-41"/>
        </w:rPr>
        <w:t> </w:t>
      </w:r>
      <w:r>
        <w:rPr/>
        <w:t>unchanged.</w:t>
      </w:r>
      <w:r>
        <w:rPr>
          <w:spacing w:val="-31"/>
        </w:rPr>
        <w:t> </w:t>
      </w:r>
      <w:r>
        <w:rPr/>
        <w:t>Hence</w:t>
      </w:r>
      <w:r>
        <w:rPr>
          <w:spacing w:val="-40"/>
        </w:rPr>
        <w:t> </w:t>
      </w:r>
      <w:r>
        <w:rPr/>
        <w:t>it</w:t>
      </w:r>
      <w:r>
        <w:rPr>
          <w:spacing w:val="-37"/>
        </w:rPr>
        <w:t> </w:t>
      </w:r>
      <w:r>
        <w:rPr/>
        <w:t>considered</w:t>
      </w:r>
      <w:r>
        <w:rPr>
          <w:spacing w:val="-33"/>
        </w:rPr>
        <w:t> </w:t>
      </w:r>
      <w:r>
        <w:rPr/>
        <w:t>that</w:t>
      </w:r>
      <w:r>
        <w:rPr>
          <w:spacing w:val="-37"/>
        </w:rPr>
        <w:t> </w:t>
      </w:r>
      <w:r>
        <w:rPr/>
        <w:t>the</w:t>
      </w:r>
      <w:r>
        <w:rPr>
          <w:spacing w:val="-38"/>
        </w:rPr>
        <w:t> </w:t>
      </w:r>
      <w:r>
        <w:rPr/>
        <w:t>earlier</w:t>
      </w:r>
      <w:r>
        <w:rPr>
          <w:spacing w:val="-35"/>
        </w:rPr>
        <w:t> </w:t>
      </w:r>
      <w:r>
        <w:rPr/>
        <w:t>SEA</w:t>
      </w:r>
      <w:r>
        <w:rPr>
          <w:spacing w:val="-40"/>
        </w:rPr>
        <w:t> </w:t>
      </w:r>
      <w:r>
        <w:rPr/>
        <w:t>remains</w:t>
      </w:r>
      <w:r>
        <w:rPr>
          <w:spacing w:val="-38"/>
        </w:rPr>
        <w:t> </w:t>
      </w:r>
      <w:r>
        <w:rPr/>
        <w:t>current.</w:t>
      </w:r>
      <w:r>
        <w:rPr>
          <w:spacing w:val="-30"/>
        </w:rPr>
        <w:t> </w:t>
      </w:r>
      <w:r>
        <w:rPr/>
        <w:t>The appraisal undertaken confirmed that the LFRMS provides greater clarity and focus on the environment,</w:t>
      </w:r>
      <w:r>
        <w:rPr>
          <w:spacing w:val="-5"/>
        </w:rPr>
        <w:t> </w:t>
      </w:r>
      <w:r>
        <w:rPr/>
        <w:t>education,</w:t>
      </w:r>
      <w:r>
        <w:rPr>
          <w:spacing w:val="-12"/>
        </w:rPr>
        <w:t> </w:t>
      </w:r>
      <w:r>
        <w:rPr/>
        <w:t>cooperation,</w:t>
      </w:r>
      <w:r>
        <w:rPr>
          <w:spacing w:val="-22"/>
        </w:rPr>
        <w:t> </w:t>
      </w:r>
      <w:r>
        <w:rPr/>
        <w:t>the</w:t>
      </w:r>
      <w:r>
        <w:rPr>
          <w:spacing w:val="-24"/>
        </w:rPr>
        <w:t> </w:t>
      </w:r>
      <w:r>
        <w:rPr/>
        <w:t>economy,</w:t>
      </w:r>
      <w:r>
        <w:rPr>
          <w:spacing w:val="-14"/>
        </w:rPr>
        <w:t> </w:t>
      </w:r>
      <w:r>
        <w:rPr/>
        <w:t>health</w:t>
      </w:r>
      <w:r>
        <w:rPr>
          <w:spacing w:val="-18"/>
        </w:rPr>
        <w:t> </w:t>
      </w:r>
      <w:r>
        <w:rPr/>
        <w:t>and</w:t>
      </w:r>
      <w:r>
        <w:rPr>
          <w:spacing w:val="-21"/>
        </w:rPr>
        <w:t> </w:t>
      </w:r>
      <w:r>
        <w:rPr/>
        <w:t>equality</w:t>
      </w:r>
      <w:r>
        <w:rPr>
          <w:spacing w:val="-16"/>
        </w:rPr>
        <w:t> </w:t>
      </w:r>
      <w:r>
        <w:rPr/>
        <w:t>and</w:t>
      </w:r>
      <w:r>
        <w:rPr>
          <w:spacing w:val="-24"/>
        </w:rPr>
        <w:t> </w:t>
      </w:r>
      <w:r>
        <w:rPr/>
        <w:t>climate</w:t>
      </w:r>
      <w:r>
        <w:rPr>
          <w:spacing w:val="-19"/>
        </w:rPr>
        <w:t> </w:t>
      </w:r>
      <w:r>
        <w:rPr/>
        <w:t>change.</w:t>
      </w:r>
    </w:p>
    <w:p>
      <w:pPr>
        <w:pStyle w:val="BodyText"/>
        <w:spacing w:line="261" w:lineRule="auto" w:before="123"/>
        <w:ind w:left="1023" w:right="212" w:firstLine="1"/>
      </w:pPr>
      <w:r>
        <w:rPr/>
        <w:t>The</w:t>
      </w:r>
      <w:r>
        <w:rPr>
          <w:spacing w:val="-39"/>
        </w:rPr>
        <w:t> </w:t>
      </w:r>
      <w:r>
        <w:rPr/>
        <w:t>SEA</w:t>
      </w:r>
      <w:r>
        <w:rPr>
          <w:spacing w:val="-36"/>
        </w:rPr>
        <w:t> </w:t>
      </w:r>
      <w:r>
        <w:rPr/>
        <w:t>process</w:t>
      </w:r>
      <w:r>
        <w:rPr>
          <w:spacing w:val="-34"/>
        </w:rPr>
        <w:t> </w:t>
      </w:r>
      <w:r>
        <w:rPr/>
        <w:t>established</w:t>
      </w:r>
      <w:r>
        <w:rPr>
          <w:spacing w:val="-28"/>
        </w:rPr>
        <w:t> </w:t>
      </w:r>
      <w:r>
        <w:rPr/>
        <w:t>eight</w:t>
      </w:r>
      <w:r>
        <w:rPr>
          <w:spacing w:val="-40"/>
        </w:rPr>
        <w:t> </w:t>
      </w:r>
      <w:r>
        <w:rPr/>
        <w:t>monitoring</w:t>
      </w:r>
      <w:r>
        <w:rPr>
          <w:spacing w:val="-35"/>
        </w:rPr>
        <w:t> </w:t>
      </w:r>
      <w:r>
        <w:rPr/>
        <w:t>indicators</w:t>
      </w:r>
      <w:r>
        <w:rPr>
          <w:spacing w:val="-36"/>
        </w:rPr>
        <w:t> </w:t>
      </w:r>
      <w:r>
        <w:rPr/>
        <w:t>to</w:t>
      </w:r>
      <w:r>
        <w:rPr>
          <w:spacing w:val="-38"/>
        </w:rPr>
        <w:t> </w:t>
      </w:r>
      <w:r>
        <w:rPr/>
        <w:t>assess</w:t>
      </w:r>
      <w:r>
        <w:rPr>
          <w:spacing w:val="-40"/>
        </w:rPr>
        <w:t> </w:t>
      </w:r>
      <w:r>
        <w:rPr/>
        <w:t>the</w:t>
      </w:r>
      <w:r>
        <w:rPr>
          <w:spacing w:val="-37"/>
        </w:rPr>
        <w:t> </w:t>
      </w:r>
      <w:r>
        <w:rPr/>
        <w:t>implementation</w:t>
      </w:r>
      <w:r>
        <w:rPr>
          <w:spacing w:val="-38"/>
        </w:rPr>
        <w:t> </w:t>
      </w:r>
      <w:r>
        <w:rPr/>
        <w:t>of</w:t>
      </w:r>
      <w:r>
        <w:rPr>
          <w:spacing w:val="-40"/>
        </w:rPr>
        <w:t> </w:t>
      </w:r>
      <w:r>
        <w:rPr/>
        <w:t>the LFRMS;</w:t>
      </w:r>
      <w:r>
        <w:rPr>
          <w:spacing w:val="-15"/>
        </w:rPr>
        <w:t> </w:t>
      </w:r>
      <w:r>
        <w:rPr/>
        <w:t>these</w:t>
      </w:r>
      <w:r>
        <w:rPr>
          <w:spacing w:val="-15"/>
        </w:rPr>
        <w:t> </w:t>
      </w:r>
      <w:r>
        <w:rPr/>
        <w:t>are</w:t>
      </w:r>
      <w:r>
        <w:rPr>
          <w:spacing w:val="-25"/>
        </w:rPr>
        <w:t> </w:t>
      </w:r>
      <w:r>
        <w:rPr/>
        <w:t>presented</w:t>
      </w:r>
      <w:r>
        <w:rPr>
          <w:spacing w:val="-12"/>
        </w:rPr>
        <w:t> </w:t>
      </w:r>
      <w:r>
        <w:rPr/>
        <w:t>in</w:t>
      </w:r>
      <w:r>
        <w:rPr>
          <w:spacing w:val="-19"/>
        </w:rPr>
        <w:t> </w:t>
      </w:r>
      <w:r>
        <w:rPr/>
        <w:t>Section</w:t>
      </w:r>
      <w:r>
        <w:rPr>
          <w:spacing w:val="-10"/>
        </w:rPr>
        <w:t> </w:t>
      </w:r>
      <w:r>
        <w:rPr/>
        <w:t>8.</w:t>
      </w:r>
      <w:r>
        <w:rPr>
          <w:spacing w:val="-18"/>
        </w:rPr>
        <w:t> </w:t>
      </w:r>
      <w:r>
        <w:rPr/>
        <w:t>The</w:t>
      </w:r>
      <w:r>
        <w:rPr>
          <w:spacing w:val="-20"/>
        </w:rPr>
        <w:t> </w:t>
      </w:r>
      <w:r>
        <w:rPr/>
        <w:t>SEA</w:t>
      </w:r>
      <w:r>
        <w:rPr>
          <w:spacing w:val="-16"/>
        </w:rPr>
        <w:t> </w:t>
      </w:r>
      <w:r>
        <w:rPr/>
        <w:t>Report</w:t>
      </w:r>
      <w:r>
        <w:rPr>
          <w:spacing w:val="-15"/>
        </w:rPr>
        <w:t> </w:t>
      </w:r>
      <w:r>
        <w:rPr/>
        <w:t>is</w:t>
      </w:r>
      <w:r>
        <w:rPr>
          <w:spacing w:val="-25"/>
        </w:rPr>
        <w:t> </w:t>
      </w:r>
      <w:r>
        <w:rPr/>
        <w:t>included</w:t>
      </w:r>
      <w:r>
        <w:rPr>
          <w:spacing w:val="-12"/>
        </w:rPr>
        <w:t> </w:t>
      </w:r>
      <w:r>
        <w:rPr/>
        <w:t>in</w:t>
      </w:r>
      <w:r>
        <w:rPr>
          <w:spacing w:val="-11"/>
        </w:rPr>
        <w:t> </w:t>
      </w:r>
      <w:r>
        <w:rPr/>
        <w:t>Appendix</w:t>
      </w:r>
      <w:r>
        <w:rPr>
          <w:spacing w:val="-1"/>
        </w:rPr>
        <w:t> </w:t>
      </w:r>
      <w:r>
        <w:rPr/>
        <w:t>B.</w:t>
      </w:r>
    </w:p>
    <w:p>
      <w:pPr>
        <w:pStyle w:val="ListParagraph"/>
        <w:numPr>
          <w:ilvl w:val="1"/>
          <w:numId w:val="4"/>
        </w:numPr>
        <w:tabs>
          <w:tab w:pos="1017" w:val="left" w:leader="none"/>
          <w:tab w:pos="1018" w:val="left" w:leader="none"/>
        </w:tabs>
        <w:spacing w:line="240" w:lineRule="auto" w:before="135" w:after="0"/>
        <w:ind w:left="1017" w:right="0" w:hanging="862"/>
        <w:jc w:val="left"/>
        <w:rPr>
          <w:sz w:val="28"/>
        </w:rPr>
      </w:pPr>
      <w:r>
        <w:rPr>
          <w:sz w:val="28"/>
        </w:rPr>
        <w:t>EQUALITY IMPACT</w:t>
      </w:r>
      <w:r>
        <w:rPr>
          <w:spacing w:val="-23"/>
          <w:sz w:val="28"/>
        </w:rPr>
        <w:t> </w:t>
      </w:r>
      <w:r>
        <w:rPr>
          <w:sz w:val="28"/>
        </w:rPr>
        <w:t>ASSESSMENT</w:t>
      </w:r>
    </w:p>
    <w:p>
      <w:pPr>
        <w:pStyle w:val="BodyText"/>
        <w:spacing w:line="261" w:lineRule="auto" w:before="157"/>
        <w:ind w:left="1016" w:right="212" w:firstLine="3"/>
      </w:pPr>
      <w:r>
        <w:rPr/>
        <w:t>Section</w:t>
      </w:r>
      <w:r>
        <w:rPr>
          <w:spacing w:val="-25"/>
        </w:rPr>
        <w:t> </w:t>
      </w:r>
      <w:r>
        <w:rPr/>
        <w:t>149</w:t>
      </w:r>
      <w:r>
        <w:rPr>
          <w:spacing w:val="-31"/>
        </w:rPr>
        <w:t> </w:t>
      </w:r>
      <w:r>
        <w:rPr/>
        <w:t>of</w:t>
      </w:r>
      <w:r>
        <w:rPr>
          <w:spacing w:val="-33"/>
        </w:rPr>
        <w:t> </w:t>
      </w:r>
      <w:r>
        <w:rPr/>
        <w:t>the</w:t>
      </w:r>
      <w:r>
        <w:rPr>
          <w:spacing w:val="-32"/>
        </w:rPr>
        <w:t> </w:t>
      </w:r>
      <w:r>
        <w:rPr/>
        <w:t>Equality</w:t>
      </w:r>
      <w:r>
        <w:rPr>
          <w:spacing w:val="-23"/>
        </w:rPr>
        <w:t> </w:t>
      </w:r>
      <w:r>
        <w:rPr/>
        <w:t>Act</w:t>
      </w:r>
      <w:r>
        <w:rPr>
          <w:spacing w:val="-28"/>
        </w:rPr>
        <w:t> </w:t>
      </w:r>
      <w:r>
        <w:rPr/>
        <w:t>2010</w:t>
      </w:r>
      <w:r>
        <w:rPr>
          <w:spacing w:val="-35"/>
        </w:rPr>
        <w:t> </w:t>
      </w:r>
      <w:r>
        <w:rPr/>
        <w:t>imposes</w:t>
      </w:r>
      <w:r>
        <w:rPr>
          <w:spacing w:val="-27"/>
        </w:rPr>
        <w:t> </w:t>
      </w:r>
      <w:r>
        <w:rPr/>
        <w:t>a</w:t>
      </w:r>
      <w:r>
        <w:rPr>
          <w:spacing w:val="-37"/>
        </w:rPr>
        <w:t> </w:t>
      </w:r>
      <w:r>
        <w:rPr/>
        <w:t>legal</w:t>
      </w:r>
      <w:r>
        <w:rPr>
          <w:spacing w:val="-23"/>
        </w:rPr>
        <w:t> </w:t>
      </w:r>
      <w:r>
        <w:rPr/>
        <w:t>duty,</w:t>
      </w:r>
      <w:r>
        <w:rPr>
          <w:spacing w:val="-30"/>
        </w:rPr>
        <w:t> </w:t>
      </w:r>
      <w:r>
        <w:rPr/>
        <w:t>known</w:t>
      </w:r>
      <w:r>
        <w:rPr>
          <w:spacing w:val="-27"/>
        </w:rPr>
        <w:t> </w:t>
      </w:r>
      <w:r>
        <w:rPr/>
        <w:t>as</w:t>
      </w:r>
      <w:r>
        <w:rPr>
          <w:spacing w:val="-35"/>
        </w:rPr>
        <w:t> </w:t>
      </w:r>
      <w:r>
        <w:rPr/>
        <w:t>the</w:t>
      </w:r>
      <w:r>
        <w:rPr>
          <w:spacing w:val="-32"/>
        </w:rPr>
        <w:t> </w:t>
      </w:r>
      <w:r>
        <w:rPr/>
        <w:t>Public-Sector</w:t>
      </w:r>
      <w:r>
        <w:rPr>
          <w:spacing w:val="-20"/>
        </w:rPr>
        <w:t> </w:t>
      </w:r>
      <w:r>
        <w:rPr/>
        <w:t>Duty (Equality Duty), on all public</w:t>
      </w:r>
      <w:r>
        <w:rPr>
          <w:spacing w:val="25"/>
        </w:rPr>
        <w:t> </w:t>
      </w:r>
      <w:r>
        <w:rPr/>
        <w:t>bodies.</w:t>
      </w:r>
    </w:p>
    <w:p>
      <w:pPr>
        <w:pStyle w:val="BodyText"/>
        <w:spacing w:before="124"/>
        <w:ind w:left="1024"/>
      </w:pPr>
      <w:r>
        <w:rPr/>
        <w:t>The Equality Duty requires a public authority, in the exercise of its functions, to:</w:t>
      </w:r>
    </w:p>
    <w:p>
      <w:pPr>
        <w:pStyle w:val="ListParagraph"/>
        <w:numPr>
          <w:ilvl w:val="2"/>
          <w:numId w:val="4"/>
        </w:numPr>
        <w:tabs>
          <w:tab w:pos="1442" w:val="left" w:leader="none"/>
        </w:tabs>
        <w:spacing w:line="261" w:lineRule="auto" w:before="148" w:after="0"/>
        <w:ind w:left="1440" w:right="802" w:hanging="269"/>
        <w:jc w:val="left"/>
        <w:rPr>
          <w:color w:val="DD4B26"/>
          <w:sz w:val="23"/>
        </w:rPr>
      </w:pPr>
      <w:r>
        <w:rPr>
          <w:sz w:val="23"/>
        </w:rPr>
        <w:t>Consider</w:t>
      </w:r>
      <w:r>
        <w:rPr>
          <w:spacing w:val="-38"/>
          <w:sz w:val="23"/>
        </w:rPr>
        <w:t> </w:t>
      </w:r>
      <w:r>
        <w:rPr>
          <w:sz w:val="23"/>
        </w:rPr>
        <w:t>the</w:t>
      </w:r>
      <w:r>
        <w:rPr>
          <w:spacing w:val="-42"/>
          <w:sz w:val="23"/>
        </w:rPr>
        <w:t> </w:t>
      </w:r>
      <w:r>
        <w:rPr>
          <w:sz w:val="23"/>
        </w:rPr>
        <w:t>need</w:t>
      </w:r>
      <w:r>
        <w:rPr>
          <w:spacing w:val="-40"/>
          <w:sz w:val="23"/>
        </w:rPr>
        <w:t> </w:t>
      </w:r>
      <w:r>
        <w:rPr>
          <w:sz w:val="23"/>
        </w:rPr>
        <w:t>to</w:t>
      </w:r>
      <w:r>
        <w:rPr>
          <w:spacing w:val="-40"/>
          <w:sz w:val="23"/>
        </w:rPr>
        <w:t> </w:t>
      </w:r>
      <w:r>
        <w:rPr>
          <w:sz w:val="23"/>
        </w:rPr>
        <w:t>eliminate</w:t>
      </w:r>
      <w:r>
        <w:rPr>
          <w:spacing w:val="-39"/>
          <w:sz w:val="23"/>
        </w:rPr>
        <w:t> </w:t>
      </w:r>
      <w:r>
        <w:rPr>
          <w:sz w:val="23"/>
        </w:rPr>
        <w:t>unlawful</w:t>
      </w:r>
      <w:r>
        <w:rPr>
          <w:spacing w:val="-35"/>
          <w:sz w:val="23"/>
        </w:rPr>
        <w:t> </w:t>
      </w:r>
      <w:r>
        <w:rPr>
          <w:sz w:val="23"/>
        </w:rPr>
        <w:t>(direct</w:t>
      </w:r>
      <w:r>
        <w:rPr>
          <w:spacing w:val="-35"/>
          <w:sz w:val="23"/>
        </w:rPr>
        <w:t> </w:t>
      </w:r>
      <w:r>
        <w:rPr>
          <w:sz w:val="23"/>
        </w:rPr>
        <w:t>or</w:t>
      </w:r>
      <w:r>
        <w:rPr>
          <w:spacing w:val="-43"/>
          <w:sz w:val="23"/>
        </w:rPr>
        <w:t> </w:t>
      </w:r>
      <w:r>
        <w:rPr>
          <w:sz w:val="23"/>
        </w:rPr>
        <w:t>indirect)</w:t>
      </w:r>
      <w:r>
        <w:rPr>
          <w:spacing w:val="-37"/>
          <w:sz w:val="23"/>
        </w:rPr>
        <w:t> </w:t>
      </w:r>
      <w:r>
        <w:rPr>
          <w:sz w:val="23"/>
        </w:rPr>
        <w:t>discrimination,</w:t>
      </w:r>
      <w:r>
        <w:rPr>
          <w:spacing w:val="-40"/>
          <w:sz w:val="23"/>
        </w:rPr>
        <w:t> </w:t>
      </w:r>
      <w:r>
        <w:rPr>
          <w:sz w:val="23"/>
        </w:rPr>
        <w:t>harassment</w:t>
      </w:r>
      <w:r>
        <w:rPr>
          <w:spacing w:val="-32"/>
          <w:sz w:val="23"/>
        </w:rPr>
        <w:t> </w:t>
      </w:r>
      <w:r>
        <w:rPr>
          <w:sz w:val="23"/>
        </w:rPr>
        <w:t>and victimisation and other conduct prohibited by the Equality Act</w:t>
      </w:r>
      <w:r>
        <w:rPr>
          <w:spacing w:val="-4"/>
          <w:sz w:val="23"/>
        </w:rPr>
        <w:t> </w:t>
      </w:r>
      <w:r>
        <w:rPr>
          <w:sz w:val="23"/>
        </w:rPr>
        <w:t>2010;</w:t>
      </w:r>
    </w:p>
    <w:p>
      <w:pPr>
        <w:pStyle w:val="ListParagraph"/>
        <w:numPr>
          <w:ilvl w:val="2"/>
          <w:numId w:val="4"/>
        </w:numPr>
        <w:tabs>
          <w:tab w:pos="1444" w:val="left" w:leader="none"/>
        </w:tabs>
        <w:spacing w:line="271" w:lineRule="auto" w:before="0" w:after="0"/>
        <w:ind w:left="1442" w:right="229" w:hanging="271"/>
        <w:jc w:val="left"/>
        <w:rPr>
          <w:color w:val="FF2626"/>
          <w:sz w:val="23"/>
        </w:rPr>
      </w:pPr>
      <w:r>
        <w:rPr>
          <w:sz w:val="23"/>
        </w:rPr>
        <w:t>Advance</w:t>
      </w:r>
      <w:r>
        <w:rPr>
          <w:spacing w:val="-34"/>
          <w:sz w:val="23"/>
        </w:rPr>
        <w:t> </w:t>
      </w:r>
      <w:r>
        <w:rPr>
          <w:sz w:val="23"/>
        </w:rPr>
        <w:t>equality</w:t>
      </w:r>
      <w:r>
        <w:rPr>
          <w:spacing w:val="-35"/>
          <w:sz w:val="23"/>
        </w:rPr>
        <w:t> </w:t>
      </w:r>
      <w:r>
        <w:rPr>
          <w:sz w:val="23"/>
        </w:rPr>
        <w:t>of</w:t>
      </w:r>
      <w:r>
        <w:rPr>
          <w:spacing w:val="-38"/>
          <w:sz w:val="23"/>
        </w:rPr>
        <w:t> </w:t>
      </w:r>
      <w:r>
        <w:rPr>
          <w:sz w:val="23"/>
        </w:rPr>
        <w:t>opportunity</w:t>
      </w:r>
      <w:r>
        <w:rPr>
          <w:spacing w:val="-32"/>
          <w:sz w:val="23"/>
        </w:rPr>
        <w:t> </w:t>
      </w:r>
      <w:r>
        <w:rPr>
          <w:sz w:val="23"/>
        </w:rPr>
        <w:t>between</w:t>
      </w:r>
      <w:r>
        <w:rPr>
          <w:spacing w:val="-34"/>
          <w:sz w:val="23"/>
        </w:rPr>
        <w:t> </w:t>
      </w:r>
      <w:r>
        <w:rPr>
          <w:sz w:val="23"/>
        </w:rPr>
        <w:t>people</w:t>
      </w:r>
      <w:r>
        <w:rPr>
          <w:spacing w:val="-38"/>
          <w:sz w:val="23"/>
        </w:rPr>
        <w:t> </w:t>
      </w:r>
      <w:r>
        <w:rPr>
          <w:sz w:val="23"/>
        </w:rPr>
        <w:t>who</w:t>
      </w:r>
      <w:r>
        <w:rPr>
          <w:spacing w:val="-38"/>
          <w:sz w:val="23"/>
        </w:rPr>
        <w:t> </w:t>
      </w:r>
      <w:r>
        <w:rPr>
          <w:sz w:val="23"/>
        </w:rPr>
        <w:t>share</w:t>
      </w:r>
      <w:r>
        <w:rPr>
          <w:spacing w:val="-38"/>
          <w:sz w:val="23"/>
        </w:rPr>
        <w:t> </w:t>
      </w:r>
      <w:r>
        <w:rPr>
          <w:sz w:val="23"/>
        </w:rPr>
        <w:t>a</w:t>
      </w:r>
      <w:r>
        <w:rPr>
          <w:spacing w:val="-43"/>
          <w:sz w:val="23"/>
        </w:rPr>
        <w:t> </w:t>
      </w:r>
      <w:r>
        <w:rPr>
          <w:sz w:val="23"/>
        </w:rPr>
        <w:t>protected</w:t>
      </w:r>
      <w:r>
        <w:rPr>
          <w:spacing w:val="-34"/>
          <w:sz w:val="23"/>
        </w:rPr>
        <w:t> </w:t>
      </w:r>
      <w:r>
        <w:rPr>
          <w:sz w:val="23"/>
        </w:rPr>
        <w:t>characteristic</w:t>
      </w:r>
      <w:r>
        <w:rPr>
          <w:spacing w:val="-44"/>
          <w:sz w:val="23"/>
        </w:rPr>
        <w:t> </w:t>
      </w:r>
      <w:r>
        <w:rPr>
          <w:sz w:val="23"/>
        </w:rPr>
        <w:t>and</w:t>
      </w:r>
      <w:r>
        <w:rPr>
          <w:spacing w:val="-40"/>
          <w:sz w:val="23"/>
        </w:rPr>
        <w:t> </w:t>
      </w:r>
      <w:r>
        <w:rPr>
          <w:sz w:val="23"/>
        </w:rPr>
        <w:t>those who do not share it;</w:t>
      </w:r>
      <w:r>
        <w:rPr>
          <w:spacing w:val="3"/>
          <w:sz w:val="23"/>
        </w:rPr>
        <w:t> </w:t>
      </w:r>
      <w:r>
        <w:rPr>
          <w:sz w:val="23"/>
        </w:rPr>
        <w:t>and</w:t>
      </w:r>
    </w:p>
    <w:p>
      <w:pPr>
        <w:pStyle w:val="ListParagraph"/>
        <w:numPr>
          <w:ilvl w:val="2"/>
          <w:numId w:val="4"/>
        </w:numPr>
        <w:tabs>
          <w:tab w:pos="1444" w:val="left" w:leader="none"/>
        </w:tabs>
        <w:spacing w:line="261" w:lineRule="auto" w:before="0" w:after="0"/>
        <w:ind w:left="1445" w:right="711" w:hanging="274"/>
        <w:jc w:val="left"/>
        <w:rPr>
          <w:color w:val="FF2F2A"/>
          <w:sz w:val="23"/>
        </w:rPr>
      </w:pPr>
      <w:r>
        <w:rPr>
          <w:sz w:val="23"/>
        </w:rPr>
        <w:t>Foster</w:t>
      </w:r>
      <w:r>
        <w:rPr>
          <w:spacing w:val="-29"/>
          <w:sz w:val="23"/>
        </w:rPr>
        <w:t> </w:t>
      </w:r>
      <w:r>
        <w:rPr>
          <w:sz w:val="23"/>
        </w:rPr>
        <w:t>good</w:t>
      </w:r>
      <w:r>
        <w:rPr>
          <w:spacing w:val="-35"/>
          <w:sz w:val="23"/>
        </w:rPr>
        <w:t> </w:t>
      </w:r>
      <w:r>
        <w:rPr>
          <w:sz w:val="23"/>
        </w:rPr>
        <w:t>relations</w:t>
      </w:r>
      <w:r>
        <w:rPr>
          <w:spacing w:val="-32"/>
          <w:sz w:val="23"/>
        </w:rPr>
        <w:t> </w:t>
      </w:r>
      <w:r>
        <w:rPr>
          <w:sz w:val="23"/>
        </w:rPr>
        <w:t>between</w:t>
      </w:r>
      <w:r>
        <w:rPr>
          <w:spacing w:val="-30"/>
          <w:sz w:val="23"/>
        </w:rPr>
        <w:t> </w:t>
      </w:r>
      <w:r>
        <w:rPr>
          <w:sz w:val="23"/>
        </w:rPr>
        <w:t>people</w:t>
      </w:r>
      <w:r>
        <w:rPr>
          <w:spacing w:val="-32"/>
          <w:sz w:val="23"/>
        </w:rPr>
        <w:t> </w:t>
      </w:r>
      <w:r>
        <w:rPr>
          <w:sz w:val="23"/>
        </w:rPr>
        <w:t>with</w:t>
      </w:r>
      <w:r>
        <w:rPr>
          <w:spacing w:val="-30"/>
          <w:sz w:val="23"/>
        </w:rPr>
        <w:t> </w:t>
      </w:r>
      <w:r>
        <w:rPr>
          <w:sz w:val="23"/>
        </w:rPr>
        <w:t>a</w:t>
      </w:r>
      <w:r>
        <w:rPr>
          <w:spacing w:val="-38"/>
          <w:sz w:val="23"/>
        </w:rPr>
        <w:t> </w:t>
      </w:r>
      <w:r>
        <w:rPr>
          <w:sz w:val="23"/>
        </w:rPr>
        <w:t>protected</w:t>
      </w:r>
      <w:r>
        <w:rPr>
          <w:spacing w:val="-26"/>
          <w:sz w:val="23"/>
        </w:rPr>
        <w:t> </w:t>
      </w:r>
      <w:r>
        <w:rPr>
          <w:sz w:val="23"/>
        </w:rPr>
        <w:t>characteristic</w:t>
      </w:r>
      <w:r>
        <w:rPr>
          <w:spacing w:val="-35"/>
          <w:sz w:val="23"/>
        </w:rPr>
        <w:t> </w:t>
      </w:r>
      <w:r>
        <w:rPr>
          <w:sz w:val="23"/>
        </w:rPr>
        <w:t>and</w:t>
      </w:r>
      <w:r>
        <w:rPr>
          <w:spacing w:val="-35"/>
          <w:sz w:val="23"/>
        </w:rPr>
        <w:t> </w:t>
      </w:r>
      <w:r>
        <w:rPr>
          <w:sz w:val="23"/>
        </w:rPr>
        <w:t>those</w:t>
      </w:r>
      <w:r>
        <w:rPr>
          <w:spacing w:val="-33"/>
          <w:sz w:val="23"/>
        </w:rPr>
        <w:t> </w:t>
      </w:r>
      <w:r>
        <w:rPr>
          <w:sz w:val="23"/>
        </w:rPr>
        <w:t>who</w:t>
      </w:r>
      <w:r>
        <w:rPr>
          <w:spacing w:val="-31"/>
          <w:sz w:val="23"/>
        </w:rPr>
        <w:t> </w:t>
      </w:r>
      <w:r>
        <w:rPr>
          <w:sz w:val="23"/>
        </w:rPr>
        <w:t>do</w:t>
      </w:r>
      <w:r>
        <w:rPr>
          <w:spacing w:val="-37"/>
          <w:sz w:val="23"/>
        </w:rPr>
        <w:t> </w:t>
      </w:r>
      <w:r>
        <w:rPr>
          <w:sz w:val="23"/>
        </w:rPr>
        <w:t>not share it.</w:t>
      </w:r>
    </w:p>
    <w:p>
      <w:pPr>
        <w:pStyle w:val="BodyText"/>
        <w:spacing w:before="8"/>
        <w:rPr>
          <w:sz w:val="24"/>
        </w:rPr>
      </w:pPr>
    </w:p>
    <w:p>
      <w:pPr>
        <w:pStyle w:val="BodyText"/>
        <w:spacing w:line="266" w:lineRule="auto"/>
        <w:ind w:left="1015" w:firstLine="5"/>
      </w:pPr>
      <w:r>
        <w:rPr/>
        <w:t>A</w:t>
      </w:r>
      <w:r>
        <w:rPr>
          <w:spacing w:val="-32"/>
        </w:rPr>
        <w:t> </w:t>
      </w:r>
      <w:r>
        <w:rPr/>
        <w:t>screening</w:t>
      </w:r>
      <w:r>
        <w:rPr>
          <w:spacing w:val="-29"/>
        </w:rPr>
        <w:t> </w:t>
      </w:r>
      <w:r>
        <w:rPr/>
        <w:t>exercise</w:t>
      </w:r>
      <w:r>
        <w:rPr>
          <w:spacing w:val="-30"/>
        </w:rPr>
        <w:t> </w:t>
      </w:r>
      <w:r>
        <w:rPr/>
        <w:t>was</w:t>
      </w:r>
      <w:r>
        <w:rPr>
          <w:spacing w:val="-34"/>
        </w:rPr>
        <w:t> </w:t>
      </w:r>
      <w:r>
        <w:rPr/>
        <w:t>carried</w:t>
      </w:r>
      <w:r>
        <w:rPr>
          <w:spacing w:val="-28"/>
        </w:rPr>
        <w:t> </w:t>
      </w:r>
      <w:r>
        <w:rPr/>
        <w:t>out</w:t>
      </w:r>
      <w:r>
        <w:rPr>
          <w:spacing w:val="-36"/>
        </w:rPr>
        <w:t> </w:t>
      </w:r>
      <w:r>
        <w:rPr/>
        <w:t>into</w:t>
      </w:r>
      <w:r>
        <w:rPr>
          <w:spacing w:val="-36"/>
        </w:rPr>
        <w:t> </w:t>
      </w:r>
      <w:r>
        <w:rPr/>
        <w:t>the</w:t>
      </w:r>
      <w:r>
        <w:rPr>
          <w:spacing w:val="-33"/>
        </w:rPr>
        <w:t> </w:t>
      </w:r>
      <w:r>
        <w:rPr/>
        <w:t>impact</w:t>
      </w:r>
      <w:r>
        <w:rPr>
          <w:spacing w:val="-32"/>
        </w:rPr>
        <w:t> </w:t>
      </w:r>
      <w:r>
        <w:rPr/>
        <w:t>of</w:t>
      </w:r>
      <w:r>
        <w:rPr>
          <w:spacing w:val="-35"/>
        </w:rPr>
        <w:t> </w:t>
      </w:r>
      <w:r>
        <w:rPr/>
        <w:t>the</w:t>
      </w:r>
      <w:r>
        <w:rPr>
          <w:spacing w:val="-34"/>
        </w:rPr>
        <w:t> </w:t>
      </w:r>
      <w:r>
        <w:rPr/>
        <w:t>LFRMS</w:t>
      </w:r>
      <w:r>
        <w:rPr>
          <w:spacing w:val="-31"/>
        </w:rPr>
        <w:t> </w:t>
      </w:r>
      <w:r>
        <w:rPr/>
        <w:t>on</w:t>
      </w:r>
      <w:r>
        <w:rPr>
          <w:spacing w:val="-34"/>
        </w:rPr>
        <w:t> </w:t>
      </w:r>
      <w:r>
        <w:rPr/>
        <w:t>Equality,</w:t>
      </w:r>
      <w:r>
        <w:rPr>
          <w:spacing w:val="-26"/>
        </w:rPr>
        <w:t> </w:t>
      </w:r>
      <w:r>
        <w:rPr/>
        <w:t>Diversity,</w:t>
      </w:r>
      <w:r>
        <w:rPr>
          <w:spacing w:val="-30"/>
        </w:rPr>
        <w:t> </w:t>
      </w:r>
      <w:r>
        <w:rPr/>
        <w:t>Cohesion and Integration. The finding of this was that a full Assessment was not required at this time </w:t>
      </w:r>
      <w:r>
        <w:rPr>
          <w:w w:val="90"/>
        </w:rPr>
        <w:t>— </w:t>
      </w:r>
      <w:r>
        <w:rPr/>
        <w:t>however further</w:t>
      </w:r>
      <w:r>
        <w:rPr>
          <w:spacing w:val="-4"/>
        </w:rPr>
        <w:t> </w:t>
      </w:r>
      <w:r>
        <w:rPr/>
        <w:t>assessment</w:t>
      </w:r>
      <w:r>
        <w:rPr>
          <w:spacing w:val="7"/>
        </w:rPr>
        <w:t> </w:t>
      </w:r>
      <w:r>
        <w:rPr/>
        <w:t>will</w:t>
      </w:r>
      <w:r>
        <w:rPr>
          <w:spacing w:val="-5"/>
        </w:rPr>
        <w:t> </w:t>
      </w:r>
      <w:r>
        <w:rPr/>
        <w:t>be</w:t>
      </w:r>
      <w:r>
        <w:rPr>
          <w:spacing w:val="-4"/>
        </w:rPr>
        <w:t> </w:t>
      </w:r>
      <w:r>
        <w:rPr/>
        <w:t>carried</w:t>
      </w:r>
      <w:r>
        <w:rPr>
          <w:spacing w:val="-1"/>
        </w:rPr>
        <w:t> </w:t>
      </w:r>
      <w:r>
        <w:rPr/>
        <w:t>out</w:t>
      </w:r>
      <w:r>
        <w:rPr>
          <w:spacing w:val="-13"/>
        </w:rPr>
        <w:t> </w:t>
      </w:r>
      <w:r>
        <w:rPr/>
        <w:t>as</w:t>
      </w:r>
      <w:r>
        <w:rPr>
          <w:spacing w:val="-11"/>
        </w:rPr>
        <w:t> </w:t>
      </w:r>
      <w:r>
        <w:rPr/>
        <w:t>each</w:t>
      </w:r>
      <w:r>
        <w:rPr>
          <w:spacing w:val="-10"/>
        </w:rPr>
        <w:t> </w:t>
      </w:r>
      <w:r>
        <w:rPr/>
        <w:t>measure</w:t>
      </w:r>
      <w:r>
        <w:rPr>
          <w:spacing w:val="-1"/>
        </w:rPr>
        <w:t> </w:t>
      </w:r>
      <w:r>
        <w:rPr/>
        <w:t>is</w:t>
      </w:r>
      <w:r>
        <w:rPr>
          <w:spacing w:val="-21"/>
        </w:rPr>
        <w:t> </w:t>
      </w:r>
      <w:r>
        <w:rPr/>
        <w:t>considered.</w:t>
      </w:r>
    </w:p>
    <w:p>
      <w:pPr>
        <w:pStyle w:val="BodyText"/>
        <w:spacing w:before="3"/>
        <w:rPr>
          <w:sz w:val="36"/>
        </w:rPr>
      </w:pPr>
    </w:p>
    <w:p>
      <w:pPr>
        <w:pStyle w:val="ListParagraph"/>
        <w:numPr>
          <w:ilvl w:val="1"/>
          <w:numId w:val="4"/>
        </w:numPr>
        <w:tabs>
          <w:tab w:pos="1016" w:val="left" w:leader="none"/>
          <w:tab w:pos="1017" w:val="left" w:leader="none"/>
        </w:tabs>
        <w:spacing w:line="240" w:lineRule="auto" w:before="0" w:after="0"/>
        <w:ind w:left="1016" w:right="0" w:hanging="861"/>
        <w:jc w:val="left"/>
        <w:rPr>
          <w:sz w:val="28"/>
        </w:rPr>
      </w:pPr>
      <w:r>
        <w:rPr>
          <w:sz w:val="28"/>
        </w:rPr>
        <w:t>FLOOD AND WATER MANAGEMENT</w:t>
      </w:r>
      <w:r>
        <w:rPr>
          <w:spacing w:val="7"/>
          <w:sz w:val="28"/>
        </w:rPr>
        <w:t> </w:t>
      </w:r>
      <w:r>
        <w:rPr>
          <w:sz w:val="28"/>
        </w:rPr>
        <w:t>ACT</w:t>
      </w:r>
    </w:p>
    <w:p>
      <w:pPr>
        <w:pStyle w:val="BodyText"/>
        <w:spacing w:line="261" w:lineRule="auto" w:before="157"/>
        <w:ind w:left="1016" w:firstLine="4"/>
      </w:pPr>
      <w:r>
        <w:rPr/>
        <w:t>As a LLFA, the Council is required under Section 9 of the Flood and Water Management Act (FWMA),</w:t>
      </w:r>
      <w:r>
        <w:rPr>
          <w:spacing w:val="-24"/>
        </w:rPr>
        <w:t> </w:t>
      </w:r>
      <w:r>
        <w:rPr/>
        <w:t>which</w:t>
      </w:r>
      <w:r>
        <w:rPr>
          <w:spacing w:val="-27"/>
        </w:rPr>
        <w:t> </w:t>
      </w:r>
      <w:r>
        <w:rPr/>
        <w:t>came</w:t>
      </w:r>
      <w:r>
        <w:rPr>
          <w:spacing w:val="-27"/>
        </w:rPr>
        <w:t> </w:t>
      </w:r>
      <w:r>
        <w:rPr/>
        <w:t>into</w:t>
      </w:r>
      <w:r>
        <w:rPr>
          <w:spacing w:val="-30"/>
        </w:rPr>
        <w:t> </w:t>
      </w:r>
      <w:r>
        <w:rPr/>
        <w:t>effect</w:t>
      </w:r>
      <w:r>
        <w:rPr>
          <w:spacing w:val="-25"/>
        </w:rPr>
        <w:t> </w:t>
      </w:r>
      <w:r>
        <w:rPr/>
        <w:t>on</w:t>
      </w:r>
      <w:r>
        <w:rPr>
          <w:spacing w:val="-32"/>
        </w:rPr>
        <w:t> </w:t>
      </w:r>
      <w:r>
        <w:rPr/>
        <w:t>the</w:t>
      </w:r>
      <w:r>
        <w:rPr>
          <w:spacing w:val="-29"/>
        </w:rPr>
        <w:t> </w:t>
      </w:r>
      <w:r>
        <w:rPr/>
        <w:t>12th</w:t>
      </w:r>
      <w:r>
        <w:rPr>
          <w:spacing w:val="-27"/>
        </w:rPr>
        <w:t> </w:t>
      </w:r>
      <w:r>
        <w:rPr/>
        <w:t>April</w:t>
      </w:r>
      <w:r>
        <w:rPr>
          <w:spacing w:val="-22"/>
        </w:rPr>
        <w:t> </w:t>
      </w:r>
      <w:r>
        <w:rPr/>
        <w:t>2010,</w:t>
      </w:r>
      <w:r>
        <w:rPr>
          <w:spacing w:val="-35"/>
        </w:rPr>
        <w:t> </w:t>
      </w:r>
      <w:r>
        <w:rPr/>
        <w:t>to</w:t>
      </w:r>
      <w:r>
        <w:rPr>
          <w:spacing w:val="-32"/>
        </w:rPr>
        <w:t> </w:t>
      </w:r>
      <w:r>
        <w:rPr/>
        <w:t>develop,</w:t>
      </w:r>
      <w:r>
        <w:rPr>
          <w:spacing w:val="-25"/>
        </w:rPr>
        <w:t> </w:t>
      </w:r>
      <w:r>
        <w:rPr/>
        <w:t>maintain,</w:t>
      </w:r>
      <w:r>
        <w:rPr>
          <w:spacing w:val="-24"/>
        </w:rPr>
        <w:t> </w:t>
      </w:r>
      <w:r>
        <w:rPr/>
        <w:t>apply</w:t>
      </w:r>
      <w:r>
        <w:rPr>
          <w:spacing w:val="-30"/>
        </w:rPr>
        <w:t> </w:t>
      </w:r>
      <w:r>
        <w:rPr/>
        <w:t>and</w:t>
      </w:r>
      <w:r>
        <w:rPr>
          <w:spacing w:val="-32"/>
        </w:rPr>
        <w:t> </w:t>
      </w:r>
      <w:r>
        <w:rPr/>
        <w:t>monitor</w:t>
      </w:r>
      <w:r>
        <w:rPr>
          <w:spacing w:val="-26"/>
        </w:rPr>
        <w:t> </w:t>
      </w:r>
      <w:r>
        <w:rPr/>
        <w:t>a strategy</w:t>
      </w:r>
      <w:r>
        <w:rPr>
          <w:spacing w:val="-9"/>
        </w:rPr>
        <w:t> </w:t>
      </w:r>
      <w:r>
        <w:rPr/>
        <w:t>for</w:t>
      </w:r>
      <w:r>
        <w:rPr>
          <w:spacing w:val="-21"/>
        </w:rPr>
        <w:t> </w:t>
      </w:r>
      <w:r>
        <w:rPr/>
        <w:t>local</w:t>
      </w:r>
      <w:r>
        <w:rPr>
          <w:spacing w:val="-10"/>
        </w:rPr>
        <w:t> </w:t>
      </w:r>
      <w:r>
        <w:rPr/>
        <w:t>flood</w:t>
      </w:r>
      <w:r>
        <w:rPr>
          <w:spacing w:val="-17"/>
        </w:rPr>
        <w:t> </w:t>
      </w:r>
      <w:r>
        <w:rPr/>
        <w:t>risk</w:t>
      </w:r>
      <w:r>
        <w:rPr>
          <w:spacing w:val="-17"/>
        </w:rPr>
        <w:t> </w:t>
      </w:r>
      <w:r>
        <w:rPr/>
        <w:t>management</w:t>
      </w:r>
      <w:r>
        <w:rPr>
          <w:spacing w:val="-3"/>
        </w:rPr>
        <w:t> </w:t>
      </w:r>
      <w:r>
        <w:rPr>
          <w:w w:val="90"/>
        </w:rPr>
        <w:t>—</w:t>
      </w:r>
      <w:r>
        <w:rPr>
          <w:spacing w:val="-32"/>
          <w:w w:val="90"/>
        </w:rPr>
        <w:t> </w:t>
      </w:r>
      <w:r>
        <w:rPr/>
        <w:t>a</w:t>
      </w:r>
      <w:r>
        <w:rPr>
          <w:spacing w:val="-25"/>
        </w:rPr>
        <w:t> </w:t>
      </w:r>
      <w:r>
        <w:rPr/>
        <w:t>‘Local</w:t>
      </w:r>
      <w:r>
        <w:rPr>
          <w:spacing w:val="-12"/>
        </w:rPr>
        <w:t> </w:t>
      </w:r>
      <w:r>
        <w:rPr/>
        <w:t>Flood</w:t>
      </w:r>
      <w:r>
        <w:rPr>
          <w:spacing w:val="-11"/>
        </w:rPr>
        <w:t> </w:t>
      </w:r>
      <w:r>
        <w:rPr/>
        <w:t>Risk</w:t>
      </w:r>
      <w:r>
        <w:rPr>
          <w:spacing w:val="-10"/>
        </w:rPr>
        <w:t> </w:t>
      </w:r>
      <w:r>
        <w:rPr/>
        <w:t>Management</w:t>
      </w:r>
      <w:r>
        <w:rPr>
          <w:spacing w:val="-8"/>
        </w:rPr>
        <w:t> </w:t>
      </w:r>
      <w:r>
        <w:rPr/>
        <w:t>Strategy’.</w:t>
      </w:r>
    </w:p>
    <w:p>
      <w:pPr>
        <w:pStyle w:val="BodyText"/>
        <w:spacing w:before="124"/>
        <w:ind w:left="1019"/>
      </w:pPr>
      <w:r>
        <w:rPr/>
        <w:t>Section 9 of the FWMA states that the LFRMS must specify:</w:t>
      </w:r>
    </w:p>
    <w:p>
      <w:pPr>
        <w:pStyle w:val="ListParagraph"/>
        <w:numPr>
          <w:ilvl w:val="0"/>
          <w:numId w:val="5"/>
        </w:numPr>
        <w:tabs>
          <w:tab w:pos="1448" w:val="left" w:leader="none"/>
        </w:tabs>
        <w:spacing w:line="240" w:lineRule="auto" w:before="148" w:after="0"/>
        <w:ind w:left="1444" w:right="0" w:hanging="428"/>
        <w:jc w:val="left"/>
        <w:rPr>
          <w:sz w:val="23"/>
        </w:rPr>
      </w:pPr>
      <w:r>
        <w:rPr>
          <w:sz w:val="23"/>
        </w:rPr>
        <w:t>The Risk Management Authorities in the Leeds LLFA</w:t>
      </w:r>
      <w:r>
        <w:rPr>
          <w:spacing w:val="14"/>
          <w:sz w:val="23"/>
        </w:rPr>
        <w:t> </w:t>
      </w:r>
      <w:r>
        <w:rPr>
          <w:sz w:val="23"/>
        </w:rPr>
        <w:t>area;</w:t>
      </w:r>
    </w:p>
    <w:p>
      <w:pPr>
        <w:pStyle w:val="ListParagraph"/>
        <w:numPr>
          <w:ilvl w:val="0"/>
          <w:numId w:val="5"/>
        </w:numPr>
        <w:tabs>
          <w:tab w:pos="1448" w:val="left" w:leader="none"/>
        </w:tabs>
        <w:spacing w:line="261" w:lineRule="auto" w:before="148" w:after="0"/>
        <w:ind w:left="1444" w:right="842" w:hanging="428"/>
        <w:jc w:val="left"/>
        <w:rPr>
          <w:sz w:val="23"/>
        </w:rPr>
      </w:pPr>
      <w:r>
        <w:rPr>
          <w:sz w:val="23"/>
        </w:rPr>
        <w:t>The</w:t>
      </w:r>
      <w:r>
        <w:rPr>
          <w:spacing w:val="-36"/>
          <w:sz w:val="23"/>
        </w:rPr>
        <w:t> </w:t>
      </w:r>
      <w:r>
        <w:rPr>
          <w:sz w:val="23"/>
        </w:rPr>
        <w:t>flood</w:t>
      </w:r>
      <w:r>
        <w:rPr>
          <w:spacing w:val="-30"/>
          <w:sz w:val="23"/>
        </w:rPr>
        <w:t> </w:t>
      </w:r>
      <w:r>
        <w:rPr>
          <w:sz w:val="23"/>
        </w:rPr>
        <w:t>and</w:t>
      </w:r>
      <w:r>
        <w:rPr>
          <w:spacing w:val="-32"/>
          <w:sz w:val="23"/>
        </w:rPr>
        <w:t> </w:t>
      </w:r>
      <w:r>
        <w:rPr>
          <w:sz w:val="23"/>
        </w:rPr>
        <w:t>coastal</w:t>
      </w:r>
      <w:r>
        <w:rPr>
          <w:spacing w:val="-24"/>
          <w:sz w:val="23"/>
        </w:rPr>
        <w:t> </w:t>
      </w:r>
      <w:r>
        <w:rPr>
          <w:sz w:val="23"/>
        </w:rPr>
        <w:t>erosion</w:t>
      </w:r>
      <w:r>
        <w:rPr>
          <w:spacing w:val="-34"/>
          <w:sz w:val="23"/>
        </w:rPr>
        <w:t> </w:t>
      </w:r>
      <w:r>
        <w:rPr>
          <w:sz w:val="23"/>
        </w:rPr>
        <w:t>risk</w:t>
      </w:r>
      <w:r>
        <w:rPr>
          <w:spacing w:val="-37"/>
          <w:sz w:val="23"/>
        </w:rPr>
        <w:t> </w:t>
      </w:r>
      <w:r>
        <w:rPr>
          <w:sz w:val="23"/>
        </w:rPr>
        <w:t>management</w:t>
      </w:r>
      <w:r>
        <w:rPr>
          <w:spacing w:val="-20"/>
          <w:sz w:val="23"/>
        </w:rPr>
        <w:t> </w:t>
      </w:r>
      <w:r>
        <w:rPr>
          <w:sz w:val="23"/>
        </w:rPr>
        <w:t>functions</w:t>
      </w:r>
      <w:r>
        <w:rPr>
          <w:spacing w:val="-30"/>
          <w:sz w:val="23"/>
        </w:rPr>
        <w:t> </w:t>
      </w:r>
      <w:r>
        <w:rPr>
          <w:sz w:val="23"/>
        </w:rPr>
        <w:t>that</w:t>
      </w:r>
      <w:r>
        <w:rPr>
          <w:spacing w:val="-38"/>
          <w:sz w:val="23"/>
        </w:rPr>
        <w:t> </w:t>
      </w:r>
      <w:r>
        <w:rPr>
          <w:sz w:val="23"/>
        </w:rPr>
        <w:t>may</w:t>
      </w:r>
      <w:r>
        <w:rPr>
          <w:spacing w:val="-34"/>
          <w:sz w:val="23"/>
        </w:rPr>
        <w:t> </w:t>
      </w:r>
      <w:r>
        <w:rPr>
          <w:sz w:val="23"/>
        </w:rPr>
        <w:t>be</w:t>
      </w:r>
      <w:r>
        <w:rPr>
          <w:spacing w:val="-35"/>
          <w:sz w:val="23"/>
        </w:rPr>
        <w:t> </w:t>
      </w:r>
      <w:r>
        <w:rPr>
          <w:sz w:val="23"/>
        </w:rPr>
        <w:t>exercised</w:t>
      </w:r>
      <w:r>
        <w:rPr>
          <w:spacing w:val="-30"/>
          <w:sz w:val="23"/>
        </w:rPr>
        <w:t> </w:t>
      </w:r>
      <w:r>
        <w:rPr>
          <w:sz w:val="23"/>
        </w:rPr>
        <w:t>by</w:t>
      </w:r>
      <w:r>
        <w:rPr>
          <w:spacing w:val="-35"/>
          <w:sz w:val="23"/>
        </w:rPr>
        <w:t> </w:t>
      </w:r>
      <w:r>
        <w:rPr>
          <w:sz w:val="23"/>
        </w:rPr>
        <w:t>those authorities in relation to the</w:t>
      </w:r>
      <w:r>
        <w:rPr>
          <w:spacing w:val="-26"/>
          <w:sz w:val="23"/>
        </w:rPr>
        <w:t> </w:t>
      </w:r>
      <w:r>
        <w:rPr>
          <w:sz w:val="23"/>
        </w:rPr>
        <w:t>area;</w:t>
      </w:r>
    </w:p>
    <w:p>
      <w:pPr>
        <w:pStyle w:val="ListParagraph"/>
        <w:numPr>
          <w:ilvl w:val="0"/>
          <w:numId w:val="5"/>
        </w:numPr>
        <w:tabs>
          <w:tab w:pos="1448" w:val="left" w:leader="none"/>
        </w:tabs>
        <w:spacing w:line="261" w:lineRule="auto" w:before="124" w:after="0"/>
        <w:ind w:left="1441" w:right="321" w:hanging="425"/>
        <w:jc w:val="left"/>
        <w:rPr>
          <w:sz w:val="23"/>
        </w:rPr>
      </w:pPr>
      <w:r>
        <w:rPr>
          <w:sz w:val="23"/>
        </w:rPr>
        <w:t>The</w:t>
      </w:r>
      <w:r>
        <w:rPr>
          <w:spacing w:val="-37"/>
          <w:sz w:val="23"/>
        </w:rPr>
        <w:t> </w:t>
      </w:r>
      <w:r>
        <w:rPr>
          <w:sz w:val="23"/>
        </w:rPr>
        <w:t>objectives</w:t>
      </w:r>
      <w:r>
        <w:rPr>
          <w:spacing w:val="-31"/>
          <w:sz w:val="23"/>
        </w:rPr>
        <w:t> </w:t>
      </w:r>
      <w:r>
        <w:rPr>
          <w:sz w:val="23"/>
        </w:rPr>
        <w:t>for</w:t>
      </w:r>
      <w:r>
        <w:rPr>
          <w:spacing w:val="-35"/>
          <w:sz w:val="23"/>
        </w:rPr>
        <w:t> </w:t>
      </w:r>
      <w:r>
        <w:rPr>
          <w:sz w:val="23"/>
        </w:rPr>
        <w:t>managing</w:t>
      </w:r>
      <w:r>
        <w:rPr>
          <w:spacing w:val="-29"/>
          <w:sz w:val="23"/>
        </w:rPr>
        <w:t> </w:t>
      </w:r>
      <w:r>
        <w:rPr>
          <w:sz w:val="23"/>
        </w:rPr>
        <w:t>local</w:t>
      </w:r>
      <w:r>
        <w:rPr>
          <w:spacing w:val="-36"/>
          <w:sz w:val="23"/>
        </w:rPr>
        <w:t> </w:t>
      </w:r>
      <w:r>
        <w:rPr>
          <w:sz w:val="23"/>
        </w:rPr>
        <w:t>flood</w:t>
      </w:r>
      <w:r>
        <w:rPr>
          <w:spacing w:val="-37"/>
          <w:sz w:val="23"/>
        </w:rPr>
        <w:t> </w:t>
      </w:r>
      <w:r>
        <w:rPr>
          <w:sz w:val="23"/>
        </w:rPr>
        <w:t>risk</w:t>
      </w:r>
      <w:r>
        <w:rPr>
          <w:spacing w:val="-37"/>
          <w:sz w:val="23"/>
        </w:rPr>
        <w:t> </w:t>
      </w:r>
      <w:r>
        <w:rPr>
          <w:sz w:val="23"/>
        </w:rPr>
        <w:t>(including</w:t>
      </w:r>
      <w:r>
        <w:rPr>
          <w:spacing w:val="-28"/>
          <w:sz w:val="23"/>
        </w:rPr>
        <w:t> </w:t>
      </w:r>
      <w:r>
        <w:rPr>
          <w:sz w:val="23"/>
        </w:rPr>
        <w:t>any</w:t>
      </w:r>
      <w:r>
        <w:rPr>
          <w:spacing w:val="-34"/>
          <w:sz w:val="23"/>
        </w:rPr>
        <w:t> </w:t>
      </w:r>
      <w:r>
        <w:rPr>
          <w:sz w:val="23"/>
        </w:rPr>
        <w:t>objectives</w:t>
      </w:r>
      <w:r>
        <w:rPr>
          <w:spacing w:val="-37"/>
          <w:sz w:val="23"/>
        </w:rPr>
        <w:t> </w:t>
      </w:r>
      <w:r>
        <w:rPr>
          <w:sz w:val="23"/>
        </w:rPr>
        <w:t>included</w:t>
      </w:r>
      <w:r>
        <w:rPr>
          <w:spacing w:val="-36"/>
          <w:sz w:val="23"/>
        </w:rPr>
        <w:t> </w:t>
      </w:r>
      <w:r>
        <w:rPr>
          <w:sz w:val="23"/>
        </w:rPr>
        <w:t>in</w:t>
      </w:r>
      <w:r>
        <w:rPr>
          <w:spacing w:val="-39"/>
          <w:sz w:val="23"/>
        </w:rPr>
        <w:t> </w:t>
      </w:r>
      <w:r>
        <w:rPr>
          <w:sz w:val="23"/>
        </w:rPr>
        <w:t>the</w:t>
      </w:r>
      <w:r>
        <w:rPr>
          <w:spacing w:val="-38"/>
          <w:sz w:val="23"/>
        </w:rPr>
        <w:t> </w:t>
      </w:r>
      <w:r>
        <w:rPr>
          <w:sz w:val="23"/>
        </w:rPr>
        <w:t>authority's flood</w:t>
      </w:r>
      <w:r>
        <w:rPr>
          <w:spacing w:val="-33"/>
          <w:sz w:val="23"/>
        </w:rPr>
        <w:t> </w:t>
      </w:r>
      <w:r>
        <w:rPr>
          <w:sz w:val="23"/>
        </w:rPr>
        <w:t>risk</w:t>
      </w:r>
      <w:r>
        <w:rPr>
          <w:spacing w:val="-29"/>
          <w:sz w:val="23"/>
        </w:rPr>
        <w:t> </w:t>
      </w:r>
      <w:r>
        <w:rPr>
          <w:sz w:val="23"/>
        </w:rPr>
        <w:t>management</w:t>
      </w:r>
      <w:r>
        <w:rPr>
          <w:spacing w:val="-24"/>
          <w:sz w:val="23"/>
        </w:rPr>
        <w:t> </w:t>
      </w:r>
      <w:r>
        <w:rPr>
          <w:sz w:val="23"/>
        </w:rPr>
        <w:t>plan</w:t>
      </w:r>
      <w:r>
        <w:rPr>
          <w:spacing w:val="-32"/>
          <w:sz w:val="23"/>
        </w:rPr>
        <w:t> </w:t>
      </w:r>
      <w:r>
        <w:rPr>
          <w:sz w:val="23"/>
        </w:rPr>
        <w:t>prepared</w:t>
      </w:r>
      <w:r>
        <w:rPr>
          <w:spacing w:val="-29"/>
          <w:sz w:val="23"/>
        </w:rPr>
        <w:t> </w:t>
      </w:r>
      <w:r>
        <w:rPr>
          <w:sz w:val="23"/>
        </w:rPr>
        <w:t>in</w:t>
      </w:r>
      <w:r>
        <w:rPr>
          <w:spacing w:val="-32"/>
          <w:sz w:val="23"/>
        </w:rPr>
        <w:t> </w:t>
      </w:r>
      <w:r>
        <w:rPr>
          <w:sz w:val="23"/>
        </w:rPr>
        <w:t>accordance</w:t>
      </w:r>
      <w:r>
        <w:rPr>
          <w:spacing w:val="-19"/>
          <w:sz w:val="23"/>
        </w:rPr>
        <w:t> </w:t>
      </w:r>
      <w:r>
        <w:rPr>
          <w:sz w:val="23"/>
        </w:rPr>
        <w:t>with</w:t>
      </w:r>
      <w:r>
        <w:rPr>
          <w:spacing w:val="-27"/>
          <w:sz w:val="23"/>
        </w:rPr>
        <w:t> </w:t>
      </w:r>
      <w:r>
        <w:rPr>
          <w:sz w:val="23"/>
        </w:rPr>
        <w:t>The</w:t>
      </w:r>
      <w:r>
        <w:rPr>
          <w:spacing w:val="-26"/>
          <w:sz w:val="23"/>
        </w:rPr>
        <w:t> </w:t>
      </w:r>
      <w:r>
        <w:rPr>
          <w:sz w:val="23"/>
        </w:rPr>
        <w:t>Flood</w:t>
      </w:r>
      <w:r>
        <w:rPr>
          <w:spacing w:val="-26"/>
          <w:sz w:val="23"/>
        </w:rPr>
        <w:t> </w:t>
      </w:r>
      <w:r>
        <w:rPr>
          <w:sz w:val="23"/>
        </w:rPr>
        <w:t>Risk</w:t>
      </w:r>
      <w:r>
        <w:rPr>
          <w:spacing w:val="-26"/>
          <w:sz w:val="23"/>
        </w:rPr>
        <w:t> </w:t>
      </w:r>
      <w:r>
        <w:rPr>
          <w:sz w:val="23"/>
        </w:rPr>
        <w:t>Regulations</w:t>
      </w:r>
      <w:r>
        <w:rPr>
          <w:spacing w:val="-20"/>
          <w:sz w:val="23"/>
        </w:rPr>
        <w:t> </w:t>
      </w:r>
      <w:r>
        <w:rPr>
          <w:sz w:val="23"/>
        </w:rPr>
        <w:t>2009);</w:t>
      </w:r>
    </w:p>
    <w:p>
      <w:pPr>
        <w:pStyle w:val="ListParagraph"/>
        <w:numPr>
          <w:ilvl w:val="0"/>
          <w:numId w:val="5"/>
        </w:numPr>
        <w:tabs>
          <w:tab w:pos="1448" w:val="left" w:leader="none"/>
        </w:tabs>
        <w:spacing w:line="240" w:lineRule="auto" w:before="124" w:after="0"/>
        <w:ind w:left="1444" w:right="0" w:hanging="428"/>
        <w:jc w:val="left"/>
        <w:rPr>
          <w:sz w:val="23"/>
        </w:rPr>
      </w:pPr>
      <w:r>
        <w:rPr>
          <w:sz w:val="23"/>
        </w:rPr>
        <w:t>The measures proposed to achieve those</w:t>
      </w:r>
      <w:r>
        <w:rPr>
          <w:spacing w:val="15"/>
          <w:sz w:val="23"/>
        </w:rPr>
        <w:t> </w:t>
      </w:r>
      <w:r>
        <w:rPr>
          <w:sz w:val="23"/>
        </w:rPr>
        <w:t>objectives;</w:t>
      </w:r>
    </w:p>
    <w:p>
      <w:pPr>
        <w:pStyle w:val="ListParagraph"/>
        <w:numPr>
          <w:ilvl w:val="0"/>
          <w:numId w:val="5"/>
        </w:numPr>
        <w:tabs>
          <w:tab w:pos="1444" w:val="left" w:leader="none"/>
        </w:tabs>
        <w:spacing w:line="240" w:lineRule="auto" w:before="149" w:after="0"/>
        <w:ind w:left="1443" w:right="0" w:hanging="427"/>
        <w:jc w:val="left"/>
        <w:rPr>
          <w:sz w:val="23"/>
        </w:rPr>
      </w:pPr>
      <w:r>
        <w:rPr>
          <w:sz w:val="23"/>
        </w:rPr>
        <w:t>How and when the measures are expected to be</w:t>
      </w:r>
      <w:r>
        <w:rPr>
          <w:spacing w:val="-18"/>
          <w:sz w:val="23"/>
        </w:rPr>
        <w:t> </w:t>
      </w:r>
      <w:r>
        <w:rPr>
          <w:sz w:val="23"/>
        </w:rPr>
        <w:t>implemented;</w:t>
      </w:r>
    </w:p>
    <w:p>
      <w:pPr>
        <w:pStyle w:val="ListParagraph"/>
        <w:numPr>
          <w:ilvl w:val="1"/>
          <w:numId w:val="5"/>
        </w:numPr>
        <w:tabs>
          <w:tab w:pos="1447" w:val="left" w:leader="none"/>
          <w:tab w:pos="1448" w:val="left" w:leader="none"/>
        </w:tabs>
        <w:spacing w:line="240" w:lineRule="auto" w:before="148" w:after="0"/>
        <w:ind w:left="1447" w:right="0" w:hanging="431"/>
        <w:jc w:val="left"/>
        <w:rPr>
          <w:sz w:val="23"/>
        </w:rPr>
      </w:pPr>
      <w:r>
        <w:rPr>
          <w:sz w:val="23"/>
        </w:rPr>
        <w:t>The</w:t>
      </w:r>
      <w:r>
        <w:rPr>
          <w:spacing w:val="-8"/>
          <w:sz w:val="23"/>
        </w:rPr>
        <w:t> </w:t>
      </w:r>
      <w:r>
        <w:rPr>
          <w:sz w:val="23"/>
        </w:rPr>
        <w:t>costs</w:t>
      </w:r>
      <w:r>
        <w:rPr>
          <w:spacing w:val="-2"/>
          <w:sz w:val="23"/>
        </w:rPr>
        <w:t> </w:t>
      </w:r>
      <w:r>
        <w:rPr>
          <w:sz w:val="23"/>
        </w:rPr>
        <w:t>and</w:t>
      </w:r>
      <w:r>
        <w:rPr>
          <w:spacing w:val="-9"/>
          <w:sz w:val="23"/>
        </w:rPr>
        <w:t> </w:t>
      </w:r>
      <w:r>
        <w:rPr>
          <w:sz w:val="23"/>
        </w:rPr>
        <w:t>benefits</w:t>
      </w:r>
      <w:r>
        <w:rPr>
          <w:spacing w:val="-5"/>
          <w:sz w:val="23"/>
        </w:rPr>
        <w:t> </w:t>
      </w:r>
      <w:r>
        <w:rPr>
          <w:sz w:val="23"/>
        </w:rPr>
        <w:t>of</w:t>
      </w:r>
      <w:r>
        <w:rPr>
          <w:spacing w:val="-9"/>
          <w:sz w:val="23"/>
        </w:rPr>
        <w:t> </w:t>
      </w:r>
      <w:r>
        <w:rPr>
          <w:sz w:val="23"/>
        </w:rPr>
        <w:t>those</w:t>
      </w:r>
      <w:r>
        <w:rPr>
          <w:spacing w:val="-8"/>
          <w:sz w:val="23"/>
        </w:rPr>
        <w:t> </w:t>
      </w:r>
      <w:r>
        <w:rPr>
          <w:sz w:val="23"/>
        </w:rPr>
        <w:t>measures,</w:t>
      </w:r>
      <w:r>
        <w:rPr>
          <w:spacing w:val="16"/>
          <w:sz w:val="23"/>
        </w:rPr>
        <w:t> </w:t>
      </w:r>
      <w:r>
        <w:rPr>
          <w:sz w:val="23"/>
        </w:rPr>
        <w:t>and</w:t>
      </w:r>
      <w:r>
        <w:rPr>
          <w:spacing w:val="-11"/>
          <w:sz w:val="23"/>
        </w:rPr>
        <w:t> </w:t>
      </w:r>
      <w:r>
        <w:rPr>
          <w:sz w:val="23"/>
        </w:rPr>
        <w:t>how</w:t>
      </w:r>
      <w:r>
        <w:rPr>
          <w:spacing w:val="4"/>
          <w:sz w:val="23"/>
        </w:rPr>
        <w:t> </w:t>
      </w:r>
      <w:r>
        <w:rPr>
          <w:sz w:val="23"/>
        </w:rPr>
        <w:t>they</w:t>
      </w:r>
      <w:r>
        <w:rPr>
          <w:spacing w:val="2"/>
          <w:sz w:val="23"/>
        </w:rPr>
        <w:t> </w:t>
      </w:r>
      <w:r>
        <w:rPr>
          <w:sz w:val="23"/>
        </w:rPr>
        <w:t>are</w:t>
      </w:r>
      <w:r>
        <w:rPr>
          <w:spacing w:val="-16"/>
          <w:sz w:val="23"/>
        </w:rPr>
        <w:t> </w:t>
      </w:r>
      <w:r>
        <w:rPr>
          <w:sz w:val="23"/>
        </w:rPr>
        <w:t>to</w:t>
      </w:r>
      <w:r>
        <w:rPr>
          <w:spacing w:val="-16"/>
          <w:sz w:val="23"/>
        </w:rPr>
        <w:t> </w:t>
      </w:r>
      <w:r>
        <w:rPr>
          <w:sz w:val="23"/>
        </w:rPr>
        <w:t>be</w:t>
      </w:r>
      <w:r>
        <w:rPr>
          <w:spacing w:val="-7"/>
          <w:sz w:val="23"/>
        </w:rPr>
        <w:t> </w:t>
      </w:r>
      <w:r>
        <w:rPr>
          <w:sz w:val="23"/>
        </w:rPr>
        <w:t>paid</w:t>
      </w:r>
      <w:r>
        <w:rPr>
          <w:spacing w:val="-5"/>
          <w:sz w:val="23"/>
        </w:rPr>
        <w:t> </w:t>
      </w:r>
      <w:r>
        <w:rPr>
          <w:sz w:val="23"/>
        </w:rPr>
        <w:t>for;</w:t>
      </w:r>
    </w:p>
    <w:p>
      <w:pPr>
        <w:pStyle w:val="ListParagraph"/>
        <w:numPr>
          <w:ilvl w:val="0"/>
          <w:numId w:val="6"/>
        </w:numPr>
        <w:tabs>
          <w:tab w:pos="1448" w:val="left" w:leader="none"/>
        </w:tabs>
        <w:spacing w:line="240" w:lineRule="auto" w:before="148" w:after="0"/>
        <w:ind w:left="1447" w:right="0" w:hanging="431"/>
        <w:jc w:val="left"/>
        <w:rPr>
          <w:sz w:val="23"/>
        </w:rPr>
      </w:pPr>
      <w:r>
        <w:rPr>
          <w:sz w:val="23"/>
        </w:rPr>
        <w:t>The assessment of local flood risk for the purpose of the</w:t>
      </w:r>
      <w:r>
        <w:rPr>
          <w:spacing w:val="-22"/>
          <w:sz w:val="23"/>
        </w:rPr>
        <w:t> </w:t>
      </w:r>
      <w:r>
        <w:rPr>
          <w:sz w:val="23"/>
        </w:rPr>
        <w:t>strategy;</w:t>
      </w:r>
    </w:p>
    <w:p>
      <w:pPr>
        <w:pStyle w:val="ListParagraph"/>
        <w:numPr>
          <w:ilvl w:val="0"/>
          <w:numId w:val="6"/>
        </w:numPr>
        <w:tabs>
          <w:tab w:pos="1444" w:val="left" w:leader="none"/>
        </w:tabs>
        <w:spacing w:line="240" w:lineRule="auto" w:before="149" w:after="0"/>
        <w:ind w:left="1443" w:right="0" w:hanging="427"/>
        <w:jc w:val="left"/>
        <w:rPr>
          <w:sz w:val="23"/>
        </w:rPr>
      </w:pPr>
      <w:r>
        <w:rPr>
          <w:sz w:val="23"/>
        </w:rPr>
        <w:t>How and when the strategy is to be reviewed,</w:t>
      </w:r>
      <w:r>
        <w:rPr>
          <w:spacing w:val="-31"/>
          <w:sz w:val="23"/>
        </w:rPr>
        <w:t> </w:t>
      </w:r>
      <w:r>
        <w:rPr>
          <w:sz w:val="23"/>
        </w:rPr>
        <w:t>and</w:t>
      </w:r>
    </w:p>
    <w:p>
      <w:pPr>
        <w:pStyle w:val="ListParagraph"/>
        <w:numPr>
          <w:ilvl w:val="0"/>
          <w:numId w:val="6"/>
        </w:numPr>
        <w:tabs>
          <w:tab w:pos="1443" w:val="left" w:leader="none"/>
          <w:tab w:pos="1444" w:val="left" w:leader="none"/>
        </w:tabs>
        <w:spacing w:line="240" w:lineRule="auto" w:before="138" w:after="0"/>
        <w:ind w:left="1443" w:right="0" w:hanging="427"/>
        <w:jc w:val="left"/>
        <w:rPr>
          <w:sz w:val="23"/>
        </w:rPr>
      </w:pPr>
      <w:r>
        <w:rPr>
          <w:sz w:val="23"/>
        </w:rPr>
        <w:t>How</w:t>
      </w:r>
      <w:r>
        <w:rPr>
          <w:spacing w:val="-5"/>
          <w:sz w:val="23"/>
        </w:rPr>
        <w:t> </w:t>
      </w:r>
      <w:r>
        <w:rPr>
          <w:sz w:val="23"/>
        </w:rPr>
        <w:t>the</w:t>
      </w:r>
      <w:r>
        <w:rPr>
          <w:spacing w:val="-13"/>
          <w:sz w:val="23"/>
        </w:rPr>
        <w:t> </w:t>
      </w:r>
      <w:r>
        <w:rPr>
          <w:sz w:val="23"/>
        </w:rPr>
        <w:t>strategy</w:t>
      </w:r>
      <w:r>
        <w:rPr>
          <w:spacing w:val="-3"/>
          <w:sz w:val="23"/>
        </w:rPr>
        <w:t> </w:t>
      </w:r>
      <w:r>
        <w:rPr>
          <w:sz w:val="23"/>
        </w:rPr>
        <w:t>contributes</w:t>
      </w:r>
      <w:r>
        <w:rPr>
          <w:spacing w:val="-14"/>
          <w:sz w:val="23"/>
        </w:rPr>
        <w:t> </w:t>
      </w:r>
      <w:r>
        <w:rPr>
          <w:sz w:val="23"/>
        </w:rPr>
        <w:t>to</w:t>
      </w:r>
      <w:r>
        <w:rPr>
          <w:spacing w:val="-20"/>
          <w:sz w:val="23"/>
        </w:rPr>
        <w:t> </w:t>
      </w:r>
      <w:r>
        <w:rPr>
          <w:sz w:val="23"/>
        </w:rPr>
        <w:t>the</w:t>
      </w:r>
      <w:r>
        <w:rPr>
          <w:spacing w:val="-14"/>
          <w:sz w:val="23"/>
        </w:rPr>
        <w:t> </w:t>
      </w:r>
      <w:r>
        <w:rPr>
          <w:sz w:val="23"/>
        </w:rPr>
        <w:t>achievement</w:t>
      </w:r>
      <w:r>
        <w:rPr>
          <w:spacing w:val="4"/>
          <w:sz w:val="23"/>
        </w:rPr>
        <w:t> </w:t>
      </w:r>
      <w:r>
        <w:rPr>
          <w:sz w:val="23"/>
        </w:rPr>
        <w:t>of</w:t>
      </w:r>
      <w:r>
        <w:rPr>
          <w:spacing w:val="-15"/>
          <w:sz w:val="23"/>
        </w:rPr>
        <w:t> </w:t>
      </w:r>
      <w:r>
        <w:rPr>
          <w:sz w:val="23"/>
        </w:rPr>
        <w:t>wider</w:t>
      </w:r>
      <w:r>
        <w:rPr>
          <w:spacing w:val="-11"/>
          <w:sz w:val="23"/>
        </w:rPr>
        <w:t> </w:t>
      </w:r>
      <w:r>
        <w:rPr>
          <w:sz w:val="23"/>
        </w:rPr>
        <w:t>environmental</w:t>
      </w:r>
      <w:r>
        <w:rPr>
          <w:spacing w:val="17"/>
          <w:sz w:val="23"/>
        </w:rPr>
        <w:t> </w:t>
      </w:r>
      <w:r>
        <w:rPr>
          <w:sz w:val="23"/>
        </w:rPr>
        <w:t>objectives.</w:t>
      </w:r>
    </w:p>
    <w:p>
      <w:pPr>
        <w:spacing w:after="0" w:line="240" w:lineRule="auto"/>
        <w:jc w:val="left"/>
        <w:rPr>
          <w:sz w:val="23"/>
        </w:rPr>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1"/>
        <w:rPr>
          <w:sz w:val="28"/>
        </w:rPr>
      </w:pPr>
    </w:p>
    <w:p>
      <w:pPr>
        <w:pStyle w:val="ListParagraph"/>
        <w:numPr>
          <w:ilvl w:val="1"/>
          <w:numId w:val="4"/>
        </w:numPr>
        <w:tabs>
          <w:tab w:pos="1018" w:val="left" w:leader="none"/>
          <w:tab w:pos="1019" w:val="left" w:leader="none"/>
        </w:tabs>
        <w:spacing w:line="271" w:lineRule="auto" w:before="91" w:after="0"/>
        <w:ind w:left="1017" w:right="1129" w:hanging="862"/>
        <w:jc w:val="left"/>
        <w:rPr>
          <w:sz w:val="28"/>
        </w:rPr>
      </w:pPr>
      <w:r>
        <w:rPr/>
        <w:pict>
          <v:group style="position:absolute;margin-left:537.554504pt;margin-top:-50.712536pt;width:5.8pt;height:34.6pt;mso-position-horizontal-relative:page;mso-position-vertical-relative:paragraph;z-index:1864" coordorigin="10751,-1014" coordsize="116,692">
            <v:shape style="position:absolute;left:10751;top:-1015;width:116;height:39" type="#_x0000_t75" stroked="false">
              <v:imagedata r:id="rId27" o:title=""/>
            </v:shape>
            <v:shape style="position:absolute;left:10827;top:-400;width:39;height:77" type="#_x0000_t75" stroked="false">
              <v:imagedata r:id="rId28" o:title=""/>
            </v:shape>
            <v:line style="position:absolute" from="10804,-1014" to="10804,-333" stroked="true" strokeweight="5.279551pt" strokecolor="#d85970">
              <v:stroke dashstyle="solid"/>
            </v:line>
            <w10:wrap type="none"/>
          </v:group>
        </w:pict>
      </w:r>
      <w:bookmarkStart w:name="Leeds LFRMS 2018 Update_Page_16" w:id="18"/>
      <w:bookmarkEnd w:id="18"/>
      <w:r>
        <w:rPr/>
      </w:r>
      <w:bookmarkStart w:name="Leeds LFRMS 2018 Update_Page_16" w:id="19"/>
      <w:bookmarkEnd w:id="19"/>
      <w:r>
        <w:rPr>
          <w:sz w:val="28"/>
        </w:rPr>
        <w:t>NATIONA</w:t>
      </w:r>
      <w:r>
        <w:rPr>
          <w:sz w:val="28"/>
        </w:rPr>
        <w:t>L FLOOD AND COASTAL EROSION RISK MANAGEMENT STRATEGY</w:t>
      </w:r>
    </w:p>
    <w:p>
      <w:pPr>
        <w:pStyle w:val="BodyText"/>
        <w:spacing w:line="264" w:lineRule="auto" w:before="125"/>
        <w:ind w:left="1015" w:right="212" w:firstLine="9"/>
      </w:pPr>
      <w:r>
        <w:rPr/>
        <w:t>The</w:t>
      </w:r>
      <w:r>
        <w:rPr>
          <w:spacing w:val="-36"/>
        </w:rPr>
        <w:t> </w:t>
      </w:r>
      <w:r>
        <w:rPr/>
        <w:t>EA</w:t>
      </w:r>
      <w:r>
        <w:rPr>
          <w:spacing w:val="-32"/>
        </w:rPr>
        <w:t> </w:t>
      </w:r>
      <w:r>
        <w:rPr/>
        <w:t>and</w:t>
      </w:r>
      <w:r>
        <w:rPr>
          <w:spacing w:val="-37"/>
        </w:rPr>
        <w:t> </w:t>
      </w:r>
      <w:r>
        <w:rPr/>
        <w:t>the</w:t>
      </w:r>
      <w:r>
        <w:rPr>
          <w:spacing w:val="-32"/>
        </w:rPr>
        <w:t> </w:t>
      </w:r>
      <w:r>
        <w:rPr/>
        <w:t>Department</w:t>
      </w:r>
      <w:r>
        <w:rPr>
          <w:spacing w:val="-26"/>
        </w:rPr>
        <w:t> </w:t>
      </w:r>
      <w:r>
        <w:rPr/>
        <w:t>for</w:t>
      </w:r>
      <w:r>
        <w:rPr>
          <w:spacing w:val="-35"/>
        </w:rPr>
        <w:t> </w:t>
      </w:r>
      <w:r>
        <w:rPr/>
        <w:t>Environment</w:t>
      </w:r>
      <w:r>
        <w:rPr>
          <w:spacing w:val="-23"/>
        </w:rPr>
        <w:t> </w:t>
      </w:r>
      <w:r>
        <w:rPr/>
        <w:t>Food</w:t>
      </w:r>
      <w:r>
        <w:rPr>
          <w:spacing w:val="-27"/>
        </w:rPr>
        <w:t> </w:t>
      </w:r>
      <w:r>
        <w:rPr/>
        <w:t>and</w:t>
      </w:r>
      <w:r>
        <w:rPr>
          <w:spacing w:val="-35"/>
        </w:rPr>
        <w:t> </w:t>
      </w:r>
      <w:r>
        <w:rPr/>
        <w:t>Rural</w:t>
      </w:r>
      <w:r>
        <w:rPr>
          <w:spacing w:val="-33"/>
        </w:rPr>
        <w:t> </w:t>
      </w:r>
      <w:r>
        <w:rPr/>
        <w:t>Affairs</w:t>
      </w:r>
      <w:r>
        <w:rPr>
          <w:spacing w:val="-35"/>
        </w:rPr>
        <w:t> </w:t>
      </w:r>
      <w:r>
        <w:rPr/>
        <w:t>(Defra)</w:t>
      </w:r>
      <w:r>
        <w:rPr>
          <w:spacing w:val="-32"/>
        </w:rPr>
        <w:t> </w:t>
      </w:r>
      <w:r>
        <w:rPr/>
        <w:t>jointly</w:t>
      </w:r>
      <w:r>
        <w:rPr>
          <w:spacing w:val="-31"/>
        </w:rPr>
        <w:t> </w:t>
      </w:r>
      <w:r>
        <w:rPr/>
        <w:t>developed</w:t>
      </w:r>
      <w:r>
        <w:rPr>
          <w:spacing w:val="-22"/>
        </w:rPr>
        <w:t> </w:t>
      </w:r>
      <w:r>
        <w:rPr/>
        <w:t>and published their National Flood and Coastal Erosion Risk Management (FCERM) Strategy for England</w:t>
      </w:r>
      <w:r>
        <w:rPr>
          <w:spacing w:val="-25"/>
        </w:rPr>
        <w:t> </w:t>
      </w:r>
      <w:r>
        <w:rPr/>
        <w:t>on</w:t>
      </w:r>
      <w:r>
        <w:rPr>
          <w:spacing w:val="-35"/>
        </w:rPr>
        <w:t> </w:t>
      </w:r>
      <w:r>
        <w:rPr/>
        <w:t>the</w:t>
      </w:r>
      <w:r>
        <w:rPr>
          <w:spacing w:val="-30"/>
        </w:rPr>
        <w:t> </w:t>
      </w:r>
      <w:r>
        <w:rPr/>
        <w:t>19th</w:t>
      </w:r>
      <w:r>
        <w:rPr>
          <w:spacing w:val="-28"/>
        </w:rPr>
        <w:t> </w:t>
      </w:r>
      <w:r>
        <w:rPr/>
        <w:t>July</w:t>
      </w:r>
      <w:r>
        <w:rPr>
          <w:spacing w:val="-27"/>
        </w:rPr>
        <w:t> </w:t>
      </w:r>
      <w:r>
        <w:rPr/>
        <w:t>2011</w:t>
      </w:r>
      <w:r>
        <w:rPr>
          <w:spacing w:val="-35"/>
        </w:rPr>
        <w:t> </w:t>
      </w:r>
      <w:r>
        <w:rPr/>
        <w:t>pursuant</w:t>
      </w:r>
      <w:r>
        <w:rPr>
          <w:spacing w:val="-24"/>
        </w:rPr>
        <w:t> </w:t>
      </w:r>
      <w:r>
        <w:rPr/>
        <w:t>to</w:t>
      </w:r>
      <w:r>
        <w:rPr>
          <w:spacing w:val="-34"/>
        </w:rPr>
        <w:t> </w:t>
      </w:r>
      <w:r>
        <w:rPr/>
        <w:t>Section</w:t>
      </w:r>
      <w:r>
        <w:rPr>
          <w:spacing w:val="-28"/>
        </w:rPr>
        <w:t> </w:t>
      </w:r>
      <w:r>
        <w:rPr/>
        <w:t>7</w:t>
      </w:r>
      <w:r>
        <w:rPr>
          <w:spacing w:val="-35"/>
        </w:rPr>
        <w:t> </w:t>
      </w:r>
      <w:r>
        <w:rPr/>
        <w:t>of</w:t>
      </w:r>
      <w:r>
        <w:rPr>
          <w:spacing w:val="-33"/>
        </w:rPr>
        <w:t> </w:t>
      </w:r>
      <w:r>
        <w:rPr/>
        <w:t>the</w:t>
      </w:r>
      <w:r>
        <w:rPr>
          <w:spacing w:val="-33"/>
        </w:rPr>
        <w:t> </w:t>
      </w:r>
      <w:r>
        <w:rPr/>
        <w:t>FWMA.</w:t>
      </w:r>
      <w:r>
        <w:rPr>
          <w:spacing w:val="-26"/>
        </w:rPr>
        <w:t> </w:t>
      </w:r>
      <w:r>
        <w:rPr/>
        <w:t>The</w:t>
      </w:r>
      <w:r>
        <w:rPr>
          <w:spacing w:val="-32"/>
        </w:rPr>
        <w:t> </w:t>
      </w:r>
      <w:r>
        <w:rPr/>
        <w:t>National</w:t>
      </w:r>
      <w:r>
        <w:rPr>
          <w:spacing w:val="-22"/>
        </w:rPr>
        <w:t> </w:t>
      </w:r>
      <w:r>
        <w:rPr/>
        <w:t>FCERM</w:t>
      </w:r>
      <w:r>
        <w:rPr>
          <w:spacing w:val="-25"/>
        </w:rPr>
        <w:t> </w:t>
      </w:r>
      <w:r>
        <w:rPr/>
        <w:t>Strategy for</w:t>
      </w:r>
      <w:r>
        <w:rPr>
          <w:spacing w:val="-30"/>
        </w:rPr>
        <w:t> </w:t>
      </w:r>
      <w:r>
        <w:rPr/>
        <w:t>England</w:t>
      </w:r>
      <w:r>
        <w:rPr>
          <w:spacing w:val="-18"/>
        </w:rPr>
        <w:t> </w:t>
      </w:r>
      <w:r>
        <w:rPr/>
        <w:t>sets</w:t>
      </w:r>
      <w:r>
        <w:rPr>
          <w:spacing w:val="-30"/>
        </w:rPr>
        <w:t> </w:t>
      </w:r>
      <w:r>
        <w:rPr/>
        <w:t>out</w:t>
      </w:r>
      <w:r>
        <w:rPr>
          <w:spacing w:val="-31"/>
        </w:rPr>
        <w:t> </w:t>
      </w:r>
      <w:r>
        <w:rPr/>
        <w:t>six</w:t>
      </w:r>
      <w:r>
        <w:rPr>
          <w:spacing w:val="-31"/>
        </w:rPr>
        <w:t> </w:t>
      </w:r>
      <w:r>
        <w:rPr/>
        <w:t>high-level</w:t>
      </w:r>
      <w:r>
        <w:rPr>
          <w:spacing w:val="-28"/>
        </w:rPr>
        <w:t> </w:t>
      </w:r>
      <w:r>
        <w:rPr/>
        <w:t>principles</w:t>
      </w:r>
      <w:r>
        <w:rPr>
          <w:spacing w:val="-25"/>
        </w:rPr>
        <w:t> </w:t>
      </w:r>
      <w:r>
        <w:rPr/>
        <w:t>(‘The</w:t>
      </w:r>
      <w:r>
        <w:rPr>
          <w:spacing w:val="-31"/>
        </w:rPr>
        <w:t> </w:t>
      </w:r>
      <w:r>
        <w:rPr/>
        <w:t>Guiding</w:t>
      </w:r>
      <w:r>
        <w:rPr>
          <w:spacing w:val="-22"/>
        </w:rPr>
        <w:t> </w:t>
      </w:r>
      <w:r>
        <w:rPr/>
        <w:t>Principles’)</w:t>
      </w:r>
      <w:r>
        <w:rPr>
          <w:spacing w:val="-22"/>
        </w:rPr>
        <w:t> </w:t>
      </w:r>
      <w:r>
        <w:rPr/>
        <w:t>to</w:t>
      </w:r>
      <w:r>
        <w:rPr>
          <w:spacing w:val="-31"/>
        </w:rPr>
        <w:t> </w:t>
      </w:r>
      <w:r>
        <w:rPr/>
        <w:t>guide</w:t>
      </w:r>
      <w:r>
        <w:rPr>
          <w:spacing w:val="-28"/>
        </w:rPr>
        <w:t> </w:t>
      </w:r>
      <w:r>
        <w:rPr/>
        <w:t>LLFAs</w:t>
      </w:r>
      <w:r>
        <w:rPr>
          <w:spacing w:val="-30"/>
        </w:rPr>
        <w:t> </w:t>
      </w:r>
      <w:r>
        <w:rPr/>
        <w:t>in</w:t>
      </w:r>
      <w:r>
        <w:rPr>
          <w:spacing w:val="-33"/>
        </w:rPr>
        <w:t> </w:t>
      </w:r>
      <w:r>
        <w:rPr/>
        <w:t>their</w:t>
      </w:r>
      <w:r>
        <w:rPr>
          <w:spacing w:val="-32"/>
        </w:rPr>
        <w:t> </w:t>
      </w:r>
      <w:r>
        <w:rPr/>
        <w:t>risk management</w:t>
      </w:r>
      <w:r>
        <w:rPr>
          <w:spacing w:val="23"/>
        </w:rPr>
        <w:t> </w:t>
      </w:r>
      <w:r>
        <w:rPr/>
        <w:t>activities.</w:t>
      </w:r>
    </w:p>
    <w:p>
      <w:pPr>
        <w:pStyle w:val="ListParagraph"/>
        <w:numPr>
          <w:ilvl w:val="0"/>
          <w:numId w:val="7"/>
        </w:numPr>
        <w:tabs>
          <w:tab w:pos="1307" w:val="left" w:leader="none"/>
        </w:tabs>
        <w:spacing w:line="240" w:lineRule="auto" w:before="120" w:after="0"/>
        <w:ind w:left="1306" w:right="0" w:hanging="282"/>
        <w:jc w:val="left"/>
        <w:rPr>
          <w:sz w:val="23"/>
        </w:rPr>
      </w:pPr>
      <w:r>
        <w:rPr>
          <w:sz w:val="23"/>
        </w:rPr>
        <w:t>Community focus and partnership</w:t>
      </w:r>
      <w:r>
        <w:rPr>
          <w:spacing w:val="-26"/>
          <w:sz w:val="23"/>
        </w:rPr>
        <w:t> </w:t>
      </w:r>
      <w:r>
        <w:rPr>
          <w:sz w:val="23"/>
        </w:rPr>
        <w:t>working.</w:t>
      </w:r>
    </w:p>
    <w:p>
      <w:pPr>
        <w:pStyle w:val="ListParagraph"/>
        <w:numPr>
          <w:ilvl w:val="0"/>
          <w:numId w:val="7"/>
        </w:numPr>
        <w:tabs>
          <w:tab w:pos="1309" w:val="left" w:leader="none"/>
        </w:tabs>
        <w:spacing w:line="240" w:lineRule="auto" w:before="138" w:after="0"/>
        <w:ind w:left="1309" w:right="0" w:hanging="286"/>
        <w:jc w:val="left"/>
        <w:rPr>
          <w:sz w:val="23"/>
        </w:rPr>
      </w:pPr>
      <w:r>
        <w:rPr>
          <w:sz w:val="23"/>
        </w:rPr>
        <w:t>A catchment and coastal ‘cell’ based</w:t>
      </w:r>
      <w:r>
        <w:rPr>
          <w:spacing w:val="6"/>
          <w:sz w:val="23"/>
        </w:rPr>
        <w:t> </w:t>
      </w:r>
      <w:r>
        <w:rPr>
          <w:sz w:val="23"/>
        </w:rPr>
        <w:t>approach.</w:t>
      </w:r>
    </w:p>
    <w:p>
      <w:pPr>
        <w:pStyle w:val="ListParagraph"/>
        <w:numPr>
          <w:ilvl w:val="0"/>
          <w:numId w:val="7"/>
        </w:numPr>
        <w:tabs>
          <w:tab w:pos="1308" w:val="left" w:leader="none"/>
        </w:tabs>
        <w:spacing w:line="240" w:lineRule="auto" w:before="149" w:after="0"/>
        <w:ind w:left="1307" w:right="0" w:hanging="287"/>
        <w:jc w:val="left"/>
        <w:rPr>
          <w:sz w:val="23"/>
        </w:rPr>
      </w:pPr>
      <w:r>
        <w:rPr>
          <w:sz w:val="23"/>
        </w:rPr>
        <w:t>Sustainability.</w:t>
      </w:r>
    </w:p>
    <w:p>
      <w:pPr>
        <w:pStyle w:val="ListParagraph"/>
        <w:numPr>
          <w:ilvl w:val="0"/>
          <w:numId w:val="7"/>
        </w:numPr>
        <w:tabs>
          <w:tab w:pos="1311" w:val="left" w:leader="none"/>
        </w:tabs>
        <w:spacing w:line="240" w:lineRule="auto" w:before="148" w:after="0"/>
        <w:ind w:left="1310" w:right="0" w:hanging="283"/>
        <w:jc w:val="left"/>
        <w:rPr>
          <w:sz w:val="23"/>
        </w:rPr>
      </w:pPr>
      <w:r>
        <w:rPr>
          <w:sz w:val="23"/>
        </w:rPr>
        <w:t>Proportionate, risk-based</w:t>
      </w:r>
      <w:r>
        <w:rPr>
          <w:spacing w:val="13"/>
          <w:sz w:val="23"/>
        </w:rPr>
        <w:t> </w:t>
      </w:r>
      <w:r>
        <w:rPr>
          <w:sz w:val="23"/>
        </w:rPr>
        <w:t>approach.</w:t>
      </w:r>
    </w:p>
    <w:p>
      <w:pPr>
        <w:pStyle w:val="ListParagraph"/>
        <w:numPr>
          <w:ilvl w:val="0"/>
          <w:numId w:val="7"/>
        </w:numPr>
        <w:tabs>
          <w:tab w:pos="1311" w:val="left" w:leader="none"/>
        </w:tabs>
        <w:spacing w:line="240" w:lineRule="auto" w:before="148" w:after="0"/>
        <w:ind w:left="1310" w:right="0" w:hanging="290"/>
        <w:jc w:val="left"/>
        <w:rPr>
          <w:sz w:val="23"/>
        </w:rPr>
      </w:pPr>
      <w:r>
        <w:rPr>
          <w:sz w:val="23"/>
        </w:rPr>
        <w:t>Multiple</w:t>
      </w:r>
      <w:r>
        <w:rPr>
          <w:spacing w:val="5"/>
          <w:sz w:val="23"/>
        </w:rPr>
        <w:t> </w:t>
      </w:r>
      <w:r>
        <w:rPr>
          <w:sz w:val="23"/>
        </w:rPr>
        <w:t>benefits.</w:t>
      </w:r>
    </w:p>
    <w:p>
      <w:pPr>
        <w:pStyle w:val="ListParagraph"/>
        <w:numPr>
          <w:ilvl w:val="0"/>
          <w:numId w:val="7"/>
        </w:numPr>
        <w:tabs>
          <w:tab w:pos="1312" w:val="left" w:leader="none"/>
        </w:tabs>
        <w:spacing w:line="240" w:lineRule="auto" w:before="149" w:after="0"/>
        <w:ind w:left="1311" w:right="0" w:hanging="290"/>
        <w:jc w:val="left"/>
        <w:rPr>
          <w:sz w:val="23"/>
        </w:rPr>
      </w:pPr>
      <w:r>
        <w:rPr>
          <w:sz w:val="23"/>
        </w:rPr>
        <w:t>Beneficiaries should be encouraged to invest in risk</w:t>
      </w:r>
      <w:r>
        <w:rPr>
          <w:spacing w:val="-14"/>
          <w:sz w:val="23"/>
        </w:rPr>
        <w:t> </w:t>
      </w:r>
      <w:r>
        <w:rPr>
          <w:sz w:val="23"/>
        </w:rPr>
        <w:t>management.</w:t>
      </w:r>
    </w:p>
    <w:p>
      <w:pPr>
        <w:pStyle w:val="ListParagraph"/>
        <w:numPr>
          <w:ilvl w:val="1"/>
          <w:numId w:val="4"/>
        </w:numPr>
        <w:tabs>
          <w:tab w:pos="1019" w:val="left" w:leader="none"/>
          <w:tab w:pos="1020" w:val="left" w:leader="none"/>
        </w:tabs>
        <w:spacing w:line="240" w:lineRule="auto" w:before="159" w:after="0"/>
        <w:ind w:left="1019" w:right="0" w:hanging="864"/>
        <w:jc w:val="left"/>
        <w:rPr>
          <w:sz w:val="28"/>
        </w:rPr>
      </w:pPr>
      <w:r>
        <w:rPr>
          <w:sz w:val="28"/>
        </w:rPr>
        <w:t>LOCAL DEVELOPMENT</w:t>
      </w:r>
      <w:r>
        <w:rPr>
          <w:spacing w:val="45"/>
          <w:sz w:val="28"/>
        </w:rPr>
        <w:t> </w:t>
      </w:r>
      <w:r>
        <w:rPr>
          <w:sz w:val="28"/>
        </w:rPr>
        <w:t>FRAMEWORK</w:t>
      </w:r>
    </w:p>
    <w:p>
      <w:pPr>
        <w:pStyle w:val="BodyText"/>
        <w:spacing w:line="261" w:lineRule="auto" w:before="157"/>
        <w:ind w:left="1016" w:right="307" w:firstLine="7"/>
      </w:pPr>
      <w:r>
        <w:rPr/>
        <w:t>To</w:t>
      </w:r>
      <w:r>
        <w:rPr>
          <w:spacing w:val="-39"/>
        </w:rPr>
        <w:t> </w:t>
      </w:r>
      <w:r>
        <w:rPr/>
        <w:t>ensure</w:t>
      </w:r>
      <w:r>
        <w:rPr>
          <w:spacing w:val="-32"/>
        </w:rPr>
        <w:t> </w:t>
      </w:r>
      <w:r>
        <w:rPr/>
        <w:t>consistency</w:t>
      </w:r>
      <w:r>
        <w:rPr>
          <w:spacing w:val="-29"/>
        </w:rPr>
        <w:t> </w:t>
      </w:r>
      <w:r>
        <w:rPr/>
        <w:t>with</w:t>
      </w:r>
      <w:r>
        <w:rPr>
          <w:spacing w:val="-39"/>
        </w:rPr>
        <w:t> </w:t>
      </w:r>
      <w:r>
        <w:rPr/>
        <w:t>local</w:t>
      </w:r>
      <w:r>
        <w:rPr>
          <w:spacing w:val="-40"/>
        </w:rPr>
        <w:t> </w:t>
      </w:r>
      <w:r>
        <w:rPr/>
        <w:t>planning</w:t>
      </w:r>
      <w:r>
        <w:rPr>
          <w:spacing w:val="-29"/>
        </w:rPr>
        <w:t> </w:t>
      </w:r>
      <w:r>
        <w:rPr/>
        <w:t>guidance</w:t>
      </w:r>
      <w:r>
        <w:rPr>
          <w:spacing w:val="-35"/>
        </w:rPr>
        <w:t> </w:t>
      </w:r>
      <w:r>
        <w:rPr/>
        <w:t>the</w:t>
      </w:r>
      <w:r>
        <w:rPr>
          <w:spacing w:val="-38"/>
        </w:rPr>
        <w:t> </w:t>
      </w:r>
      <w:r>
        <w:rPr/>
        <w:t>LFRMS</w:t>
      </w:r>
      <w:r>
        <w:rPr>
          <w:spacing w:val="-38"/>
        </w:rPr>
        <w:t> </w:t>
      </w:r>
      <w:r>
        <w:rPr/>
        <w:t>has</w:t>
      </w:r>
      <w:r>
        <w:rPr>
          <w:spacing w:val="-45"/>
        </w:rPr>
        <w:t> </w:t>
      </w:r>
      <w:r>
        <w:rPr/>
        <w:t>been</w:t>
      </w:r>
      <w:r>
        <w:rPr>
          <w:spacing w:val="-39"/>
        </w:rPr>
        <w:t> </w:t>
      </w:r>
      <w:r>
        <w:rPr/>
        <w:t>produced</w:t>
      </w:r>
      <w:r>
        <w:rPr>
          <w:spacing w:val="-33"/>
        </w:rPr>
        <w:t> </w:t>
      </w:r>
      <w:r>
        <w:rPr/>
        <w:t>with</w:t>
      </w:r>
      <w:r>
        <w:rPr>
          <w:spacing w:val="-39"/>
        </w:rPr>
        <w:t> </w:t>
      </w:r>
      <w:r>
        <w:rPr/>
        <w:t>reference to the Leeds Local Development Framework</w:t>
      </w:r>
      <w:r>
        <w:rPr>
          <w:spacing w:val="-30"/>
        </w:rPr>
        <w:t> </w:t>
      </w:r>
      <w:r>
        <w:rPr/>
        <w:t>(LDF).</w:t>
      </w:r>
    </w:p>
    <w:p>
      <w:pPr>
        <w:pStyle w:val="BodyText"/>
        <w:spacing w:line="261" w:lineRule="auto" w:before="124"/>
        <w:ind w:left="1022" w:right="307" w:firstLine="2"/>
      </w:pPr>
      <w:r>
        <w:rPr/>
        <w:t>The</w:t>
      </w:r>
      <w:r>
        <w:rPr>
          <w:spacing w:val="-44"/>
        </w:rPr>
        <w:t> </w:t>
      </w:r>
      <w:r>
        <w:rPr/>
        <w:t>key</w:t>
      </w:r>
      <w:r>
        <w:rPr>
          <w:spacing w:val="-39"/>
        </w:rPr>
        <w:t> </w:t>
      </w:r>
      <w:r>
        <w:rPr/>
        <w:t>Development</w:t>
      </w:r>
      <w:r>
        <w:rPr>
          <w:spacing w:val="-37"/>
        </w:rPr>
        <w:t> </w:t>
      </w:r>
      <w:r>
        <w:rPr/>
        <w:t>Plan</w:t>
      </w:r>
      <w:r>
        <w:rPr>
          <w:spacing w:val="-37"/>
        </w:rPr>
        <w:t> </w:t>
      </w:r>
      <w:r>
        <w:rPr/>
        <w:t>Documents</w:t>
      </w:r>
      <w:r>
        <w:rPr>
          <w:spacing w:val="-36"/>
        </w:rPr>
        <w:t> </w:t>
      </w:r>
      <w:r>
        <w:rPr/>
        <w:t>reviewed,</w:t>
      </w:r>
      <w:r>
        <w:rPr>
          <w:spacing w:val="-37"/>
        </w:rPr>
        <w:t> </w:t>
      </w:r>
      <w:r>
        <w:rPr/>
        <w:t>were</w:t>
      </w:r>
      <w:r>
        <w:rPr>
          <w:spacing w:val="-39"/>
        </w:rPr>
        <w:t> </w:t>
      </w:r>
      <w:r>
        <w:rPr/>
        <w:t>the</w:t>
      </w:r>
      <w:r>
        <w:rPr>
          <w:spacing w:val="-41"/>
        </w:rPr>
        <w:t> </w:t>
      </w:r>
      <w:r>
        <w:rPr/>
        <w:t>Leeds</w:t>
      </w:r>
      <w:r>
        <w:rPr>
          <w:spacing w:val="-41"/>
        </w:rPr>
        <w:t> </w:t>
      </w:r>
      <w:r>
        <w:rPr/>
        <w:t>Core</w:t>
      </w:r>
      <w:r>
        <w:rPr>
          <w:spacing w:val="-42"/>
        </w:rPr>
        <w:t> </w:t>
      </w:r>
      <w:r>
        <w:rPr/>
        <w:t>Strategy</w:t>
      </w:r>
      <w:r>
        <w:rPr>
          <w:spacing w:val="-39"/>
        </w:rPr>
        <w:t> </w:t>
      </w:r>
      <w:r>
        <w:rPr/>
        <w:t>(adopted November</w:t>
      </w:r>
      <w:r>
        <w:rPr>
          <w:spacing w:val="-27"/>
        </w:rPr>
        <w:t> </w:t>
      </w:r>
      <w:r>
        <w:rPr/>
        <w:t>2014)</w:t>
      </w:r>
      <w:r>
        <w:rPr>
          <w:spacing w:val="-33"/>
        </w:rPr>
        <w:t> </w:t>
      </w:r>
      <w:r>
        <w:rPr/>
        <w:t>and</w:t>
      </w:r>
      <w:r>
        <w:rPr>
          <w:spacing w:val="-35"/>
        </w:rPr>
        <w:t> </w:t>
      </w:r>
      <w:r>
        <w:rPr/>
        <w:t>Natural</w:t>
      </w:r>
      <w:r>
        <w:rPr>
          <w:spacing w:val="-32"/>
        </w:rPr>
        <w:t> </w:t>
      </w:r>
      <w:r>
        <w:rPr/>
        <w:t>Resources</w:t>
      </w:r>
      <w:r>
        <w:rPr>
          <w:spacing w:val="-31"/>
        </w:rPr>
        <w:t> </w:t>
      </w:r>
      <w:r>
        <w:rPr/>
        <w:t>and</w:t>
      </w:r>
      <w:r>
        <w:rPr>
          <w:spacing w:val="-36"/>
        </w:rPr>
        <w:t> </w:t>
      </w:r>
      <w:r>
        <w:rPr/>
        <w:t>Waste</w:t>
      </w:r>
      <w:r>
        <w:rPr>
          <w:spacing w:val="-33"/>
        </w:rPr>
        <w:t> </w:t>
      </w:r>
      <w:r>
        <w:rPr/>
        <w:t>Local</w:t>
      </w:r>
      <w:r>
        <w:rPr>
          <w:spacing w:val="-34"/>
        </w:rPr>
        <w:t> </w:t>
      </w:r>
      <w:r>
        <w:rPr/>
        <w:t>Plan</w:t>
      </w:r>
      <w:r>
        <w:rPr>
          <w:spacing w:val="-33"/>
        </w:rPr>
        <w:t> </w:t>
      </w:r>
      <w:r>
        <w:rPr/>
        <w:t>(adopted</w:t>
      </w:r>
      <w:r>
        <w:rPr>
          <w:spacing w:val="-29"/>
        </w:rPr>
        <w:t> </w:t>
      </w:r>
      <w:r>
        <w:rPr/>
        <w:t>January</w:t>
      </w:r>
      <w:r>
        <w:rPr>
          <w:spacing w:val="-33"/>
        </w:rPr>
        <w:t> </w:t>
      </w:r>
      <w:r>
        <w:rPr/>
        <w:t>2013).</w:t>
      </w:r>
    </w:p>
    <w:p>
      <w:pPr>
        <w:pStyle w:val="BodyText"/>
        <w:spacing w:line="261" w:lineRule="auto" w:before="124"/>
        <w:ind w:left="1018" w:firstLine="4"/>
      </w:pPr>
      <w:r>
        <w:rPr/>
        <w:t>Leeds</w:t>
      </w:r>
      <w:r>
        <w:rPr>
          <w:spacing w:val="-31"/>
        </w:rPr>
        <w:t> </w:t>
      </w:r>
      <w:r>
        <w:rPr/>
        <w:t>Core</w:t>
      </w:r>
      <w:r>
        <w:rPr>
          <w:spacing w:val="-32"/>
        </w:rPr>
        <w:t> </w:t>
      </w:r>
      <w:r>
        <w:rPr/>
        <w:t>Strategy</w:t>
      </w:r>
      <w:r>
        <w:rPr>
          <w:spacing w:val="-24"/>
        </w:rPr>
        <w:t> </w:t>
      </w:r>
      <w:r>
        <w:rPr/>
        <w:t>Policy</w:t>
      </w:r>
      <w:r>
        <w:rPr>
          <w:spacing w:val="-28"/>
        </w:rPr>
        <w:t> </w:t>
      </w:r>
      <w:r>
        <w:rPr/>
        <w:t>EN5</w:t>
      </w:r>
      <w:r>
        <w:rPr>
          <w:spacing w:val="-35"/>
        </w:rPr>
        <w:t> </w:t>
      </w:r>
      <w:r>
        <w:rPr/>
        <w:t>is</w:t>
      </w:r>
      <w:r>
        <w:rPr>
          <w:spacing w:val="-37"/>
        </w:rPr>
        <w:t> </w:t>
      </w:r>
      <w:r>
        <w:rPr/>
        <w:t>presented</w:t>
      </w:r>
      <w:r>
        <w:rPr>
          <w:spacing w:val="-27"/>
        </w:rPr>
        <w:t> </w:t>
      </w:r>
      <w:r>
        <w:rPr/>
        <w:t>below.</w:t>
      </w:r>
      <w:r>
        <w:rPr>
          <w:spacing w:val="-32"/>
        </w:rPr>
        <w:t> </w:t>
      </w:r>
      <w:r>
        <w:rPr/>
        <w:t>It</w:t>
      </w:r>
      <w:r>
        <w:rPr>
          <w:spacing w:val="-29"/>
        </w:rPr>
        <w:t> </w:t>
      </w:r>
      <w:r>
        <w:rPr/>
        <w:t>sets</w:t>
      </w:r>
      <w:r>
        <w:rPr>
          <w:spacing w:val="-31"/>
        </w:rPr>
        <w:t> </w:t>
      </w:r>
      <w:r>
        <w:rPr/>
        <w:t>out</w:t>
      </w:r>
      <w:r>
        <w:rPr>
          <w:spacing w:val="-32"/>
        </w:rPr>
        <w:t> </w:t>
      </w:r>
      <w:r>
        <w:rPr/>
        <w:t>the</w:t>
      </w:r>
      <w:r>
        <w:rPr>
          <w:spacing w:val="-31"/>
        </w:rPr>
        <w:t> </w:t>
      </w:r>
      <w:r>
        <w:rPr/>
        <w:t>six</w:t>
      </w:r>
      <w:r>
        <w:rPr>
          <w:spacing w:val="-31"/>
        </w:rPr>
        <w:t> </w:t>
      </w:r>
      <w:r>
        <w:rPr/>
        <w:t>‘objectives</w:t>
      </w:r>
      <w:r>
        <w:rPr>
          <w:spacing w:val="-26"/>
        </w:rPr>
        <w:t> </w:t>
      </w:r>
      <w:r>
        <w:rPr/>
        <w:t>for</w:t>
      </w:r>
      <w:r>
        <w:rPr>
          <w:spacing w:val="-34"/>
        </w:rPr>
        <w:t> </w:t>
      </w:r>
      <w:r>
        <w:rPr/>
        <w:t>managing</w:t>
      </w:r>
      <w:r>
        <w:rPr>
          <w:spacing w:val="-26"/>
        </w:rPr>
        <w:t> </w:t>
      </w:r>
      <w:r>
        <w:rPr/>
        <w:t>local flood risk’, which are listed in Section 5 of this</w:t>
      </w:r>
      <w:r>
        <w:rPr>
          <w:spacing w:val="-6"/>
        </w:rPr>
        <w:t> </w:t>
      </w:r>
      <w:r>
        <w:rPr/>
        <w:t>document.</w:t>
      </w:r>
    </w:p>
    <w:p>
      <w:pPr>
        <w:pStyle w:val="BodyText"/>
        <w:spacing w:before="124"/>
        <w:ind w:left="1022"/>
      </w:pPr>
      <w:r>
        <w:rPr/>
        <w:t>POLICY EN5: MANAGING FLOOD RISK</w:t>
      </w:r>
    </w:p>
    <w:p>
      <w:pPr>
        <w:pStyle w:val="BodyText"/>
        <w:spacing w:before="148"/>
        <w:ind w:left="1024"/>
      </w:pPr>
      <w:r>
        <w:rPr/>
        <w:t>The Council will manage and mitigate flood risk by:</w:t>
      </w:r>
    </w:p>
    <w:p>
      <w:pPr>
        <w:pStyle w:val="BodyText"/>
        <w:tabs>
          <w:tab w:pos="1587" w:val="left" w:leader="none"/>
        </w:tabs>
        <w:spacing w:line="261" w:lineRule="auto" w:before="149"/>
        <w:ind w:left="1588" w:right="206" w:hanging="324"/>
      </w:pPr>
      <w:r>
        <w:rPr/>
        <w:t>i.</w:t>
        <w:tab/>
        <w:t>Avoiding</w:t>
      </w:r>
      <w:r>
        <w:rPr>
          <w:spacing w:val="-33"/>
        </w:rPr>
        <w:t> </w:t>
      </w:r>
      <w:r>
        <w:rPr/>
        <w:t>development</w:t>
      </w:r>
      <w:r>
        <w:rPr>
          <w:spacing w:val="-31"/>
        </w:rPr>
        <w:t> </w:t>
      </w:r>
      <w:r>
        <w:rPr/>
        <w:t>in</w:t>
      </w:r>
      <w:r>
        <w:rPr>
          <w:spacing w:val="-41"/>
        </w:rPr>
        <w:t> </w:t>
      </w:r>
      <w:r>
        <w:rPr/>
        <w:t>flood</w:t>
      </w:r>
      <w:r>
        <w:rPr>
          <w:spacing w:val="-40"/>
        </w:rPr>
        <w:t> </w:t>
      </w:r>
      <w:r>
        <w:rPr/>
        <w:t>risk</w:t>
      </w:r>
      <w:r>
        <w:rPr>
          <w:spacing w:val="-40"/>
        </w:rPr>
        <w:t> </w:t>
      </w:r>
      <w:r>
        <w:rPr/>
        <w:t>areas,</w:t>
      </w:r>
      <w:r>
        <w:rPr>
          <w:spacing w:val="-35"/>
        </w:rPr>
        <w:t> </w:t>
      </w:r>
      <w:r>
        <w:rPr/>
        <w:t>where</w:t>
      </w:r>
      <w:r>
        <w:rPr>
          <w:spacing w:val="-40"/>
        </w:rPr>
        <w:t> </w:t>
      </w:r>
      <w:r>
        <w:rPr/>
        <w:t>possible,</w:t>
      </w:r>
      <w:r>
        <w:rPr>
          <w:spacing w:val="-36"/>
        </w:rPr>
        <w:t> </w:t>
      </w:r>
      <w:r>
        <w:rPr/>
        <w:t>by</w:t>
      </w:r>
      <w:r>
        <w:rPr>
          <w:spacing w:val="-38"/>
        </w:rPr>
        <w:t> </w:t>
      </w:r>
      <w:r>
        <w:rPr/>
        <w:t>applying</w:t>
      </w:r>
      <w:r>
        <w:rPr>
          <w:spacing w:val="-39"/>
        </w:rPr>
        <w:t> </w:t>
      </w:r>
      <w:r>
        <w:rPr/>
        <w:t>the</w:t>
      </w:r>
      <w:r>
        <w:rPr>
          <w:spacing w:val="-40"/>
        </w:rPr>
        <w:t> </w:t>
      </w:r>
      <w:r>
        <w:rPr/>
        <w:t>sequential</w:t>
      </w:r>
      <w:r>
        <w:rPr>
          <w:spacing w:val="-31"/>
        </w:rPr>
        <w:t> </w:t>
      </w:r>
      <w:r>
        <w:rPr/>
        <w:t>approach and where this is not possible by mitigating measures, in line with the NPPF, both in the allocation</w:t>
      </w:r>
      <w:r>
        <w:rPr>
          <w:spacing w:val="-4"/>
        </w:rPr>
        <w:t> </w:t>
      </w:r>
      <w:r>
        <w:rPr/>
        <w:t>of</w:t>
      </w:r>
      <w:r>
        <w:rPr>
          <w:spacing w:val="-15"/>
        </w:rPr>
        <w:t> </w:t>
      </w:r>
      <w:r>
        <w:rPr/>
        <w:t>sites</w:t>
      </w:r>
      <w:r>
        <w:rPr>
          <w:spacing w:val="-20"/>
        </w:rPr>
        <w:t> </w:t>
      </w:r>
      <w:r>
        <w:rPr/>
        <w:t>for</w:t>
      </w:r>
      <w:r>
        <w:rPr>
          <w:spacing w:val="-15"/>
        </w:rPr>
        <w:t> </w:t>
      </w:r>
      <w:r>
        <w:rPr/>
        <w:t>development</w:t>
      </w:r>
      <w:r>
        <w:rPr>
          <w:spacing w:val="4"/>
        </w:rPr>
        <w:t> </w:t>
      </w:r>
      <w:r>
        <w:rPr/>
        <w:t>and</w:t>
      </w:r>
      <w:r>
        <w:rPr>
          <w:spacing w:val="-20"/>
        </w:rPr>
        <w:t> </w:t>
      </w:r>
      <w:r>
        <w:rPr/>
        <w:t>in</w:t>
      </w:r>
      <w:r>
        <w:rPr>
          <w:spacing w:val="-20"/>
        </w:rPr>
        <w:t> </w:t>
      </w:r>
      <w:r>
        <w:rPr/>
        <w:t>the</w:t>
      </w:r>
      <w:r>
        <w:rPr>
          <w:spacing w:val="-17"/>
        </w:rPr>
        <w:t> </w:t>
      </w:r>
      <w:r>
        <w:rPr/>
        <w:t>determination of</w:t>
      </w:r>
      <w:r>
        <w:rPr>
          <w:spacing w:val="-23"/>
        </w:rPr>
        <w:t> </w:t>
      </w:r>
      <w:r>
        <w:rPr/>
        <w:t>planning</w:t>
      </w:r>
      <w:r>
        <w:rPr>
          <w:spacing w:val="-6"/>
        </w:rPr>
        <w:t> </w:t>
      </w:r>
      <w:r>
        <w:rPr/>
        <w:t>applications;</w:t>
      </w:r>
    </w:p>
    <w:p>
      <w:pPr>
        <w:pStyle w:val="BodyText"/>
        <w:spacing w:line="266" w:lineRule="auto" w:before="124"/>
        <w:ind w:left="1581" w:right="793" w:firstLine="7"/>
      </w:pPr>
      <w:r>
        <w:rPr/>
        <w:drawing>
          <wp:anchor distT="0" distB="0" distL="0" distR="0" allowOverlap="1" layoutInCell="1" locked="0" behindDoc="0" simplePos="0" relativeHeight="1888">
            <wp:simplePos x="0" y="0"/>
            <wp:positionH relativeFrom="page">
              <wp:posOffset>1036232</wp:posOffset>
            </wp:positionH>
            <wp:positionV relativeFrom="paragraph">
              <wp:posOffset>115157</wp:posOffset>
            </wp:positionV>
            <wp:extent cx="79241" cy="103623"/>
            <wp:effectExtent l="0" t="0" r="0" b="0"/>
            <wp:wrapNone/>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40" cstate="print"/>
                    <a:stretch>
                      <a:fillRect/>
                    </a:stretch>
                  </pic:blipFill>
                  <pic:spPr>
                    <a:xfrm>
                      <a:off x="0" y="0"/>
                      <a:ext cx="79241" cy="103623"/>
                    </a:xfrm>
                    <a:prstGeom prst="rect">
                      <a:avLst/>
                    </a:prstGeom>
                  </pic:spPr>
                </pic:pic>
              </a:graphicData>
            </a:graphic>
          </wp:anchor>
        </w:drawing>
      </w:r>
      <w:r>
        <w:rPr/>
        <w:t>Protecting areas of functional floodplain as shown on the Leeds Strategic Flood Risk </w:t>
      </w:r>
      <w:r>
        <w:rPr>
          <w:w w:val="95"/>
        </w:rPr>
        <w:t>Assessment (SFRA) from development (except for water compatible uses and essential </w:t>
      </w:r>
      <w:r>
        <w:rPr/>
        <w:t>infrastructure);</w:t>
      </w:r>
    </w:p>
    <w:p>
      <w:pPr>
        <w:pStyle w:val="BodyText"/>
        <w:spacing w:line="261" w:lineRule="auto" w:before="117"/>
        <w:ind w:left="1581" w:firstLine="6"/>
      </w:pPr>
      <w:r>
        <w:rPr/>
        <w:drawing>
          <wp:anchor distT="0" distB="0" distL="0" distR="0" allowOverlap="1" layoutInCell="1" locked="0" behindDoc="0" simplePos="0" relativeHeight="1912">
            <wp:simplePos x="0" y="0"/>
            <wp:positionH relativeFrom="page">
              <wp:posOffset>1005754</wp:posOffset>
            </wp:positionH>
            <wp:positionV relativeFrom="paragraph">
              <wp:posOffset>110712</wp:posOffset>
            </wp:positionV>
            <wp:extent cx="109718" cy="103623"/>
            <wp:effectExtent l="0" t="0" r="0" b="0"/>
            <wp:wrapNone/>
            <wp:docPr id="43" name="image25.png" descr=""/>
            <wp:cNvGraphicFramePr>
              <a:graphicFrameLocks noChangeAspect="1"/>
            </wp:cNvGraphicFramePr>
            <a:graphic>
              <a:graphicData uri="http://schemas.openxmlformats.org/drawingml/2006/picture">
                <pic:pic>
                  <pic:nvPicPr>
                    <pic:cNvPr id="44" name="image25.png"/>
                    <pic:cNvPicPr/>
                  </pic:nvPicPr>
                  <pic:blipFill>
                    <a:blip r:embed="rId41" cstate="print"/>
                    <a:stretch>
                      <a:fillRect/>
                    </a:stretch>
                  </pic:blipFill>
                  <pic:spPr>
                    <a:xfrm>
                      <a:off x="0" y="0"/>
                      <a:ext cx="109718" cy="103623"/>
                    </a:xfrm>
                    <a:prstGeom prst="rect">
                      <a:avLst/>
                    </a:prstGeom>
                  </pic:spPr>
                </pic:pic>
              </a:graphicData>
            </a:graphic>
          </wp:anchor>
        </w:drawing>
      </w:r>
      <w:r>
        <w:rPr/>
        <w:t>Requiring</w:t>
      </w:r>
      <w:r>
        <w:rPr>
          <w:spacing w:val="-27"/>
        </w:rPr>
        <w:t> </w:t>
      </w:r>
      <w:r>
        <w:rPr/>
        <w:t>flood</w:t>
      </w:r>
      <w:r>
        <w:rPr>
          <w:spacing w:val="-35"/>
        </w:rPr>
        <w:t> </w:t>
      </w:r>
      <w:r>
        <w:rPr/>
        <w:t>risk</w:t>
      </w:r>
      <w:r>
        <w:rPr>
          <w:spacing w:val="-35"/>
        </w:rPr>
        <w:t> </w:t>
      </w:r>
      <w:r>
        <w:rPr/>
        <w:t>to</w:t>
      </w:r>
      <w:r>
        <w:rPr>
          <w:spacing w:val="-40"/>
        </w:rPr>
        <w:t> </w:t>
      </w:r>
      <w:r>
        <w:rPr/>
        <w:t>be</w:t>
      </w:r>
      <w:r>
        <w:rPr>
          <w:spacing w:val="-38"/>
        </w:rPr>
        <w:t> </w:t>
      </w:r>
      <w:r>
        <w:rPr/>
        <w:t>considered</w:t>
      </w:r>
      <w:r>
        <w:rPr>
          <w:spacing w:val="-24"/>
        </w:rPr>
        <w:t> </w:t>
      </w:r>
      <w:r>
        <w:rPr/>
        <w:t>for</w:t>
      </w:r>
      <w:r>
        <w:rPr>
          <w:spacing w:val="-35"/>
        </w:rPr>
        <w:t> </w:t>
      </w:r>
      <w:r>
        <w:rPr/>
        <w:t>all</w:t>
      </w:r>
      <w:r>
        <w:rPr>
          <w:spacing w:val="-35"/>
        </w:rPr>
        <w:t> </w:t>
      </w:r>
      <w:r>
        <w:rPr/>
        <w:t>development</w:t>
      </w:r>
      <w:r>
        <w:rPr>
          <w:spacing w:val="-22"/>
        </w:rPr>
        <w:t> </w:t>
      </w:r>
      <w:r>
        <w:rPr/>
        <w:t>commensurate</w:t>
      </w:r>
      <w:r>
        <w:rPr>
          <w:spacing w:val="-27"/>
        </w:rPr>
        <w:t> </w:t>
      </w:r>
      <w:r>
        <w:rPr/>
        <w:t>with</w:t>
      </w:r>
      <w:r>
        <w:rPr>
          <w:spacing w:val="-36"/>
        </w:rPr>
        <w:t> </w:t>
      </w:r>
      <w:r>
        <w:rPr/>
        <w:t>the</w:t>
      </w:r>
      <w:r>
        <w:rPr>
          <w:spacing w:val="-31"/>
        </w:rPr>
        <w:t> </w:t>
      </w:r>
      <w:r>
        <w:rPr/>
        <w:t>scale</w:t>
      </w:r>
      <w:r>
        <w:rPr>
          <w:spacing w:val="-34"/>
        </w:rPr>
        <w:t> </w:t>
      </w:r>
      <w:r>
        <w:rPr/>
        <w:t>and impact of the proposed development and mitigated where</w:t>
      </w:r>
      <w:r>
        <w:rPr>
          <w:spacing w:val="-33"/>
        </w:rPr>
        <w:t> </w:t>
      </w:r>
      <w:r>
        <w:rPr/>
        <w:t>appropriate;</w:t>
      </w:r>
    </w:p>
    <w:p>
      <w:pPr>
        <w:spacing w:after="0" w:line="261" w:lineRule="auto"/>
        <w:sectPr>
          <w:pgSz w:w="11920" w:h="16850"/>
          <w:pgMar w:header="0" w:footer="1246" w:top="580" w:bottom="1440" w:left="400" w:right="540"/>
        </w:sectPr>
      </w:pPr>
    </w:p>
    <w:p>
      <w:pPr>
        <w:spacing w:before="162"/>
        <w:ind w:left="1173" w:right="0" w:firstLine="0"/>
        <w:jc w:val="left"/>
        <w:rPr>
          <w:sz w:val="19"/>
        </w:rPr>
      </w:pPr>
      <w:r>
        <w:rPr>
          <w:w w:val="80"/>
          <w:sz w:val="19"/>
        </w:rPr>
        <w:t>ÏV.</w:t>
      </w:r>
    </w:p>
    <w:p>
      <w:pPr>
        <w:pStyle w:val="BodyText"/>
        <w:spacing w:before="8"/>
        <w:rPr>
          <w:sz w:val="17"/>
        </w:rPr>
      </w:pPr>
    </w:p>
    <w:p>
      <w:pPr>
        <w:spacing w:before="0"/>
        <w:ind w:left="1211" w:right="0" w:firstLine="0"/>
        <w:jc w:val="left"/>
        <w:rPr>
          <w:sz w:val="18"/>
        </w:rPr>
      </w:pPr>
      <w:r>
        <w:rPr>
          <w:spacing w:val="-1"/>
          <w:w w:val="90"/>
          <w:sz w:val="18"/>
        </w:rPr>
        <w:t>V.</w:t>
      </w:r>
    </w:p>
    <w:p>
      <w:pPr>
        <w:pStyle w:val="BodyText"/>
        <w:spacing w:before="3"/>
        <w:rPr>
          <w:sz w:val="16"/>
        </w:rPr>
      </w:pPr>
    </w:p>
    <w:p>
      <w:pPr>
        <w:spacing w:line="453" w:lineRule="auto" w:before="0"/>
        <w:ind w:left="1058" w:right="0" w:firstLine="105"/>
        <w:jc w:val="both"/>
        <w:rPr>
          <w:sz w:val="19"/>
        </w:rPr>
      </w:pPr>
      <w:r>
        <w:rPr>
          <w:w w:val="85"/>
          <w:sz w:val="19"/>
        </w:rPr>
        <w:t>VÏ. </w:t>
      </w:r>
      <w:r>
        <w:rPr>
          <w:sz w:val="19"/>
        </w:rPr>
        <w:t>VII. </w:t>
      </w:r>
      <w:r>
        <w:rPr>
          <w:w w:val="90"/>
          <w:sz w:val="19"/>
        </w:rPr>
        <w:t>VÏÏÏ.</w:t>
      </w:r>
    </w:p>
    <w:p>
      <w:pPr>
        <w:pStyle w:val="BodyText"/>
        <w:spacing w:line="374" w:lineRule="auto" w:before="124"/>
        <w:ind w:left="180" w:hanging="1"/>
      </w:pPr>
      <w:r>
        <w:rPr/>
        <w:br w:type="column"/>
      </w:r>
      <w:r>
        <w:rPr/>
        <w:t>Reducing</w:t>
      </w:r>
      <w:r>
        <w:rPr>
          <w:spacing w:val="-29"/>
        </w:rPr>
        <w:t> </w:t>
      </w:r>
      <w:r>
        <w:rPr/>
        <w:t>the</w:t>
      </w:r>
      <w:r>
        <w:rPr>
          <w:spacing w:val="-30"/>
        </w:rPr>
        <w:t> </w:t>
      </w:r>
      <w:r>
        <w:rPr/>
        <w:t>speed</w:t>
      </w:r>
      <w:r>
        <w:rPr>
          <w:spacing w:val="-31"/>
        </w:rPr>
        <w:t> </w:t>
      </w:r>
      <w:r>
        <w:rPr/>
        <w:t>and</w:t>
      </w:r>
      <w:r>
        <w:rPr>
          <w:spacing w:val="-34"/>
        </w:rPr>
        <w:t> </w:t>
      </w:r>
      <w:r>
        <w:rPr/>
        <w:t>volume</w:t>
      </w:r>
      <w:r>
        <w:rPr>
          <w:spacing w:val="-30"/>
        </w:rPr>
        <w:t> </w:t>
      </w:r>
      <w:r>
        <w:rPr/>
        <w:t>of</w:t>
      </w:r>
      <w:r>
        <w:rPr>
          <w:spacing w:val="-32"/>
        </w:rPr>
        <w:t> </w:t>
      </w:r>
      <w:r>
        <w:rPr/>
        <w:t>surface</w:t>
      </w:r>
      <w:r>
        <w:rPr>
          <w:spacing w:val="-32"/>
        </w:rPr>
        <w:t> </w:t>
      </w:r>
      <w:r>
        <w:rPr/>
        <w:t>water</w:t>
      </w:r>
      <w:r>
        <w:rPr>
          <w:spacing w:val="-35"/>
        </w:rPr>
        <w:t> </w:t>
      </w:r>
      <w:r>
        <w:rPr/>
        <w:t>run-off</w:t>
      </w:r>
      <w:r>
        <w:rPr>
          <w:spacing w:val="-32"/>
        </w:rPr>
        <w:t> </w:t>
      </w:r>
      <w:r>
        <w:rPr/>
        <w:t>as</w:t>
      </w:r>
      <w:r>
        <w:rPr>
          <w:spacing w:val="-38"/>
        </w:rPr>
        <w:t> </w:t>
      </w:r>
      <w:r>
        <w:rPr/>
        <w:t>part</w:t>
      </w:r>
      <w:r>
        <w:rPr>
          <w:spacing w:val="-30"/>
        </w:rPr>
        <w:t> </w:t>
      </w:r>
      <w:r>
        <w:rPr/>
        <w:t>of</w:t>
      </w:r>
      <w:r>
        <w:rPr>
          <w:spacing w:val="-39"/>
        </w:rPr>
        <w:t> </w:t>
      </w:r>
      <w:r>
        <w:rPr/>
        <w:t>new</w:t>
      </w:r>
      <w:r>
        <w:rPr>
          <w:spacing w:val="-29"/>
        </w:rPr>
        <w:t> </w:t>
      </w:r>
      <w:r>
        <w:rPr/>
        <w:t>build</w:t>
      </w:r>
      <w:r>
        <w:rPr>
          <w:spacing w:val="-27"/>
        </w:rPr>
        <w:t> </w:t>
      </w:r>
      <w:r>
        <w:rPr/>
        <w:t>development; Making space for flood water in high flood risk</w:t>
      </w:r>
      <w:r>
        <w:rPr>
          <w:spacing w:val="-23"/>
        </w:rPr>
        <w:t> </w:t>
      </w:r>
      <w:r>
        <w:rPr/>
        <w:t>area;</w:t>
      </w:r>
    </w:p>
    <w:p>
      <w:pPr>
        <w:pStyle w:val="BodyText"/>
        <w:spacing w:line="255" w:lineRule="exact"/>
        <w:ind w:left="180"/>
      </w:pPr>
      <w:r>
        <w:rPr/>
        <w:t>Reducing the residual risks within Areas of Rapid Inundation;</w:t>
      </w:r>
    </w:p>
    <w:p>
      <w:pPr>
        <w:pStyle w:val="BodyText"/>
        <w:spacing w:line="374" w:lineRule="auto" w:before="149"/>
        <w:ind w:left="183" w:right="696" w:hanging="4"/>
      </w:pPr>
      <w:r>
        <w:rPr>
          <w:w w:val="95"/>
        </w:rPr>
        <w:t>Encouraging the removal of existing culverting where practicable and appropriate, and </w:t>
      </w:r>
      <w:r>
        <w:rPr/>
        <w:t>The development of the Leeds Flood Alleviation Scheme (FAS).</w:t>
      </w:r>
    </w:p>
    <w:p>
      <w:pPr>
        <w:spacing w:after="0" w:line="374" w:lineRule="auto"/>
        <w:sectPr>
          <w:type w:val="continuous"/>
          <w:pgSz w:w="11920" w:h="16850"/>
          <w:pgMar w:top="1220" w:bottom="0" w:left="400" w:right="540"/>
          <w:cols w:num="2" w:equalWidth="0">
            <w:col w:w="1368" w:space="40"/>
            <w:col w:w="9572"/>
          </w:cols>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line="261" w:lineRule="auto" w:before="92"/>
        <w:ind w:left="1022" w:firstLine="2"/>
      </w:pPr>
      <w:r>
        <w:rPr/>
        <w:pict>
          <v:group style="position:absolute;margin-left:123.349602pt;margin-top:-50.127747pt;width:5.3pt;height:35.050pt;mso-position-horizontal-relative:page;mso-position-vertical-relative:paragraph;z-index:1936" coordorigin="2467,-1003" coordsize="106,701">
            <v:shape style="position:absolute;left:2467;top:-1003;width:106;height:48" type="#_x0000_t75" stroked="false">
              <v:imagedata r:id="rId14" o:title=""/>
            </v:shape>
            <v:shape style="position:absolute;left:2486;top:-341;width:87;height:39" type="#_x0000_t75" stroked="false">
              <v:imagedata r:id="rId15" o:title=""/>
            </v:shape>
            <v:line style="position:absolute" from="2515,-1003" to="2515,-311" stroked="true" strokeweight="4.799592pt" strokecolor="#ff6477">
              <v:stroke dashstyle="solid"/>
            </v:line>
            <w10:wrap type="none"/>
          </v:group>
        </w:pict>
      </w:r>
      <w:bookmarkStart w:name="Leeds LFRMS 2018 Update_Page_17" w:id="20"/>
      <w:bookmarkEnd w:id="20"/>
      <w:r>
        <w:rPr/>
      </w:r>
      <w:r>
        <w:rPr/>
        <w:t>The</w:t>
      </w:r>
      <w:r>
        <w:rPr>
          <w:spacing w:val="-41"/>
        </w:rPr>
        <w:t> </w:t>
      </w:r>
      <w:r>
        <w:rPr/>
        <w:t>Natural</w:t>
      </w:r>
      <w:r>
        <w:rPr>
          <w:spacing w:val="-36"/>
        </w:rPr>
        <w:t> </w:t>
      </w:r>
      <w:r>
        <w:rPr/>
        <w:t>Resources</w:t>
      </w:r>
      <w:r>
        <w:rPr>
          <w:spacing w:val="-35"/>
        </w:rPr>
        <w:t> </w:t>
      </w:r>
      <w:r>
        <w:rPr/>
        <w:t>and</w:t>
      </w:r>
      <w:r>
        <w:rPr>
          <w:spacing w:val="-39"/>
        </w:rPr>
        <w:t> </w:t>
      </w:r>
      <w:r>
        <w:rPr/>
        <w:t>Waste</w:t>
      </w:r>
      <w:r>
        <w:rPr>
          <w:spacing w:val="-37"/>
        </w:rPr>
        <w:t> </w:t>
      </w:r>
      <w:r>
        <w:rPr/>
        <w:t>Local</w:t>
      </w:r>
      <w:r>
        <w:rPr>
          <w:spacing w:val="-38"/>
        </w:rPr>
        <w:t> </w:t>
      </w:r>
      <w:r>
        <w:rPr/>
        <w:t>Plan</w:t>
      </w:r>
      <w:r>
        <w:rPr>
          <w:spacing w:val="-38"/>
        </w:rPr>
        <w:t> </w:t>
      </w:r>
      <w:r>
        <w:rPr/>
        <w:t>provides</w:t>
      </w:r>
      <w:r>
        <w:rPr>
          <w:spacing w:val="-40"/>
        </w:rPr>
        <w:t> </w:t>
      </w:r>
      <w:r>
        <w:rPr/>
        <w:t>LCC’s</w:t>
      </w:r>
      <w:r>
        <w:rPr>
          <w:spacing w:val="-41"/>
        </w:rPr>
        <w:t> </w:t>
      </w:r>
      <w:r>
        <w:rPr/>
        <w:t>policy</w:t>
      </w:r>
      <w:r>
        <w:rPr>
          <w:spacing w:val="-43"/>
        </w:rPr>
        <w:t> </w:t>
      </w:r>
      <w:r>
        <w:rPr/>
        <w:t>requirement</w:t>
      </w:r>
      <w:r>
        <w:rPr>
          <w:spacing w:val="-32"/>
        </w:rPr>
        <w:t> </w:t>
      </w:r>
      <w:r>
        <w:rPr/>
        <w:t>for</w:t>
      </w:r>
      <w:r>
        <w:rPr>
          <w:spacing w:val="-39"/>
        </w:rPr>
        <w:t> </w:t>
      </w:r>
      <w:r>
        <w:rPr/>
        <w:t>sustainable drainage. It is provided</w:t>
      </w:r>
      <w:r>
        <w:rPr>
          <w:spacing w:val="6"/>
        </w:rPr>
        <w:t> </w:t>
      </w:r>
      <w:r>
        <w:rPr/>
        <w:t>below.</w:t>
      </w:r>
    </w:p>
    <w:p>
      <w:pPr>
        <w:pStyle w:val="BodyText"/>
        <w:spacing w:before="8"/>
        <w:rPr>
          <w:sz w:val="26"/>
        </w:rPr>
      </w:pPr>
    </w:p>
    <w:p>
      <w:pPr>
        <w:spacing w:before="0"/>
        <w:ind w:left="1022" w:right="0" w:firstLine="0"/>
        <w:jc w:val="left"/>
        <w:rPr>
          <w:sz w:val="22"/>
        </w:rPr>
      </w:pPr>
      <w:r>
        <w:rPr>
          <w:sz w:val="22"/>
        </w:rPr>
        <w:t>POLICY WATER 7: SURFACE WATER RUN-OFF</w:t>
      </w:r>
    </w:p>
    <w:p>
      <w:pPr>
        <w:pStyle w:val="BodyText"/>
        <w:spacing w:before="3"/>
        <w:rPr>
          <w:sz w:val="27"/>
        </w:rPr>
      </w:pPr>
    </w:p>
    <w:p>
      <w:pPr>
        <w:pStyle w:val="BodyText"/>
        <w:spacing w:line="266" w:lineRule="auto"/>
        <w:ind w:left="1016" w:firstLine="4"/>
      </w:pPr>
      <w:r>
        <w:rPr/>
        <w:t>All developments are required to ensure no increase in the rate of surface water run-off to the </w:t>
      </w:r>
      <w:r>
        <w:rPr>
          <w:w w:val="95"/>
        </w:rPr>
        <w:t>existing formal drainage system. Development will be expected to incorporate sustainable drainage </w:t>
      </w:r>
      <w:r>
        <w:rPr/>
        <w:t>techniques wherever possible, both:</w:t>
      </w:r>
    </w:p>
    <w:p>
      <w:pPr>
        <w:pStyle w:val="ListParagraph"/>
        <w:numPr>
          <w:ilvl w:val="2"/>
          <w:numId w:val="4"/>
        </w:numPr>
        <w:tabs>
          <w:tab w:pos="1442" w:val="left" w:leader="none"/>
        </w:tabs>
        <w:spacing w:line="257" w:lineRule="exact" w:before="0" w:after="0"/>
        <w:ind w:left="1442" w:right="0" w:hanging="271"/>
        <w:jc w:val="left"/>
        <w:rPr>
          <w:color w:val="FF2626"/>
          <w:sz w:val="23"/>
        </w:rPr>
      </w:pPr>
      <w:r>
        <w:rPr>
          <w:sz w:val="23"/>
        </w:rPr>
        <w:t>On</w:t>
      </w:r>
      <w:r>
        <w:rPr>
          <w:spacing w:val="-16"/>
          <w:sz w:val="23"/>
        </w:rPr>
        <w:t> </w:t>
      </w:r>
      <w:r>
        <w:rPr>
          <w:sz w:val="23"/>
        </w:rPr>
        <w:t>previously</w:t>
      </w:r>
      <w:r>
        <w:rPr>
          <w:spacing w:val="6"/>
          <w:sz w:val="23"/>
        </w:rPr>
        <w:t> </w:t>
      </w:r>
      <w:r>
        <w:rPr>
          <w:sz w:val="23"/>
        </w:rPr>
        <w:t>developed</w:t>
      </w:r>
      <w:r>
        <w:rPr>
          <w:spacing w:val="4"/>
          <w:sz w:val="23"/>
        </w:rPr>
        <w:t> </w:t>
      </w:r>
      <w:r>
        <w:rPr>
          <w:sz w:val="23"/>
        </w:rPr>
        <w:t>sites</w:t>
      </w:r>
      <w:r>
        <w:rPr>
          <w:spacing w:val="-24"/>
          <w:sz w:val="23"/>
        </w:rPr>
        <w:t> </w:t>
      </w:r>
      <w:r>
        <w:rPr>
          <w:sz w:val="23"/>
        </w:rPr>
        <w:t>peak</w:t>
      </w:r>
      <w:r>
        <w:rPr>
          <w:spacing w:val="-12"/>
          <w:sz w:val="23"/>
        </w:rPr>
        <w:t> </w:t>
      </w:r>
      <w:r>
        <w:rPr>
          <w:sz w:val="23"/>
        </w:rPr>
        <w:t>flow</w:t>
      </w:r>
      <w:r>
        <w:rPr>
          <w:spacing w:val="-4"/>
          <w:sz w:val="23"/>
        </w:rPr>
        <w:t> </w:t>
      </w:r>
      <w:r>
        <w:rPr>
          <w:sz w:val="23"/>
        </w:rPr>
        <w:t>rates</w:t>
      </w:r>
      <w:r>
        <w:rPr>
          <w:spacing w:val="-17"/>
          <w:sz w:val="23"/>
        </w:rPr>
        <w:t> </w:t>
      </w:r>
      <w:r>
        <w:rPr>
          <w:sz w:val="23"/>
        </w:rPr>
        <w:t>must</w:t>
      </w:r>
      <w:r>
        <w:rPr>
          <w:spacing w:val="-12"/>
          <w:sz w:val="23"/>
        </w:rPr>
        <w:t> </w:t>
      </w:r>
      <w:r>
        <w:rPr>
          <w:sz w:val="23"/>
        </w:rPr>
        <w:t>be</w:t>
      </w:r>
      <w:r>
        <w:rPr>
          <w:spacing w:val="-20"/>
          <w:sz w:val="23"/>
        </w:rPr>
        <w:t> </w:t>
      </w:r>
      <w:r>
        <w:rPr>
          <w:sz w:val="23"/>
        </w:rPr>
        <w:t>reduced</w:t>
      </w:r>
      <w:r>
        <w:rPr>
          <w:spacing w:val="-9"/>
          <w:sz w:val="23"/>
        </w:rPr>
        <w:t> </w:t>
      </w:r>
      <w:r>
        <w:rPr>
          <w:sz w:val="23"/>
        </w:rPr>
        <w:t>by</w:t>
      </w:r>
      <w:r>
        <w:rPr>
          <w:spacing w:val="-8"/>
          <w:sz w:val="23"/>
        </w:rPr>
        <w:t> </w:t>
      </w:r>
      <w:r>
        <w:rPr>
          <w:sz w:val="23"/>
        </w:rPr>
        <w:t>at</w:t>
      </w:r>
      <w:r>
        <w:rPr>
          <w:spacing w:val="-17"/>
          <w:sz w:val="23"/>
        </w:rPr>
        <w:t> </w:t>
      </w:r>
      <w:r>
        <w:rPr>
          <w:sz w:val="23"/>
        </w:rPr>
        <w:t>least</w:t>
      </w:r>
      <w:r>
        <w:rPr>
          <w:spacing w:val="-5"/>
          <w:sz w:val="23"/>
        </w:rPr>
        <w:t> </w:t>
      </w:r>
      <w:r>
        <w:rPr>
          <w:sz w:val="23"/>
        </w:rPr>
        <w:t>30%,</w:t>
      </w:r>
      <w:r>
        <w:rPr>
          <w:spacing w:val="-1"/>
          <w:sz w:val="23"/>
        </w:rPr>
        <w:t> </w:t>
      </w:r>
      <w:r>
        <w:rPr>
          <w:sz w:val="23"/>
        </w:rPr>
        <w:t>and</w:t>
      </w:r>
    </w:p>
    <w:p>
      <w:pPr>
        <w:pStyle w:val="ListParagraph"/>
        <w:numPr>
          <w:ilvl w:val="2"/>
          <w:numId w:val="4"/>
        </w:numPr>
        <w:tabs>
          <w:tab w:pos="1442" w:val="left" w:leader="none"/>
        </w:tabs>
        <w:spacing w:line="261" w:lineRule="auto" w:before="33" w:after="0"/>
        <w:ind w:left="1442" w:right="282" w:hanging="271"/>
        <w:jc w:val="left"/>
        <w:rPr>
          <w:color w:val="FF2626"/>
          <w:sz w:val="23"/>
        </w:rPr>
      </w:pPr>
      <w:r>
        <w:rPr>
          <w:sz w:val="23"/>
        </w:rPr>
        <w:t>On sites which have not previously been connected to the drainage infrastructure, or watercourse,</w:t>
      </w:r>
      <w:r>
        <w:rPr>
          <w:spacing w:val="-19"/>
          <w:sz w:val="23"/>
        </w:rPr>
        <w:t> </w:t>
      </w:r>
      <w:r>
        <w:rPr>
          <w:sz w:val="23"/>
        </w:rPr>
        <w:t>surface</w:t>
      </w:r>
      <w:r>
        <w:rPr>
          <w:spacing w:val="-28"/>
          <w:sz w:val="23"/>
        </w:rPr>
        <w:t> </w:t>
      </w:r>
      <w:r>
        <w:rPr>
          <w:sz w:val="23"/>
        </w:rPr>
        <w:t>water</w:t>
      </w:r>
      <w:r>
        <w:rPr>
          <w:spacing w:val="-31"/>
          <w:sz w:val="23"/>
        </w:rPr>
        <w:t> </w:t>
      </w:r>
      <w:r>
        <w:rPr>
          <w:sz w:val="23"/>
        </w:rPr>
        <w:t>run</w:t>
      </w:r>
      <w:r>
        <w:rPr>
          <w:spacing w:val="-29"/>
          <w:sz w:val="23"/>
        </w:rPr>
        <w:t> </w:t>
      </w:r>
      <w:r>
        <w:rPr>
          <w:sz w:val="23"/>
        </w:rPr>
        <w:t>off</w:t>
      </w:r>
      <w:r>
        <w:rPr>
          <w:spacing w:val="-32"/>
          <w:sz w:val="23"/>
        </w:rPr>
        <w:t> </w:t>
      </w:r>
      <w:r>
        <w:rPr>
          <w:sz w:val="23"/>
        </w:rPr>
        <w:t>rates</w:t>
      </w:r>
      <w:r>
        <w:rPr>
          <w:spacing w:val="-28"/>
          <w:sz w:val="23"/>
        </w:rPr>
        <w:t> </w:t>
      </w:r>
      <w:r>
        <w:rPr>
          <w:sz w:val="23"/>
        </w:rPr>
        <w:t>will</w:t>
      </w:r>
      <w:r>
        <w:rPr>
          <w:spacing w:val="-29"/>
          <w:sz w:val="23"/>
        </w:rPr>
        <w:t> </w:t>
      </w:r>
      <w:r>
        <w:rPr>
          <w:sz w:val="23"/>
        </w:rPr>
        <w:t>not</w:t>
      </w:r>
      <w:r>
        <w:rPr>
          <w:spacing w:val="-26"/>
          <w:sz w:val="23"/>
        </w:rPr>
        <w:t> </w:t>
      </w:r>
      <w:r>
        <w:rPr>
          <w:sz w:val="23"/>
        </w:rPr>
        <w:t>exceed</w:t>
      </w:r>
      <w:r>
        <w:rPr>
          <w:spacing w:val="-28"/>
          <w:sz w:val="23"/>
        </w:rPr>
        <w:t> </w:t>
      </w:r>
      <w:r>
        <w:rPr>
          <w:sz w:val="23"/>
        </w:rPr>
        <w:t>the greenfield’</w:t>
      </w:r>
      <w:r>
        <w:rPr>
          <w:spacing w:val="-19"/>
          <w:sz w:val="23"/>
        </w:rPr>
        <w:t> </w:t>
      </w:r>
      <w:r>
        <w:rPr>
          <w:sz w:val="23"/>
        </w:rPr>
        <w:t>run-off</w:t>
      </w:r>
      <w:r>
        <w:rPr>
          <w:spacing w:val="-31"/>
          <w:sz w:val="23"/>
        </w:rPr>
        <w:t> </w:t>
      </w:r>
      <w:r>
        <w:rPr>
          <w:sz w:val="23"/>
        </w:rPr>
        <w:t>rate</w:t>
      </w:r>
      <w:r>
        <w:rPr>
          <w:spacing w:val="-32"/>
          <w:sz w:val="23"/>
        </w:rPr>
        <w:t> </w:t>
      </w:r>
      <w:r>
        <w:rPr>
          <w:sz w:val="23"/>
        </w:rPr>
        <w:t>(i.e.</w:t>
      </w:r>
      <w:r>
        <w:rPr>
          <w:spacing w:val="-28"/>
          <w:sz w:val="23"/>
        </w:rPr>
        <w:t> </w:t>
      </w:r>
      <w:r>
        <w:rPr>
          <w:sz w:val="23"/>
        </w:rPr>
        <w:t>the</w:t>
      </w:r>
      <w:r>
        <w:rPr>
          <w:spacing w:val="-34"/>
          <w:sz w:val="23"/>
        </w:rPr>
        <w:t> </w:t>
      </w:r>
      <w:r>
        <w:rPr>
          <w:sz w:val="23"/>
        </w:rPr>
        <w:t>rate at</w:t>
      </w:r>
      <w:r>
        <w:rPr>
          <w:spacing w:val="-6"/>
          <w:sz w:val="23"/>
        </w:rPr>
        <w:t> </w:t>
      </w:r>
      <w:r>
        <w:rPr>
          <w:sz w:val="23"/>
        </w:rPr>
        <w:t>which</w:t>
      </w:r>
      <w:r>
        <w:rPr>
          <w:spacing w:val="5"/>
          <w:sz w:val="23"/>
        </w:rPr>
        <w:t> </w:t>
      </w:r>
      <w:r>
        <w:rPr>
          <w:sz w:val="23"/>
        </w:rPr>
        <w:t>water</w:t>
      </w:r>
      <w:r>
        <w:rPr>
          <w:spacing w:val="-6"/>
          <w:sz w:val="23"/>
        </w:rPr>
        <w:t> </w:t>
      </w:r>
      <w:r>
        <w:rPr>
          <w:sz w:val="23"/>
        </w:rPr>
        <w:t>flows</w:t>
      </w:r>
      <w:r>
        <w:rPr>
          <w:spacing w:val="-3"/>
          <w:sz w:val="23"/>
        </w:rPr>
        <w:t> </w:t>
      </w:r>
      <w:r>
        <w:rPr>
          <w:sz w:val="23"/>
        </w:rPr>
        <w:t>over</w:t>
      </w:r>
      <w:r>
        <w:rPr>
          <w:spacing w:val="-8"/>
          <w:sz w:val="23"/>
        </w:rPr>
        <w:t> </w:t>
      </w:r>
      <w:r>
        <w:rPr>
          <w:sz w:val="23"/>
        </w:rPr>
        <w:t>land</w:t>
      </w:r>
      <w:r>
        <w:rPr>
          <w:spacing w:val="-5"/>
          <w:sz w:val="23"/>
        </w:rPr>
        <w:t> </w:t>
      </w:r>
      <w:r>
        <w:rPr>
          <w:sz w:val="23"/>
        </w:rPr>
        <w:t>which</w:t>
      </w:r>
      <w:r>
        <w:rPr>
          <w:spacing w:val="-11"/>
          <w:sz w:val="23"/>
        </w:rPr>
        <w:t> </w:t>
      </w:r>
      <w:r>
        <w:rPr>
          <w:sz w:val="23"/>
        </w:rPr>
        <w:t>has</w:t>
      </w:r>
      <w:r>
        <w:rPr>
          <w:spacing w:val="-15"/>
          <w:sz w:val="23"/>
        </w:rPr>
        <w:t> </w:t>
      </w:r>
      <w:r>
        <w:rPr>
          <w:sz w:val="23"/>
        </w:rPr>
        <w:t>not</w:t>
      </w:r>
      <w:r>
        <w:rPr>
          <w:spacing w:val="-8"/>
          <w:sz w:val="23"/>
        </w:rPr>
        <w:t> </w:t>
      </w:r>
      <w:r>
        <w:rPr>
          <w:sz w:val="23"/>
        </w:rPr>
        <w:t>previously</w:t>
      </w:r>
      <w:r>
        <w:rPr>
          <w:spacing w:val="-4"/>
          <w:sz w:val="23"/>
        </w:rPr>
        <w:t> </w:t>
      </w:r>
      <w:r>
        <w:rPr>
          <w:sz w:val="23"/>
        </w:rPr>
        <w:t>been</w:t>
      </w:r>
      <w:r>
        <w:rPr>
          <w:spacing w:val="-2"/>
          <w:sz w:val="23"/>
        </w:rPr>
        <w:t> </w:t>
      </w:r>
      <w:r>
        <w:rPr>
          <w:sz w:val="23"/>
        </w:rPr>
        <w:t>developed).</w:t>
      </w:r>
    </w:p>
    <w:p>
      <w:pPr>
        <w:pStyle w:val="BodyText"/>
        <w:spacing w:before="9"/>
        <w:rPr>
          <w:sz w:val="25"/>
        </w:rPr>
      </w:pPr>
    </w:p>
    <w:p>
      <w:pPr>
        <w:pStyle w:val="BodyText"/>
        <w:spacing w:line="261" w:lineRule="auto"/>
        <w:ind w:left="1015" w:firstLine="2"/>
      </w:pPr>
      <w:r>
        <w:rPr/>
        <w:t>Water</w:t>
      </w:r>
      <w:r>
        <w:rPr>
          <w:spacing w:val="-25"/>
        </w:rPr>
        <w:t> </w:t>
      </w:r>
      <w:r>
        <w:rPr/>
        <w:t>7</w:t>
      </w:r>
      <w:r>
        <w:rPr>
          <w:spacing w:val="-29"/>
        </w:rPr>
        <w:t> </w:t>
      </w:r>
      <w:r>
        <w:rPr/>
        <w:t>policy</w:t>
      </w:r>
      <w:r>
        <w:rPr>
          <w:spacing w:val="-27"/>
        </w:rPr>
        <w:t> </w:t>
      </w:r>
      <w:r>
        <w:rPr/>
        <w:t>will</w:t>
      </w:r>
      <w:r>
        <w:rPr>
          <w:spacing w:val="-24"/>
        </w:rPr>
        <w:t> </w:t>
      </w:r>
      <w:r>
        <w:rPr/>
        <w:t>be</w:t>
      </w:r>
      <w:r>
        <w:rPr>
          <w:spacing w:val="-27"/>
        </w:rPr>
        <w:t> </w:t>
      </w:r>
      <w:r>
        <w:rPr/>
        <w:t>reviewed</w:t>
      </w:r>
      <w:r>
        <w:rPr>
          <w:spacing w:val="-23"/>
        </w:rPr>
        <w:t> </w:t>
      </w:r>
      <w:r>
        <w:rPr/>
        <w:t>in</w:t>
      </w:r>
      <w:r>
        <w:rPr>
          <w:spacing w:val="-26"/>
        </w:rPr>
        <w:t> </w:t>
      </w:r>
      <w:r>
        <w:rPr/>
        <w:t>2019,</w:t>
      </w:r>
      <w:r>
        <w:rPr>
          <w:spacing w:val="-26"/>
        </w:rPr>
        <w:t> </w:t>
      </w:r>
      <w:r>
        <w:rPr/>
        <w:t>in</w:t>
      </w:r>
      <w:r>
        <w:rPr>
          <w:spacing w:val="-28"/>
        </w:rPr>
        <w:t> </w:t>
      </w:r>
      <w:r>
        <w:rPr/>
        <w:t>which</w:t>
      </w:r>
      <w:r>
        <w:rPr>
          <w:spacing w:val="-22"/>
        </w:rPr>
        <w:t> </w:t>
      </w:r>
      <w:r>
        <w:rPr/>
        <w:t>LCC</w:t>
      </w:r>
      <w:r>
        <w:rPr>
          <w:spacing w:val="-27"/>
        </w:rPr>
        <w:t> </w:t>
      </w:r>
      <w:r>
        <w:rPr/>
        <w:t>will</w:t>
      </w:r>
      <w:r>
        <w:rPr>
          <w:spacing w:val="-24"/>
        </w:rPr>
        <w:t> </w:t>
      </w:r>
      <w:r>
        <w:rPr/>
        <w:t>seek</w:t>
      </w:r>
      <w:r>
        <w:rPr>
          <w:spacing w:val="-27"/>
        </w:rPr>
        <w:t> </w:t>
      </w:r>
      <w:r>
        <w:rPr/>
        <w:t>to</w:t>
      </w:r>
      <w:r>
        <w:rPr>
          <w:spacing w:val="-31"/>
        </w:rPr>
        <w:t> </w:t>
      </w:r>
      <w:r>
        <w:rPr/>
        <w:t>further</w:t>
      </w:r>
      <w:r>
        <w:rPr>
          <w:spacing w:val="-25"/>
        </w:rPr>
        <w:t> </w:t>
      </w:r>
      <w:r>
        <w:rPr/>
        <w:t>reductions</w:t>
      </w:r>
      <w:r>
        <w:rPr>
          <w:spacing w:val="-30"/>
        </w:rPr>
        <w:t> </w:t>
      </w:r>
      <w:r>
        <w:rPr/>
        <w:t>in</w:t>
      </w:r>
      <w:r>
        <w:rPr>
          <w:spacing w:val="-32"/>
        </w:rPr>
        <w:t> </w:t>
      </w:r>
      <w:r>
        <w:rPr/>
        <w:t>runoff</w:t>
      </w:r>
      <w:r>
        <w:rPr>
          <w:spacing w:val="-23"/>
        </w:rPr>
        <w:t> </w:t>
      </w:r>
      <w:r>
        <w:rPr/>
        <w:t>from brownfield sites that are undergoing major</w:t>
      </w:r>
      <w:r>
        <w:rPr>
          <w:spacing w:val="14"/>
        </w:rPr>
        <w:t> </w:t>
      </w:r>
      <w:r>
        <w:rPr/>
        <w:t>development.</w:t>
      </w:r>
    </w:p>
    <w:p>
      <w:pPr>
        <w:pStyle w:val="BodyText"/>
        <w:spacing w:before="9"/>
        <w:rPr>
          <w:sz w:val="25"/>
        </w:rPr>
      </w:pPr>
    </w:p>
    <w:p>
      <w:pPr>
        <w:pStyle w:val="BodyText"/>
        <w:spacing w:line="264" w:lineRule="auto" w:before="1"/>
        <w:ind w:left="1015" w:right="307" w:firstLine="9"/>
      </w:pPr>
      <w:r>
        <w:rPr/>
        <w:t>The</w:t>
      </w:r>
      <w:r>
        <w:rPr>
          <w:spacing w:val="-33"/>
        </w:rPr>
        <w:t> </w:t>
      </w:r>
      <w:r>
        <w:rPr/>
        <w:t>LFRMS</w:t>
      </w:r>
      <w:r>
        <w:rPr>
          <w:spacing w:val="-30"/>
        </w:rPr>
        <w:t> </w:t>
      </w:r>
      <w:r>
        <w:rPr/>
        <w:t>must</w:t>
      </w:r>
      <w:r>
        <w:rPr>
          <w:spacing w:val="-34"/>
        </w:rPr>
        <w:t> </w:t>
      </w:r>
      <w:r>
        <w:rPr/>
        <w:t>be</w:t>
      </w:r>
      <w:r>
        <w:rPr>
          <w:spacing w:val="-35"/>
        </w:rPr>
        <w:t> </w:t>
      </w:r>
      <w:r>
        <w:rPr/>
        <w:t>consistent</w:t>
      </w:r>
      <w:r>
        <w:rPr>
          <w:spacing w:val="-31"/>
        </w:rPr>
        <w:t> </w:t>
      </w:r>
      <w:r>
        <w:rPr/>
        <w:t>with</w:t>
      </w:r>
      <w:r>
        <w:rPr>
          <w:spacing w:val="-33"/>
        </w:rPr>
        <w:t> </w:t>
      </w:r>
      <w:r>
        <w:rPr/>
        <w:t>the</w:t>
      </w:r>
      <w:r>
        <w:rPr>
          <w:spacing w:val="-34"/>
        </w:rPr>
        <w:t> </w:t>
      </w:r>
      <w:r>
        <w:rPr/>
        <w:t>National</w:t>
      </w:r>
      <w:r>
        <w:rPr>
          <w:spacing w:val="-28"/>
        </w:rPr>
        <w:t> </w:t>
      </w:r>
      <w:r>
        <w:rPr/>
        <w:t>FCERM</w:t>
      </w:r>
      <w:r>
        <w:rPr>
          <w:spacing w:val="-29"/>
        </w:rPr>
        <w:t> </w:t>
      </w:r>
      <w:r>
        <w:rPr/>
        <w:t>Strategy</w:t>
      </w:r>
      <w:r>
        <w:rPr>
          <w:spacing w:val="-27"/>
        </w:rPr>
        <w:t> </w:t>
      </w:r>
      <w:r>
        <w:rPr/>
        <w:t>for</w:t>
      </w:r>
      <w:r>
        <w:rPr>
          <w:spacing w:val="-32"/>
        </w:rPr>
        <w:t> </w:t>
      </w:r>
      <w:r>
        <w:rPr/>
        <w:t>England,</w:t>
      </w:r>
      <w:r>
        <w:rPr>
          <w:spacing w:val="-27"/>
        </w:rPr>
        <w:t> </w:t>
      </w:r>
      <w:r>
        <w:rPr/>
        <w:t>and</w:t>
      </w:r>
      <w:r>
        <w:rPr>
          <w:spacing w:val="-33"/>
        </w:rPr>
        <w:t> </w:t>
      </w:r>
      <w:r>
        <w:rPr/>
        <w:t>these</w:t>
      </w:r>
      <w:r>
        <w:rPr>
          <w:spacing w:val="-30"/>
        </w:rPr>
        <w:t> </w:t>
      </w:r>
      <w:r>
        <w:rPr/>
        <w:t>six</w:t>
      </w:r>
      <w:r>
        <w:rPr>
          <w:spacing w:val="-34"/>
        </w:rPr>
        <w:t> </w:t>
      </w:r>
      <w:r>
        <w:rPr/>
        <w:t>high- level</w:t>
      </w:r>
      <w:r>
        <w:rPr>
          <w:spacing w:val="-30"/>
        </w:rPr>
        <w:t> </w:t>
      </w:r>
      <w:r>
        <w:rPr/>
        <w:t>principles.</w:t>
      </w:r>
      <w:r>
        <w:rPr>
          <w:spacing w:val="-13"/>
        </w:rPr>
        <w:t> </w:t>
      </w:r>
      <w:r>
        <w:rPr/>
        <w:t>Therefore,</w:t>
      </w:r>
      <w:r>
        <w:rPr>
          <w:spacing w:val="-20"/>
        </w:rPr>
        <w:t> </w:t>
      </w:r>
      <w:r>
        <w:rPr/>
        <w:t>the</w:t>
      </w:r>
      <w:r>
        <w:rPr>
          <w:spacing w:val="-27"/>
        </w:rPr>
        <w:t> </w:t>
      </w:r>
      <w:r>
        <w:rPr/>
        <w:t>objectives</w:t>
      </w:r>
      <w:r>
        <w:rPr>
          <w:spacing w:val="-19"/>
        </w:rPr>
        <w:t> </w:t>
      </w:r>
      <w:r>
        <w:rPr/>
        <w:t>for</w:t>
      </w:r>
      <w:r>
        <w:rPr>
          <w:spacing w:val="-30"/>
        </w:rPr>
        <w:t> </w:t>
      </w:r>
      <w:r>
        <w:rPr/>
        <w:t>managing</w:t>
      </w:r>
      <w:r>
        <w:rPr>
          <w:spacing w:val="-21"/>
        </w:rPr>
        <w:t> </w:t>
      </w:r>
      <w:r>
        <w:rPr/>
        <w:t>local</w:t>
      </w:r>
      <w:r>
        <w:rPr>
          <w:spacing w:val="-27"/>
        </w:rPr>
        <w:t> </w:t>
      </w:r>
      <w:r>
        <w:rPr/>
        <w:t>flood</w:t>
      </w:r>
      <w:r>
        <w:rPr>
          <w:spacing w:val="-23"/>
        </w:rPr>
        <w:t> </w:t>
      </w:r>
      <w:r>
        <w:rPr/>
        <w:t>risk</w:t>
      </w:r>
      <w:r>
        <w:rPr>
          <w:spacing w:val="-28"/>
        </w:rPr>
        <w:t> </w:t>
      </w:r>
      <w:r>
        <w:rPr/>
        <w:t>in</w:t>
      </w:r>
      <w:r>
        <w:rPr>
          <w:spacing w:val="-28"/>
        </w:rPr>
        <w:t> </w:t>
      </w:r>
      <w:r>
        <w:rPr/>
        <w:t>Section</w:t>
      </w:r>
      <w:r>
        <w:rPr>
          <w:spacing w:val="-21"/>
        </w:rPr>
        <w:t> </w:t>
      </w:r>
      <w:r>
        <w:rPr/>
        <w:t>6</w:t>
      </w:r>
      <w:r>
        <w:rPr>
          <w:spacing w:val="-30"/>
        </w:rPr>
        <w:t> </w:t>
      </w:r>
      <w:r>
        <w:rPr/>
        <w:t>of</w:t>
      </w:r>
      <w:r>
        <w:rPr>
          <w:spacing w:val="-34"/>
        </w:rPr>
        <w:t> </w:t>
      </w:r>
      <w:r>
        <w:rPr/>
        <w:t>this</w:t>
      </w:r>
      <w:r>
        <w:rPr>
          <w:spacing w:val="-26"/>
        </w:rPr>
        <w:t> </w:t>
      </w:r>
      <w:r>
        <w:rPr/>
        <w:t>LFRMS and</w:t>
      </w:r>
      <w:r>
        <w:rPr>
          <w:spacing w:val="-20"/>
        </w:rPr>
        <w:t> </w:t>
      </w:r>
      <w:r>
        <w:rPr/>
        <w:t>the</w:t>
      </w:r>
      <w:r>
        <w:rPr>
          <w:spacing w:val="-23"/>
        </w:rPr>
        <w:t> </w:t>
      </w:r>
      <w:r>
        <w:rPr/>
        <w:t>specific</w:t>
      </w:r>
      <w:r>
        <w:rPr>
          <w:spacing w:val="-18"/>
        </w:rPr>
        <w:t> </w:t>
      </w:r>
      <w:r>
        <w:rPr/>
        <w:t>measures</w:t>
      </w:r>
      <w:r>
        <w:rPr>
          <w:spacing w:val="-16"/>
        </w:rPr>
        <w:t> </w:t>
      </w:r>
      <w:r>
        <w:rPr/>
        <w:t>in</w:t>
      </w:r>
      <w:r>
        <w:rPr>
          <w:spacing w:val="-25"/>
        </w:rPr>
        <w:t> </w:t>
      </w:r>
      <w:r>
        <w:rPr/>
        <w:t>the</w:t>
      </w:r>
      <w:r>
        <w:rPr>
          <w:spacing w:val="-27"/>
        </w:rPr>
        <w:t> </w:t>
      </w:r>
      <w:r>
        <w:rPr/>
        <w:t>‘List</w:t>
      </w:r>
      <w:r>
        <w:rPr>
          <w:spacing w:val="-16"/>
        </w:rPr>
        <w:t> </w:t>
      </w:r>
      <w:r>
        <w:rPr/>
        <w:t>of</w:t>
      </w:r>
      <w:r>
        <w:rPr>
          <w:spacing w:val="-20"/>
        </w:rPr>
        <w:t> </w:t>
      </w:r>
      <w:r>
        <w:rPr/>
        <w:t>Measures’</w:t>
      </w:r>
      <w:r>
        <w:rPr>
          <w:spacing w:val="-9"/>
        </w:rPr>
        <w:t> </w:t>
      </w:r>
      <w:r>
        <w:rPr/>
        <w:t>in</w:t>
      </w:r>
      <w:r>
        <w:rPr>
          <w:spacing w:val="-23"/>
        </w:rPr>
        <w:t> </w:t>
      </w:r>
      <w:r>
        <w:rPr/>
        <w:t>Appendix</w:t>
      </w:r>
      <w:r>
        <w:rPr>
          <w:spacing w:val="-13"/>
        </w:rPr>
        <w:t> </w:t>
      </w:r>
      <w:r>
        <w:rPr/>
        <w:t>C</w:t>
      </w:r>
      <w:r>
        <w:rPr>
          <w:spacing w:val="-29"/>
        </w:rPr>
        <w:t> </w:t>
      </w:r>
      <w:r>
        <w:rPr/>
        <w:t>have</w:t>
      </w:r>
      <w:r>
        <w:rPr>
          <w:spacing w:val="-24"/>
        </w:rPr>
        <w:t> </w:t>
      </w:r>
      <w:r>
        <w:rPr/>
        <w:t>been</w:t>
      </w:r>
      <w:r>
        <w:rPr>
          <w:spacing w:val="-13"/>
        </w:rPr>
        <w:t> </w:t>
      </w:r>
      <w:r>
        <w:rPr/>
        <w:t>aligned</w:t>
      </w:r>
      <w:r>
        <w:rPr>
          <w:spacing w:val="-17"/>
        </w:rPr>
        <w:t> </w:t>
      </w:r>
      <w:r>
        <w:rPr/>
        <w:t>with</w:t>
      </w:r>
      <w:r>
        <w:rPr>
          <w:spacing w:val="-22"/>
        </w:rPr>
        <w:t> </w:t>
      </w:r>
      <w:r>
        <w:rPr/>
        <w:t>these high-level</w:t>
      </w:r>
      <w:r>
        <w:rPr>
          <w:spacing w:val="-20"/>
        </w:rPr>
        <w:t> </w:t>
      </w:r>
      <w:r>
        <w:rPr/>
        <w:t>guiding</w:t>
      </w:r>
      <w:r>
        <w:rPr>
          <w:spacing w:val="-25"/>
        </w:rPr>
        <w:t> </w:t>
      </w:r>
      <w:r>
        <w:rPr/>
        <w:t>principles</w:t>
      </w:r>
      <w:r>
        <w:rPr>
          <w:spacing w:val="-22"/>
        </w:rPr>
        <w:t> </w:t>
      </w:r>
      <w:r>
        <w:rPr/>
        <w:t>to</w:t>
      </w:r>
      <w:r>
        <w:rPr>
          <w:spacing w:val="-23"/>
        </w:rPr>
        <w:t> </w:t>
      </w:r>
      <w:r>
        <w:rPr/>
        <w:t>ensure</w:t>
      </w:r>
      <w:r>
        <w:rPr>
          <w:spacing w:val="-23"/>
        </w:rPr>
        <w:t> </w:t>
      </w:r>
      <w:r>
        <w:rPr/>
        <w:t>consistency</w:t>
      </w:r>
      <w:r>
        <w:rPr>
          <w:spacing w:val="-15"/>
        </w:rPr>
        <w:t> </w:t>
      </w:r>
      <w:r>
        <w:rPr/>
        <w:t>with</w:t>
      </w:r>
      <w:r>
        <w:rPr>
          <w:spacing w:val="-24"/>
        </w:rPr>
        <w:t> </w:t>
      </w:r>
      <w:r>
        <w:rPr/>
        <w:t>National</w:t>
      </w:r>
      <w:r>
        <w:rPr>
          <w:spacing w:val="-16"/>
        </w:rPr>
        <w:t> </w:t>
      </w:r>
      <w:r>
        <w:rPr/>
        <w:t>FCERM</w:t>
      </w:r>
      <w:r>
        <w:rPr>
          <w:spacing w:val="-20"/>
        </w:rPr>
        <w:t> </w:t>
      </w:r>
      <w:r>
        <w:rPr/>
        <w:t>Strategy</w:t>
      </w:r>
      <w:r>
        <w:rPr>
          <w:spacing w:val="-28"/>
        </w:rPr>
        <w:t> </w:t>
      </w:r>
      <w:r>
        <w:rPr/>
        <w:t>for</w:t>
      </w:r>
      <w:r>
        <w:rPr>
          <w:spacing w:val="-28"/>
        </w:rPr>
        <w:t> </w:t>
      </w:r>
      <w:r>
        <w:rPr/>
        <w:t>England.</w:t>
      </w:r>
    </w:p>
    <w:p>
      <w:pPr>
        <w:pStyle w:val="ListParagraph"/>
        <w:numPr>
          <w:ilvl w:val="1"/>
          <w:numId w:val="4"/>
        </w:numPr>
        <w:tabs>
          <w:tab w:pos="1019" w:val="left" w:leader="none"/>
          <w:tab w:pos="1020" w:val="left" w:leader="none"/>
        </w:tabs>
        <w:spacing w:line="240" w:lineRule="auto" w:before="133" w:after="0"/>
        <w:ind w:left="1019" w:right="0" w:hanging="864"/>
        <w:jc w:val="left"/>
        <w:rPr>
          <w:sz w:val="28"/>
        </w:rPr>
      </w:pPr>
      <w:r>
        <w:rPr>
          <w:sz w:val="28"/>
        </w:rPr>
        <w:t>BEST COUNCIL PLAN 2018/19 </w:t>
      </w:r>
      <w:r>
        <w:rPr>
          <w:w w:val="90"/>
          <w:sz w:val="28"/>
        </w:rPr>
        <w:t>—</w:t>
      </w:r>
      <w:r>
        <w:rPr>
          <w:spacing w:val="14"/>
          <w:w w:val="90"/>
          <w:sz w:val="28"/>
        </w:rPr>
        <w:t> </w:t>
      </w:r>
      <w:r>
        <w:rPr>
          <w:sz w:val="28"/>
        </w:rPr>
        <w:t>2020/21</w:t>
      </w:r>
    </w:p>
    <w:p>
      <w:pPr>
        <w:pStyle w:val="BodyText"/>
        <w:spacing w:line="261" w:lineRule="auto" w:before="157"/>
        <w:ind w:left="1015" w:right="307" w:firstLine="9"/>
      </w:pPr>
      <w:r>
        <w:rPr/>
        <w:t>This plan maintains Leeds City Council’s long-term ‘Best City’ strategy. It focuses on tackling poverty</w:t>
      </w:r>
      <w:r>
        <w:rPr>
          <w:spacing w:val="-32"/>
        </w:rPr>
        <w:t> </w:t>
      </w:r>
      <w:r>
        <w:rPr/>
        <w:t>and</w:t>
      </w:r>
      <w:r>
        <w:rPr>
          <w:spacing w:val="-36"/>
        </w:rPr>
        <w:t> </w:t>
      </w:r>
      <w:r>
        <w:rPr/>
        <w:t>inequalities</w:t>
      </w:r>
      <w:r>
        <w:rPr>
          <w:spacing w:val="-29"/>
        </w:rPr>
        <w:t> </w:t>
      </w:r>
      <w:r>
        <w:rPr/>
        <w:t>through</w:t>
      </w:r>
      <w:r>
        <w:rPr>
          <w:spacing w:val="-30"/>
        </w:rPr>
        <w:t> </w:t>
      </w:r>
      <w:r>
        <w:rPr/>
        <w:t>a</w:t>
      </w:r>
      <w:r>
        <w:rPr>
          <w:spacing w:val="-38"/>
        </w:rPr>
        <w:t> </w:t>
      </w:r>
      <w:r>
        <w:rPr/>
        <w:t>combination</w:t>
      </w:r>
      <w:r>
        <w:rPr>
          <w:spacing w:val="-28"/>
        </w:rPr>
        <w:t> </w:t>
      </w:r>
      <w:r>
        <w:rPr/>
        <w:t>of:</w:t>
      </w:r>
      <w:r>
        <w:rPr>
          <w:spacing w:val="-32"/>
        </w:rPr>
        <w:t> </w:t>
      </w:r>
      <w:r>
        <w:rPr/>
        <w:t>strengthening</w:t>
      </w:r>
      <w:r>
        <w:rPr>
          <w:spacing w:val="-22"/>
        </w:rPr>
        <w:t> </w:t>
      </w:r>
      <w:r>
        <w:rPr/>
        <w:t>the</w:t>
      </w:r>
      <w:r>
        <w:rPr>
          <w:spacing w:val="-36"/>
        </w:rPr>
        <w:t> </w:t>
      </w:r>
      <w:r>
        <w:rPr/>
        <w:t>economy,</w:t>
      </w:r>
      <w:r>
        <w:rPr>
          <w:spacing w:val="-25"/>
        </w:rPr>
        <w:t> </w:t>
      </w:r>
      <w:r>
        <w:rPr/>
        <w:t>acting</w:t>
      </w:r>
      <w:r>
        <w:rPr>
          <w:spacing w:val="-34"/>
        </w:rPr>
        <w:t> </w:t>
      </w:r>
      <w:r>
        <w:rPr/>
        <w:t>in</w:t>
      </w:r>
      <w:r>
        <w:rPr>
          <w:spacing w:val="-35"/>
        </w:rPr>
        <w:t> </w:t>
      </w:r>
      <w:r>
        <w:rPr/>
        <w:t>a</w:t>
      </w:r>
      <w:r>
        <w:rPr>
          <w:spacing w:val="-39"/>
        </w:rPr>
        <w:t> </w:t>
      </w:r>
      <w:r>
        <w:rPr/>
        <w:t>way</w:t>
      </w:r>
      <w:r>
        <w:rPr>
          <w:spacing w:val="-34"/>
        </w:rPr>
        <w:t> </w:t>
      </w:r>
      <w:r>
        <w:rPr/>
        <w:t>that is compassionate and caring, and supporting vulnerable children and</w:t>
      </w:r>
      <w:r>
        <w:rPr>
          <w:spacing w:val="-10"/>
        </w:rPr>
        <w:t> </w:t>
      </w:r>
      <w:r>
        <w:rPr/>
        <w:t>adults.</w:t>
      </w:r>
    </w:p>
    <w:p>
      <w:pPr>
        <w:pStyle w:val="BodyText"/>
        <w:spacing w:line="266" w:lineRule="auto" w:before="124"/>
        <w:ind w:left="1016" w:firstLine="6"/>
      </w:pPr>
      <w:r>
        <w:rPr/>
        <w:t>Building</w:t>
      </w:r>
      <w:r>
        <w:rPr>
          <w:spacing w:val="-16"/>
        </w:rPr>
        <w:t> </w:t>
      </w:r>
      <w:r>
        <w:rPr/>
        <w:t>on</w:t>
      </w:r>
      <w:r>
        <w:rPr>
          <w:spacing w:val="-28"/>
        </w:rPr>
        <w:t> </w:t>
      </w:r>
      <w:r>
        <w:rPr/>
        <w:t>the</w:t>
      </w:r>
      <w:r>
        <w:rPr>
          <w:spacing w:val="-30"/>
        </w:rPr>
        <w:t> </w:t>
      </w:r>
      <w:r>
        <w:rPr/>
        <w:t>range</w:t>
      </w:r>
      <w:r>
        <w:rPr>
          <w:spacing w:val="-22"/>
        </w:rPr>
        <w:t> </w:t>
      </w:r>
      <w:r>
        <w:rPr/>
        <w:t>of</w:t>
      </w:r>
      <w:r>
        <w:rPr>
          <w:spacing w:val="-30"/>
        </w:rPr>
        <w:t> </w:t>
      </w:r>
      <w:r>
        <w:rPr/>
        <w:t>council</w:t>
      </w:r>
      <w:r>
        <w:rPr>
          <w:spacing w:val="-20"/>
        </w:rPr>
        <w:t> </w:t>
      </w:r>
      <w:r>
        <w:rPr/>
        <w:t>and</w:t>
      </w:r>
      <w:r>
        <w:rPr>
          <w:spacing w:val="-26"/>
        </w:rPr>
        <w:t> </w:t>
      </w:r>
      <w:r>
        <w:rPr/>
        <w:t>partnership</w:t>
      </w:r>
      <w:r>
        <w:rPr>
          <w:spacing w:val="-13"/>
        </w:rPr>
        <w:t> </w:t>
      </w:r>
      <w:r>
        <w:rPr/>
        <w:t>strategies</w:t>
      </w:r>
      <w:r>
        <w:rPr>
          <w:spacing w:val="-31"/>
        </w:rPr>
        <w:t> </w:t>
      </w:r>
      <w:r>
        <w:rPr/>
        <w:t>in</w:t>
      </w:r>
      <w:r>
        <w:rPr>
          <w:spacing w:val="-31"/>
        </w:rPr>
        <w:t> </w:t>
      </w:r>
      <w:r>
        <w:rPr/>
        <w:t>place</w:t>
      </w:r>
      <w:r>
        <w:rPr>
          <w:spacing w:val="-24"/>
        </w:rPr>
        <w:t> </w:t>
      </w:r>
      <w:r>
        <w:rPr/>
        <w:t>and</w:t>
      </w:r>
      <w:r>
        <w:rPr>
          <w:spacing w:val="-24"/>
        </w:rPr>
        <w:t> </w:t>
      </w:r>
      <w:r>
        <w:rPr/>
        <w:t>in</w:t>
      </w:r>
      <w:r>
        <w:rPr>
          <w:spacing w:val="-24"/>
        </w:rPr>
        <w:t> </w:t>
      </w:r>
      <w:r>
        <w:rPr/>
        <w:t>development,</w:t>
      </w:r>
      <w:r>
        <w:rPr>
          <w:spacing w:val="-12"/>
        </w:rPr>
        <w:t> </w:t>
      </w:r>
      <w:r>
        <w:rPr/>
        <w:t>this</w:t>
      </w:r>
      <w:r>
        <w:rPr>
          <w:spacing w:val="-24"/>
        </w:rPr>
        <w:t> </w:t>
      </w:r>
      <w:r>
        <w:rPr/>
        <w:t>Best Council</w:t>
      </w:r>
      <w:r>
        <w:rPr>
          <w:spacing w:val="-24"/>
        </w:rPr>
        <w:t> </w:t>
      </w:r>
      <w:r>
        <w:rPr/>
        <w:t>Plan</w:t>
      </w:r>
      <w:r>
        <w:rPr>
          <w:spacing w:val="-35"/>
        </w:rPr>
        <w:t> </w:t>
      </w:r>
      <w:r>
        <w:rPr/>
        <w:t>update</w:t>
      </w:r>
      <w:r>
        <w:rPr>
          <w:spacing w:val="-25"/>
        </w:rPr>
        <w:t> </w:t>
      </w:r>
      <w:r>
        <w:rPr/>
        <w:t>sets</w:t>
      </w:r>
      <w:r>
        <w:rPr>
          <w:spacing w:val="-33"/>
        </w:rPr>
        <w:t> </w:t>
      </w:r>
      <w:r>
        <w:rPr/>
        <w:t>out</w:t>
      </w:r>
      <w:r>
        <w:rPr>
          <w:spacing w:val="-31"/>
        </w:rPr>
        <w:t> </w:t>
      </w:r>
      <w:r>
        <w:rPr/>
        <w:t>seven</w:t>
      </w:r>
      <w:r>
        <w:rPr>
          <w:spacing w:val="-33"/>
        </w:rPr>
        <w:t> </w:t>
      </w:r>
      <w:r>
        <w:rPr/>
        <w:t>interconnected</w:t>
      </w:r>
      <w:r>
        <w:rPr>
          <w:spacing w:val="-37"/>
        </w:rPr>
        <w:t> </w:t>
      </w:r>
      <w:r>
        <w:rPr/>
        <w:t>priority</w:t>
      </w:r>
      <w:r>
        <w:rPr>
          <w:spacing w:val="-28"/>
        </w:rPr>
        <w:t> </w:t>
      </w:r>
      <w:r>
        <w:rPr/>
        <w:t>areas</w:t>
      </w:r>
      <w:r>
        <w:rPr>
          <w:spacing w:val="-30"/>
        </w:rPr>
        <w:t> </w:t>
      </w:r>
      <w:r>
        <w:rPr/>
        <w:t>of</w:t>
      </w:r>
      <w:r>
        <w:rPr>
          <w:spacing w:val="-34"/>
        </w:rPr>
        <w:t> </w:t>
      </w:r>
      <w:r>
        <w:rPr/>
        <w:t>work</w:t>
      </w:r>
      <w:r>
        <w:rPr>
          <w:spacing w:val="-32"/>
        </w:rPr>
        <w:t> </w:t>
      </w:r>
      <w:r>
        <w:rPr/>
        <w:t>that</w:t>
      </w:r>
      <w:r>
        <w:rPr>
          <w:spacing w:val="-32"/>
        </w:rPr>
        <w:t> </w:t>
      </w:r>
      <w:r>
        <w:rPr/>
        <w:t>flow</w:t>
      </w:r>
      <w:r>
        <w:rPr>
          <w:spacing w:val="-27"/>
        </w:rPr>
        <w:t> </w:t>
      </w:r>
      <w:r>
        <w:rPr/>
        <w:t>from</w:t>
      </w:r>
      <w:r>
        <w:rPr>
          <w:spacing w:val="-32"/>
        </w:rPr>
        <w:t> </w:t>
      </w:r>
      <w:r>
        <w:rPr/>
        <w:t>the</w:t>
      </w:r>
      <w:r>
        <w:rPr>
          <w:spacing w:val="-34"/>
        </w:rPr>
        <w:t> </w:t>
      </w:r>
      <w:r>
        <w:rPr/>
        <w:t>council’s two main cross-cutting strategies: Inclusive Growth and Health and</w:t>
      </w:r>
      <w:r>
        <w:rPr>
          <w:spacing w:val="-23"/>
        </w:rPr>
        <w:t> </w:t>
      </w:r>
      <w:r>
        <w:rPr/>
        <w:t>Wellbeing.</w:t>
      </w:r>
    </w:p>
    <w:p>
      <w:pPr>
        <w:pStyle w:val="ListParagraph"/>
        <w:numPr>
          <w:ilvl w:val="2"/>
          <w:numId w:val="4"/>
        </w:numPr>
        <w:tabs>
          <w:tab w:pos="1441" w:val="left" w:leader="none"/>
        </w:tabs>
        <w:spacing w:line="240" w:lineRule="auto" w:before="117" w:after="0"/>
        <w:ind w:left="1440" w:right="0" w:hanging="269"/>
        <w:jc w:val="left"/>
        <w:rPr>
          <w:color w:val="DD4B26"/>
          <w:sz w:val="23"/>
        </w:rPr>
      </w:pPr>
      <w:r>
        <w:rPr>
          <w:sz w:val="23"/>
        </w:rPr>
        <w:t>Inclusive</w:t>
      </w:r>
      <w:r>
        <w:rPr>
          <w:spacing w:val="11"/>
          <w:sz w:val="23"/>
        </w:rPr>
        <w:t> </w:t>
      </w:r>
      <w:r>
        <w:rPr>
          <w:sz w:val="23"/>
        </w:rPr>
        <w:t>growth.</w:t>
      </w:r>
    </w:p>
    <w:p>
      <w:pPr>
        <w:pStyle w:val="ListParagraph"/>
        <w:numPr>
          <w:ilvl w:val="2"/>
          <w:numId w:val="4"/>
        </w:numPr>
        <w:tabs>
          <w:tab w:pos="1444" w:val="left" w:leader="none"/>
        </w:tabs>
        <w:spacing w:line="240" w:lineRule="auto" w:before="24" w:after="0"/>
        <w:ind w:left="1443" w:right="0" w:hanging="272"/>
        <w:jc w:val="left"/>
        <w:rPr>
          <w:color w:val="EF4136"/>
          <w:sz w:val="23"/>
        </w:rPr>
      </w:pPr>
      <w:r>
        <w:rPr>
          <w:sz w:val="23"/>
        </w:rPr>
        <w:t>Health and</w:t>
      </w:r>
      <w:r>
        <w:rPr>
          <w:spacing w:val="11"/>
          <w:sz w:val="23"/>
        </w:rPr>
        <w:t> </w:t>
      </w:r>
      <w:r>
        <w:rPr>
          <w:sz w:val="23"/>
        </w:rPr>
        <w:t>wellbeing.</w:t>
      </w:r>
    </w:p>
    <w:p>
      <w:pPr>
        <w:pStyle w:val="ListParagraph"/>
        <w:numPr>
          <w:ilvl w:val="2"/>
          <w:numId w:val="4"/>
        </w:numPr>
        <w:tabs>
          <w:tab w:pos="1442" w:val="left" w:leader="none"/>
        </w:tabs>
        <w:spacing w:line="240" w:lineRule="auto" w:before="23" w:after="0"/>
        <w:ind w:left="1441" w:right="0" w:hanging="270"/>
        <w:jc w:val="left"/>
        <w:rPr>
          <w:color w:val="EF2F26"/>
          <w:sz w:val="23"/>
        </w:rPr>
      </w:pPr>
      <w:r>
        <w:rPr>
          <w:sz w:val="23"/>
        </w:rPr>
        <w:t>Child-friendly</w:t>
      </w:r>
      <w:r>
        <w:rPr>
          <w:spacing w:val="6"/>
          <w:sz w:val="23"/>
        </w:rPr>
        <w:t> </w:t>
      </w:r>
      <w:r>
        <w:rPr>
          <w:sz w:val="23"/>
        </w:rPr>
        <w:t>city.</w:t>
      </w:r>
    </w:p>
    <w:p>
      <w:pPr>
        <w:pStyle w:val="ListParagraph"/>
        <w:numPr>
          <w:ilvl w:val="2"/>
          <w:numId w:val="4"/>
        </w:numPr>
        <w:tabs>
          <w:tab w:pos="1443" w:val="left" w:leader="none"/>
        </w:tabs>
        <w:spacing w:line="240" w:lineRule="auto" w:before="33" w:after="0"/>
        <w:ind w:left="1442" w:right="0" w:hanging="271"/>
        <w:jc w:val="left"/>
        <w:rPr>
          <w:color w:val="EB3D31"/>
          <w:sz w:val="23"/>
        </w:rPr>
      </w:pPr>
      <w:r>
        <w:rPr>
          <w:sz w:val="23"/>
        </w:rPr>
        <w:t>Safe, strong</w:t>
      </w:r>
      <w:r>
        <w:rPr>
          <w:spacing w:val="22"/>
          <w:sz w:val="23"/>
        </w:rPr>
        <w:t> </w:t>
      </w:r>
      <w:r>
        <w:rPr>
          <w:sz w:val="23"/>
        </w:rPr>
        <w:t>communities.</w:t>
      </w:r>
    </w:p>
    <w:p>
      <w:pPr>
        <w:pStyle w:val="ListParagraph"/>
        <w:numPr>
          <w:ilvl w:val="2"/>
          <w:numId w:val="4"/>
        </w:numPr>
        <w:tabs>
          <w:tab w:pos="1444" w:val="left" w:leader="none"/>
        </w:tabs>
        <w:spacing w:line="240" w:lineRule="auto" w:before="24" w:after="0"/>
        <w:ind w:left="1443" w:right="0" w:hanging="272"/>
        <w:jc w:val="left"/>
        <w:rPr>
          <w:color w:val="DD4B26"/>
          <w:sz w:val="23"/>
        </w:rPr>
      </w:pPr>
      <w:r>
        <w:rPr>
          <w:sz w:val="23"/>
        </w:rPr>
        <w:t>Housing.</w:t>
      </w:r>
    </w:p>
    <w:p>
      <w:pPr>
        <w:pStyle w:val="ListParagraph"/>
        <w:numPr>
          <w:ilvl w:val="2"/>
          <w:numId w:val="4"/>
        </w:numPr>
        <w:tabs>
          <w:tab w:pos="1447" w:val="left" w:leader="none"/>
        </w:tabs>
        <w:spacing w:line="240" w:lineRule="auto" w:before="23" w:after="0"/>
        <w:ind w:left="1446" w:right="0" w:hanging="275"/>
        <w:jc w:val="left"/>
        <w:rPr>
          <w:color w:val="FF3F3A"/>
          <w:sz w:val="23"/>
        </w:rPr>
      </w:pPr>
      <w:r>
        <w:rPr>
          <w:sz w:val="23"/>
        </w:rPr>
        <w:t>21st-century</w:t>
      </w:r>
      <w:r>
        <w:rPr>
          <w:spacing w:val="12"/>
          <w:sz w:val="23"/>
        </w:rPr>
        <w:t> </w:t>
      </w:r>
      <w:r>
        <w:rPr>
          <w:sz w:val="23"/>
        </w:rPr>
        <w:t>infrastructure.</w:t>
      </w:r>
    </w:p>
    <w:p>
      <w:pPr>
        <w:pStyle w:val="ListParagraph"/>
        <w:numPr>
          <w:ilvl w:val="2"/>
          <w:numId w:val="4"/>
        </w:numPr>
        <w:tabs>
          <w:tab w:pos="1442" w:val="left" w:leader="none"/>
        </w:tabs>
        <w:spacing w:line="240" w:lineRule="auto" w:before="34" w:after="0"/>
        <w:ind w:left="1441" w:right="0" w:hanging="270"/>
        <w:jc w:val="left"/>
        <w:rPr>
          <w:color w:val="FF362F"/>
          <w:sz w:val="23"/>
        </w:rPr>
      </w:pPr>
      <w:r>
        <w:rPr>
          <w:sz w:val="23"/>
        </w:rPr>
        <w:t>Culture.</w:t>
      </w:r>
    </w:p>
    <w:p>
      <w:pPr>
        <w:pStyle w:val="BodyText"/>
        <w:spacing w:line="266" w:lineRule="auto" w:before="138"/>
        <w:ind w:left="1015" w:right="212" w:firstLine="6"/>
      </w:pPr>
      <w:r>
        <w:rPr/>
        <w:t>Each</w:t>
      </w:r>
      <w:r>
        <w:rPr>
          <w:spacing w:val="-25"/>
        </w:rPr>
        <w:t> </w:t>
      </w:r>
      <w:r>
        <w:rPr/>
        <w:t>strategy</w:t>
      </w:r>
      <w:r>
        <w:rPr>
          <w:spacing w:val="-35"/>
        </w:rPr>
        <w:t> </w:t>
      </w:r>
      <w:r>
        <w:rPr/>
        <w:t>has</w:t>
      </w:r>
      <w:r>
        <w:rPr>
          <w:spacing w:val="-33"/>
        </w:rPr>
        <w:t> </w:t>
      </w:r>
      <w:r>
        <w:rPr/>
        <w:t>a</w:t>
      </w:r>
      <w:r>
        <w:rPr>
          <w:spacing w:val="-38"/>
        </w:rPr>
        <w:t> </w:t>
      </w:r>
      <w:r>
        <w:rPr/>
        <w:t>number</w:t>
      </w:r>
      <w:r>
        <w:rPr>
          <w:spacing w:val="-27"/>
        </w:rPr>
        <w:t> </w:t>
      </w:r>
      <w:r>
        <w:rPr/>
        <w:t>of</w:t>
      </w:r>
      <w:r>
        <w:rPr>
          <w:spacing w:val="-31"/>
        </w:rPr>
        <w:t> </w:t>
      </w:r>
      <w:r>
        <w:rPr/>
        <w:t>Key</w:t>
      </w:r>
      <w:r>
        <w:rPr>
          <w:spacing w:val="-34"/>
        </w:rPr>
        <w:t> </w:t>
      </w:r>
      <w:r>
        <w:rPr/>
        <w:t>Performance</w:t>
      </w:r>
      <w:r>
        <w:rPr>
          <w:spacing w:val="-24"/>
        </w:rPr>
        <w:t> </w:t>
      </w:r>
      <w:r>
        <w:rPr/>
        <w:t>Indicators</w:t>
      </w:r>
      <w:r>
        <w:rPr>
          <w:spacing w:val="-28"/>
        </w:rPr>
        <w:t> </w:t>
      </w:r>
      <w:r>
        <w:rPr/>
        <w:t>(KPIs)</w:t>
      </w:r>
      <w:r>
        <w:rPr>
          <w:spacing w:val="-33"/>
        </w:rPr>
        <w:t> </w:t>
      </w:r>
      <w:r>
        <w:rPr/>
        <w:t>that</w:t>
      </w:r>
      <w:r>
        <w:rPr>
          <w:spacing w:val="-30"/>
        </w:rPr>
        <w:t> </w:t>
      </w:r>
      <w:r>
        <w:rPr/>
        <w:t>outline</w:t>
      </w:r>
      <w:r>
        <w:rPr>
          <w:spacing w:val="-34"/>
        </w:rPr>
        <w:t> </w:t>
      </w:r>
      <w:r>
        <w:rPr/>
        <w:t>how</w:t>
      </w:r>
      <w:r>
        <w:rPr>
          <w:spacing w:val="-27"/>
        </w:rPr>
        <w:t> </w:t>
      </w:r>
      <w:r>
        <w:rPr/>
        <w:t>the</w:t>
      </w:r>
      <w:r>
        <w:rPr>
          <w:spacing w:val="-34"/>
        </w:rPr>
        <w:t> </w:t>
      </w:r>
      <w:r>
        <w:rPr/>
        <w:t>council</w:t>
      </w:r>
      <w:r>
        <w:rPr>
          <w:spacing w:val="-30"/>
        </w:rPr>
        <w:t> </w:t>
      </w:r>
      <w:r>
        <w:rPr/>
        <w:t>will measure</w:t>
      </w:r>
      <w:r>
        <w:rPr>
          <w:spacing w:val="-27"/>
        </w:rPr>
        <w:t> </w:t>
      </w:r>
      <w:r>
        <w:rPr/>
        <w:t>progress</w:t>
      </w:r>
      <w:r>
        <w:rPr>
          <w:spacing w:val="-22"/>
        </w:rPr>
        <w:t> </w:t>
      </w:r>
      <w:r>
        <w:rPr/>
        <w:t>and</w:t>
      </w:r>
      <w:r>
        <w:rPr>
          <w:spacing w:val="-26"/>
        </w:rPr>
        <w:t> </w:t>
      </w:r>
      <w:r>
        <w:rPr/>
        <w:t>achievements.</w:t>
      </w:r>
      <w:r>
        <w:rPr>
          <w:spacing w:val="-13"/>
        </w:rPr>
        <w:t> </w:t>
      </w:r>
      <w:r>
        <w:rPr/>
        <w:t>Of</w:t>
      </w:r>
      <w:r>
        <w:rPr>
          <w:spacing w:val="-28"/>
        </w:rPr>
        <w:t> </w:t>
      </w:r>
      <w:r>
        <w:rPr/>
        <w:t>these</w:t>
      </w:r>
      <w:r>
        <w:rPr>
          <w:spacing w:val="-25"/>
        </w:rPr>
        <w:t> </w:t>
      </w:r>
      <w:r>
        <w:rPr/>
        <w:t>KPIs,</w:t>
      </w:r>
      <w:r>
        <w:rPr>
          <w:spacing w:val="-25"/>
        </w:rPr>
        <w:t> </w:t>
      </w:r>
      <w:r>
        <w:rPr/>
        <w:t>the</w:t>
      </w:r>
      <w:r>
        <w:rPr>
          <w:spacing w:val="-31"/>
        </w:rPr>
        <w:t> </w:t>
      </w:r>
      <w:r>
        <w:rPr/>
        <w:t>following</w:t>
      </w:r>
      <w:r>
        <w:rPr>
          <w:spacing w:val="-22"/>
        </w:rPr>
        <w:t> </w:t>
      </w:r>
      <w:r>
        <w:rPr/>
        <w:t>relate</w:t>
      </w:r>
      <w:r>
        <w:rPr>
          <w:spacing w:val="-24"/>
        </w:rPr>
        <w:t> </w:t>
      </w:r>
      <w:r>
        <w:rPr/>
        <w:t>to</w:t>
      </w:r>
      <w:r>
        <w:rPr>
          <w:spacing w:val="-32"/>
        </w:rPr>
        <w:t> </w:t>
      </w:r>
      <w:r>
        <w:rPr/>
        <w:t>the</w:t>
      </w:r>
      <w:r>
        <w:rPr>
          <w:spacing w:val="-32"/>
        </w:rPr>
        <w:t> </w:t>
      </w:r>
      <w:r>
        <w:rPr/>
        <w:t>management</w:t>
      </w:r>
      <w:r>
        <w:rPr>
          <w:spacing w:val="-11"/>
        </w:rPr>
        <w:t> </w:t>
      </w:r>
      <w:r>
        <w:rPr/>
        <w:t>of flood risk:</w:t>
      </w:r>
    </w:p>
    <w:p>
      <w:pPr>
        <w:pStyle w:val="ListParagraph"/>
        <w:numPr>
          <w:ilvl w:val="2"/>
          <w:numId w:val="4"/>
        </w:numPr>
        <w:tabs>
          <w:tab w:pos="1441" w:val="left" w:leader="none"/>
        </w:tabs>
        <w:spacing w:line="240" w:lineRule="auto" w:before="118" w:after="0"/>
        <w:ind w:left="1440" w:right="0" w:hanging="269"/>
        <w:jc w:val="left"/>
        <w:rPr>
          <w:color w:val="F93834"/>
          <w:sz w:val="23"/>
        </w:rPr>
      </w:pPr>
      <w:r>
        <w:rPr>
          <w:sz w:val="23"/>
        </w:rPr>
        <w:t>Growth in new homes in</w:t>
      </w:r>
      <w:r>
        <w:rPr>
          <w:spacing w:val="15"/>
          <w:sz w:val="23"/>
        </w:rPr>
        <w:t> </w:t>
      </w:r>
      <w:r>
        <w:rPr>
          <w:sz w:val="23"/>
        </w:rPr>
        <w:t>Leeds.</w:t>
      </w:r>
    </w:p>
    <w:p>
      <w:pPr>
        <w:pStyle w:val="ListParagraph"/>
        <w:numPr>
          <w:ilvl w:val="2"/>
          <w:numId w:val="4"/>
        </w:numPr>
        <w:tabs>
          <w:tab w:pos="1445" w:val="left" w:leader="none"/>
        </w:tabs>
        <w:spacing w:line="240" w:lineRule="auto" w:before="23" w:after="0"/>
        <w:ind w:left="1444" w:right="0" w:hanging="273"/>
        <w:jc w:val="left"/>
        <w:rPr>
          <w:color w:val="FF362F"/>
          <w:sz w:val="23"/>
        </w:rPr>
      </w:pPr>
      <w:r>
        <w:rPr>
          <w:sz w:val="23"/>
        </w:rPr>
        <w:t>Number</w:t>
      </w:r>
      <w:r>
        <w:rPr>
          <w:spacing w:val="-6"/>
          <w:sz w:val="23"/>
        </w:rPr>
        <w:t> </w:t>
      </w:r>
      <w:r>
        <w:rPr>
          <w:sz w:val="23"/>
        </w:rPr>
        <w:t>of</w:t>
      </w:r>
      <w:r>
        <w:rPr>
          <w:spacing w:val="-23"/>
          <w:sz w:val="23"/>
        </w:rPr>
        <w:t> </w:t>
      </w:r>
      <w:r>
        <w:rPr>
          <w:sz w:val="23"/>
        </w:rPr>
        <w:t>residential</w:t>
      </w:r>
      <w:r>
        <w:rPr>
          <w:spacing w:val="2"/>
          <w:sz w:val="23"/>
        </w:rPr>
        <w:t> </w:t>
      </w:r>
      <w:r>
        <w:rPr>
          <w:sz w:val="23"/>
        </w:rPr>
        <w:t>and</w:t>
      </w:r>
      <w:r>
        <w:rPr>
          <w:spacing w:val="-10"/>
          <w:sz w:val="23"/>
        </w:rPr>
        <w:t> </w:t>
      </w:r>
      <w:r>
        <w:rPr>
          <w:sz w:val="23"/>
        </w:rPr>
        <w:t>commercial</w:t>
      </w:r>
      <w:r>
        <w:rPr>
          <w:spacing w:val="6"/>
          <w:sz w:val="23"/>
        </w:rPr>
        <w:t> </w:t>
      </w:r>
      <w:r>
        <w:rPr>
          <w:sz w:val="23"/>
        </w:rPr>
        <w:t>properties</w:t>
      </w:r>
      <w:r>
        <w:rPr>
          <w:spacing w:val="-6"/>
          <w:sz w:val="23"/>
        </w:rPr>
        <w:t> </w:t>
      </w:r>
      <w:r>
        <w:rPr>
          <w:sz w:val="23"/>
        </w:rPr>
        <w:t>moved</w:t>
      </w:r>
      <w:r>
        <w:rPr>
          <w:spacing w:val="-8"/>
          <w:sz w:val="23"/>
        </w:rPr>
        <w:t> </w:t>
      </w:r>
      <w:r>
        <w:rPr>
          <w:sz w:val="23"/>
        </w:rPr>
        <w:t>to</w:t>
      </w:r>
      <w:r>
        <w:rPr>
          <w:spacing w:val="-7"/>
          <w:sz w:val="23"/>
        </w:rPr>
        <w:t> </w:t>
      </w:r>
      <w:r>
        <w:rPr>
          <w:sz w:val="23"/>
        </w:rPr>
        <w:t>a</w:t>
      </w:r>
      <w:r>
        <w:rPr>
          <w:spacing w:val="-21"/>
          <w:sz w:val="23"/>
        </w:rPr>
        <w:t> </w:t>
      </w:r>
      <w:r>
        <w:rPr>
          <w:sz w:val="23"/>
        </w:rPr>
        <w:t>lower</w:t>
      </w:r>
      <w:r>
        <w:rPr>
          <w:spacing w:val="-11"/>
          <w:sz w:val="23"/>
        </w:rPr>
        <w:t> </w:t>
      </w:r>
      <w:r>
        <w:rPr>
          <w:sz w:val="23"/>
        </w:rPr>
        <w:t>level</w:t>
      </w:r>
      <w:r>
        <w:rPr>
          <w:spacing w:val="-2"/>
          <w:sz w:val="23"/>
        </w:rPr>
        <w:t> </w:t>
      </w:r>
      <w:r>
        <w:rPr>
          <w:sz w:val="23"/>
        </w:rPr>
        <w:t>of</w:t>
      </w:r>
      <w:r>
        <w:rPr>
          <w:spacing w:val="-16"/>
          <w:sz w:val="23"/>
        </w:rPr>
        <w:t> </w:t>
      </w:r>
      <w:r>
        <w:rPr>
          <w:sz w:val="23"/>
        </w:rPr>
        <w:t>flood</w:t>
      </w:r>
      <w:r>
        <w:rPr>
          <w:spacing w:val="-14"/>
          <w:sz w:val="23"/>
        </w:rPr>
        <w:t> </w:t>
      </w:r>
      <w:r>
        <w:rPr>
          <w:sz w:val="23"/>
        </w:rPr>
        <w:t>risk.</w:t>
      </w:r>
    </w:p>
    <w:p>
      <w:pPr>
        <w:spacing w:after="0" w:line="240" w:lineRule="auto"/>
        <w:jc w:val="left"/>
        <w:rPr>
          <w:sz w:val="23"/>
        </w:rPr>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1"/>
        <w:rPr>
          <w:sz w:val="28"/>
        </w:rPr>
      </w:pPr>
    </w:p>
    <w:p>
      <w:pPr>
        <w:pStyle w:val="ListParagraph"/>
        <w:numPr>
          <w:ilvl w:val="1"/>
          <w:numId w:val="4"/>
        </w:numPr>
        <w:tabs>
          <w:tab w:pos="1019" w:val="left" w:leader="none"/>
          <w:tab w:pos="1020" w:val="left" w:leader="none"/>
        </w:tabs>
        <w:spacing w:line="240" w:lineRule="auto" w:before="91" w:after="0"/>
        <w:ind w:left="1019" w:right="0" w:hanging="864"/>
        <w:jc w:val="left"/>
        <w:rPr>
          <w:sz w:val="28"/>
        </w:rPr>
      </w:pPr>
      <w:r>
        <w:rPr/>
        <w:pict>
          <v:group style="position:absolute;margin-left:537.554504pt;margin-top:-50.712536pt;width:5.8pt;height:34.6pt;mso-position-horizontal-relative:page;mso-position-vertical-relative:paragraph;z-index:1960" coordorigin="10751,-1014" coordsize="116,692">
            <v:shape style="position:absolute;left:10751;top:-1015;width:116;height:39" type="#_x0000_t75" stroked="false">
              <v:imagedata r:id="rId27" o:title=""/>
            </v:shape>
            <v:shape style="position:absolute;left:10827;top:-400;width:39;height:77" type="#_x0000_t75" stroked="false">
              <v:imagedata r:id="rId28" o:title=""/>
            </v:shape>
            <v:line style="position:absolute" from="10804,-1014" to="10804,-333" stroked="true" strokeweight="5.279551pt" strokecolor="#d85970">
              <v:stroke dashstyle="solid"/>
            </v:line>
            <w10:wrap type="none"/>
          </v:group>
        </w:pict>
      </w:r>
      <w:bookmarkStart w:name="Leeds LFRMS 2018 Update_Page_18" w:id="21"/>
      <w:bookmarkEnd w:id="21"/>
      <w:r>
        <w:rPr/>
      </w:r>
      <w:bookmarkStart w:name="Leeds LFRMS 2018 Update_Page_18" w:id="22"/>
      <w:bookmarkEnd w:id="22"/>
      <w:r>
        <w:rPr>
          <w:sz w:val="28"/>
        </w:rPr>
        <w:t>LEED</w:t>
      </w:r>
      <w:r>
        <w:rPr>
          <w:sz w:val="28"/>
        </w:rPr>
        <w:t>S INCLUSIVE GROWTH STRATEGY 2018 </w:t>
      </w:r>
      <w:r>
        <w:rPr>
          <w:w w:val="90"/>
          <w:sz w:val="28"/>
        </w:rPr>
        <w:t>—</w:t>
      </w:r>
      <w:r>
        <w:rPr>
          <w:spacing w:val="30"/>
          <w:w w:val="90"/>
          <w:sz w:val="28"/>
        </w:rPr>
        <w:t> </w:t>
      </w:r>
      <w:r>
        <w:rPr>
          <w:sz w:val="28"/>
        </w:rPr>
        <w:t>2023</w:t>
      </w:r>
    </w:p>
    <w:p>
      <w:pPr>
        <w:pStyle w:val="BodyText"/>
        <w:spacing w:line="266" w:lineRule="auto" w:before="156"/>
        <w:ind w:left="1021" w:right="212" w:firstLine="3"/>
      </w:pPr>
      <w:r>
        <w:rPr/>
        <w:t>This</w:t>
      </w:r>
      <w:r>
        <w:rPr>
          <w:spacing w:val="-26"/>
        </w:rPr>
        <w:t> </w:t>
      </w:r>
      <w:r>
        <w:rPr/>
        <w:t>inclusive</w:t>
      </w:r>
      <w:r>
        <w:rPr>
          <w:spacing w:val="-13"/>
        </w:rPr>
        <w:t> </w:t>
      </w:r>
      <w:r>
        <w:rPr/>
        <w:t>strategy</w:t>
      </w:r>
      <w:r>
        <w:rPr>
          <w:spacing w:val="-12"/>
        </w:rPr>
        <w:t> </w:t>
      </w:r>
      <w:r>
        <w:rPr/>
        <w:t>sets</w:t>
      </w:r>
      <w:r>
        <w:rPr>
          <w:spacing w:val="-22"/>
        </w:rPr>
        <w:t> </w:t>
      </w:r>
      <w:r>
        <w:rPr/>
        <w:t>out</w:t>
      </w:r>
      <w:r>
        <w:rPr>
          <w:spacing w:val="-22"/>
        </w:rPr>
        <w:t> </w:t>
      </w:r>
      <w:r>
        <w:rPr/>
        <w:t>the</w:t>
      </w:r>
      <w:r>
        <w:rPr>
          <w:spacing w:val="-23"/>
        </w:rPr>
        <w:t> </w:t>
      </w:r>
      <w:r>
        <w:rPr/>
        <w:t>ambition</w:t>
      </w:r>
      <w:r>
        <w:rPr>
          <w:spacing w:val="-14"/>
        </w:rPr>
        <w:t> </w:t>
      </w:r>
      <w:r>
        <w:rPr/>
        <w:t>for</w:t>
      </w:r>
      <w:r>
        <w:rPr>
          <w:spacing w:val="-21"/>
        </w:rPr>
        <w:t> </w:t>
      </w:r>
      <w:r>
        <w:rPr/>
        <w:t>Leeds</w:t>
      </w:r>
      <w:r>
        <w:rPr>
          <w:spacing w:val="-22"/>
        </w:rPr>
        <w:t> </w:t>
      </w:r>
      <w:r>
        <w:rPr/>
        <w:t>to</w:t>
      </w:r>
      <w:r>
        <w:rPr>
          <w:spacing w:val="-29"/>
        </w:rPr>
        <w:t> </w:t>
      </w:r>
      <w:r>
        <w:rPr/>
        <w:t>have</w:t>
      </w:r>
      <w:r>
        <w:rPr>
          <w:spacing w:val="-20"/>
        </w:rPr>
        <w:t> </w:t>
      </w:r>
      <w:r>
        <w:rPr/>
        <w:t>a</w:t>
      </w:r>
      <w:r>
        <w:rPr>
          <w:spacing w:val="-19"/>
        </w:rPr>
        <w:t> </w:t>
      </w:r>
      <w:r>
        <w:rPr/>
        <w:t>strong</w:t>
      </w:r>
      <w:r>
        <w:rPr>
          <w:spacing w:val="-16"/>
        </w:rPr>
        <w:t> </w:t>
      </w:r>
      <w:r>
        <w:rPr/>
        <w:t>economy</w:t>
      </w:r>
      <w:r>
        <w:rPr>
          <w:spacing w:val="-14"/>
        </w:rPr>
        <w:t> </w:t>
      </w:r>
      <w:r>
        <w:rPr/>
        <w:t>within</w:t>
      </w:r>
      <w:r>
        <w:rPr>
          <w:spacing w:val="-19"/>
        </w:rPr>
        <w:t> </w:t>
      </w:r>
      <w:r>
        <w:rPr/>
        <w:t>a compassionate</w:t>
      </w:r>
      <w:r>
        <w:rPr>
          <w:spacing w:val="-26"/>
        </w:rPr>
        <w:t> </w:t>
      </w:r>
      <w:r>
        <w:rPr/>
        <w:t>city.</w:t>
      </w:r>
      <w:r>
        <w:rPr>
          <w:spacing w:val="-2"/>
        </w:rPr>
        <w:t> </w:t>
      </w:r>
      <w:r>
        <w:rPr/>
        <w:t>It</w:t>
      </w:r>
      <w:r>
        <w:rPr>
          <w:spacing w:val="-31"/>
        </w:rPr>
        <w:t> </w:t>
      </w:r>
      <w:r>
        <w:rPr/>
        <w:t>set</w:t>
      </w:r>
      <w:r>
        <w:rPr>
          <w:spacing w:val="-30"/>
        </w:rPr>
        <w:t> </w:t>
      </w:r>
      <w:r>
        <w:rPr/>
        <w:t>out</w:t>
      </w:r>
      <w:r>
        <w:rPr>
          <w:spacing w:val="-38"/>
        </w:rPr>
        <w:t> </w:t>
      </w:r>
      <w:r>
        <w:rPr/>
        <w:t>how</w:t>
      </w:r>
      <w:r>
        <w:rPr>
          <w:spacing w:val="-28"/>
        </w:rPr>
        <w:t> </w:t>
      </w:r>
      <w:r>
        <w:rPr/>
        <w:t>partners</w:t>
      </w:r>
      <w:r>
        <w:rPr>
          <w:spacing w:val="-28"/>
        </w:rPr>
        <w:t> </w:t>
      </w:r>
      <w:r>
        <w:rPr/>
        <w:t>will</w:t>
      </w:r>
      <w:r>
        <w:rPr>
          <w:spacing w:val="-32"/>
        </w:rPr>
        <w:t> </w:t>
      </w:r>
      <w:r>
        <w:rPr/>
        <w:t>work</w:t>
      </w:r>
      <w:r>
        <w:rPr>
          <w:spacing w:val="-30"/>
        </w:rPr>
        <w:t> </w:t>
      </w:r>
      <w:r>
        <w:rPr/>
        <w:t>together</w:t>
      </w:r>
      <w:r>
        <w:rPr>
          <w:spacing w:val="-30"/>
        </w:rPr>
        <w:t> </w:t>
      </w:r>
      <w:r>
        <w:rPr/>
        <w:t>to</w:t>
      </w:r>
      <w:r>
        <w:rPr>
          <w:spacing w:val="-33"/>
        </w:rPr>
        <w:t> </w:t>
      </w:r>
      <w:r>
        <w:rPr/>
        <w:t>grow</w:t>
      </w:r>
      <w:r>
        <w:rPr>
          <w:spacing w:val="-27"/>
        </w:rPr>
        <w:t> </w:t>
      </w:r>
      <w:r>
        <w:rPr/>
        <w:t>the</w:t>
      </w:r>
      <w:r>
        <w:rPr>
          <w:spacing w:val="-28"/>
        </w:rPr>
        <w:t> </w:t>
      </w:r>
      <w:r>
        <w:rPr/>
        <w:t>economy</w:t>
      </w:r>
      <w:r>
        <w:rPr>
          <w:spacing w:val="-26"/>
        </w:rPr>
        <w:t> </w:t>
      </w:r>
      <w:r>
        <w:rPr/>
        <w:t>ensuring everyone can contribute to, benefit from, and grow to their full</w:t>
      </w:r>
      <w:r>
        <w:rPr>
          <w:spacing w:val="-43"/>
        </w:rPr>
        <w:t> </w:t>
      </w:r>
      <w:r>
        <w:rPr/>
        <w:t>potential.</w:t>
      </w:r>
    </w:p>
    <w:p>
      <w:pPr>
        <w:pStyle w:val="BodyText"/>
        <w:spacing w:line="264" w:lineRule="auto" w:before="108"/>
        <w:ind w:left="1016" w:right="212" w:firstLine="1"/>
      </w:pPr>
      <w:r>
        <w:rPr/>
        <w:t>It</w:t>
      </w:r>
      <w:r>
        <w:rPr>
          <w:spacing w:val="-30"/>
        </w:rPr>
        <w:t> </w:t>
      </w:r>
      <w:r>
        <w:rPr/>
        <w:t>recognises</w:t>
      </w:r>
      <w:r>
        <w:rPr>
          <w:spacing w:val="-20"/>
        </w:rPr>
        <w:t> </w:t>
      </w:r>
      <w:r>
        <w:rPr/>
        <w:t>that</w:t>
      </w:r>
      <w:r>
        <w:rPr>
          <w:spacing w:val="-22"/>
        </w:rPr>
        <w:t> </w:t>
      </w:r>
      <w:r>
        <w:rPr/>
        <w:t>Leeds</w:t>
      </w:r>
      <w:r>
        <w:rPr>
          <w:spacing w:val="-29"/>
        </w:rPr>
        <w:t> </w:t>
      </w:r>
      <w:r>
        <w:rPr/>
        <w:t>is</w:t>
      </w:r>
      <w:r>
        <w:rPr>
          <w:spacing w:val="-31"/>
        </w:rPr>
        <w:t> </w:t>
      </w:r>
      <w:r>
        <w:rPr/>
        <w:t>the</w:t>
      </w:r>
      <w:r>
        <w:rPr>
          <w:spacing w:val="-31"/>
        </w:rPr>
        <w:t> </w:t>
      </w:r>
      <w:r>
        <w:rPr/>
        <w:t>main</w:t>
      </w:r>
      <w:r>
        <w:rPr>
          <w:spacing w:val="-25"/>
        </w:rPr>
        <w:t> </w:t>
      </w:r>
      <w:r>
        <w:rPr/>
        <w:t>economic</w:t>
      </w:r>
      <w:r>
        <w:rPr>
          <w:spacing w:val="-23"/>
        </w:rPr>
        <w:t> </w:t>
      </w:r>
      <w:r>
        <w:rPr/>
        <w:t>centre</w:t>
      </w:r>
      <w:r>
        <w:rPr>
          <w:spacing w:val="-27"/>
        </w:rPr>
        <w:t> </w:t>
      </w:r>
      <w:r>
        <w:rPr/>
        <w:t>for</w:t>
      </w:r>
      <w:r>
        <w:rPr>
          <w:spacing w:val="-26"/>
        </w:rPr>
        <w:t> </w:t>
      </w:r>
      <w:r>
        <w:rPr/>
        <w:t>Leeds</w:t>
      </w:r>
      <w:r>
        <w:rPr>
          <w:spacing w:val="-31"/>
        </w:rPr>
        <w:t> </w:t>
      </w:r>
      <w:r>
        <w:rPr/>
        <w:t>City</w:t>
      </w:r>
      <w:r>
        <w:rPr>
          <w:spacing w:val="-28"/>
        </w:rPr>
        <w:t> </w:t>
      </w:r>
      <w:r>
        <w:rPr/>
        <w:t>Region,</w:t>
      </w:r>
      <w:r>
        <w:rPr>
          <w:spacing w:val="-14"/>
        </w:rPr>
        <w:t> </w:t>
      </w:r>
      <w:r>
        <w:rPr/>
        <w:t>and</w:t>
      </w:r>
      <w:r>
        <w:rPr>
          <w:spacing w:val="-21"/>
        </w:rPr>
        <w:t> </w:t>
      </w:r>
      <w:r>
        <w:rPr/>
        <w:t>a</w:t>
      </w:r>
      <w:r>
        <w:rPr>
          <w:spacing w:val="-29"/>
        </w:rPr>
        <w:t> </w:t>
      </w:r>
      <w:r>
        <w:rPr/>
        <w:t>driver</w:t>
      </w:r>
      <w:r>
        <w:rPr>
          <w:spacing w:val="-22"/>
        </w:rPr>
        <w:t> </w:t>
      </w:r>
      <w:r>
        <w:rPr/>
        <w:t>of</w:t>
      </w:r>
      <w:r>
        <w:rPr>
          <w:spacing w:val="-23"/>
        </w:rPr>
        <w:t> </w:t>
      </w:r>
      <w:r>
        <w:rPr/>
        <w:t>growth for</w:t>
      </w:r>
      <w:r>
        <w:rPr>
          <w:spacing w:val="-32"/>
        </w:rPr>
        <w:t> </w:t>
      </w:r>
      <w:r>
        <w:rPr/>
        <w:t>the</w:t>
      </w:r>
      <w:r>
        <w:rPr>
          <w:spacing w:val="-29"/>
        </w:rPr>
        <w:t> </w:t>
      </w:r>
      <w:r>
        <w:rPr/>
        <w:t>Northern</w:t>
      </w:r>
      <w:r>
        <w:rPr>
          <w:spacing w:val="-22"/>
        </w:rPr>
        <w:t> </w:t>
      </w:r>
      <w:r>
        <w:rPr/>
        <w:t>Powerhouse,</w:t>
      </w:r>
      <w:r>
        <w:rPr>
          <w:spacing w:val="-14"/>
        </w:rPr>
        <w:t> </w:t>
      </w:r>
      <w:r>
        <w:rPr/>
        <w:t>Yorkshire</w:t>
      </w:r>
      <w:r>
        <w:rPr>
          <w:spacing w:val="-22"/>
        </w:rPr>
        <w:t> </w:t>
      </w:r>
      <w:r>
        <w:rPr/>
        <w:t>and</w:t>
      </w:r>
      <w:r>
        <w:rPr>
          <w:spacing w:val="-30"/>
        </w:rPr>
        <w:t> </w:t>
      </w:r>
      <w:r>
        <w:rPr/>
        <w:t>the</w:t>
      </w:r>
      <w:r>
        <w:rPr>
          <w:spacing w:val="-33"/>
        </w:rPr>
        <w:t> </w:t>
      </w:r>
      <w:r>
        <w:rPr/>
        <w:t>national</w:t>
      </w:r>
      <w:r>
        <w:rPr>
          <w:spacing w:val="-19"/>
        </w:rPr>
        <w:t> </w:t>
      </w:r>
      <w:r>
        <w:rPr/>
        <w:t>economy.</w:t>
      </w:r>
      <w:r>
        <w:rPr>
          <w:spacing w:val="-15"/>
        </w:rPr>
        <w:t> </w:t>
      </w:r>
      <w:r>
        <w:rPr/>
        <w:t>This</w:t>
      </w:r>
      <w:r>
        <w:rPr>
          <w:spacing w:val="-28"/>
        </w:rPr>
        <w:t> </w:t>
      </w:r>
      <w:r>
        <w:rPr/>
        <w:t>strategy</w:t>
      </w:r>
      <w:r>
        <w:rPr>
          <w:spacing w:val="-22"/>
        </w:rPr>
        <w:t> </w:t>
      </w:r>
      <w:r>
        <w:rPr/>
        <w:t>also</w:t>
      </w:r>
      <w:r>
        <w:rPr>
          <w:spacing w:val="-31"/>
        </w:rPr>
        <w:t> </w:t>
      </w:r>
      <w:r>
        <w:rPr/>
        <w:t>provides</w:t>
      </w:r>
      <w:r>
        <w:rPr>
          <w:spacing w:val="-25"/>
        </w:rPr>
        <w:t> </w:t>
      </w:r>
      <w:r>
        <w:rPr/>
        <w:t>a framework</w:t>
      </w:r>
      <w:r>
        <w:rPr>
          <w:spacing w:val="-23"/>
        </w:rPr>
        <w:t> </w:t>
      </w:r>
      <w:r>
        <w:rPr/>
        <w:t>for</w:t>
      </w:r>
      <w:r>
        <w:rPr>
          <w:spacing w:val="-35"/>
        </w:rPr>
        <w:t> </w:t>
      </w:r>
      <w:r>
        <w:rPr/>
        <w:t>how</w:t>
      </w:r>
      <w:r>
        <w:rPr>
          <w:spacing w:val="-27"/>
        </w:rPr>
        <w:t> </w:t>
      </w:r>
      <w:r>
        <w:rPr/>
        <w:t>the</w:t>
      </w:r>
      <w:r>
        <w:rPr>
          <w:spacing w:val="-34"/>
        </w:rPr>
        <w:t> </w:t>
      </w:r>
      <w:r>
        <w:rPr/>
        <w:t>city</w:t>
      </w:r>
      <w:r>
        <w:rPr>
          <w:spacing w:val="-30"/>
        </w:rPr>
        <w:t> </w:t>
      </w:r>
      <w:r>
        <w:rPr/>
        <w:t>will</w:t>
      </w:r>
      <w:r>
        <w:rPr>
          <w:spacing w:val="-32"/>
        </w:rPr>
        <w:t> </w:t>
      </w:r>
      <w:r>
        <w:rPr/>
        <w:t>work</w:t>
      </w:r>
      <w:r>
        <w:rPr>
          <w:spacing w:val="-27"/>
        </w:rPr>
        <w:t> </w:t>
      </w:r>
      <w:r>
        <w:rPr/>
        <w:t>on</w:t>
      </w:r>
      <w:r>
        <w:rPr>
          <w:spacing w:val="-35"/>
        </w:rPr>
        <w:t> </w:t>
      </w:r>
      <w:r>
        <w:rPr/>
        <w:t>inclusive</w:t>
      </w:r>
      <w:r>
        <w:rPr>
          <w:spacing w:val="-26"/>
        </w:rPr>
        <w:t> </w:t>
      </w:r>
      <w:r>
        <w:rPr/>
        <w:t>economic</w:t>
      </w:r>
      <w:r>
        <w:rPr>
          <w:spacing w:val="-24"/>
        </w:rPr>
        <w:t> </w:t>
      </w:r>
      <w:r>
        <w:rPr/>
        <w:t>growth</w:t>
      </w:r>
      <w:r>
        <w:rPr>
          <w:spacing w:val="-29"/>
        </w:rPr>
        <w:t> </w:t>
      </w:r>
      <w:r>
        <w:rPr/>
        <w:t>with</w:t>
      </w:r>
      <w:r>
        <w:rPr>
          <w:spacing w:val="-32"/>
        </w:rPr>
        <w:t> </w:t>
      </w:r>
      <w:r>
        <w:rPr/>
        <w:t>the</w:t>
      </w:r>
      <w:r>
        <w:rPr>
          <w:spacing w:val="-33"/>
        </w:rPr>
        <w:t> </w:t>
      </w:r>
      <w:r>
        <w:rPr/>
        <w:t>Leeds</w:t>
      </w:r>
      <w:r>
        <w:rPr>
          <w:spacing w:val="-31"/>
        </w:rPr>
        <w:t> </w:t>
      </w:r>
      <w:r>
        <w:rPr/>
        <w:t>City</w:t>
      </w:r>
      <w:r>
        <w:rPr>
          <w:spacing w:val="-28"/>
        </w:rPr>
        <w:t> </w:t>
      </w:r>
      <w:r>
        <w:rPr/>
        <w:t>Region</w:t>
      </w:r>
      <w:r>
        <w:rPr>
          <w:spacing w:val="-25"/>
        </w:rPr>
        <w:t> </w:t>
      </w:r>
      <w:r>
        <w:rPr/>
        <w:t>Local Enterprise Partnership and West Yorkshire Combined Authority, partners across Yorkshire, the Northern Powerhouse and, in the context of the national Industrial Strategy, with central Government.</w:t>
      </w:r>
      <w:r>
        <w:rPr>
          <w:spacing w:val="-16"/>
        </w:rPr>
        <w:t> </w:t>
      </w:r>
      <w:r>
        <w:rPr/>
        <w:t>It</w:t>
      </w:r>
      <w:r>
        <w:rPr>
          <w:spacing w:val="-26"/>
        </w:rPr>
        <w:t> </w:t>
      </w:r>
      <w:r>
        <w:rPr/>
        <w:t>also</w:t>
      </w:r>
      <w:r>
        <w:rPr>
          <w:spacing w:val="-20"/>
        </w:rPr>
        <w:t> </w:t>
      </w:r>
      <w:r>
        <w:rPr/>
        <w:t>sets</w:t>
      </w:r>
      <w:r>
        <w:rPr>
          <w:spacing w:val="-26"/>
        </w:rPr>
        <w:t> </w:t>
      </w:r>
      <w:r>
        <w:rPr/>
        <w:t>out</w:t>
      </w:r>
      <w:r>
        <w:rPr>
          <w:spacing w:val="-29"/>
        </w:rPr>
        <w:t> </w:t>
      </w:r>
      <w:r>
        <w:rPr/>
        <w:t>how</w:t>
      </w:r>
      <w:r>
        <w:rPr>
          <w:spacing w:val="-20"/>
        </w:rPr>
        <w:t> </w:t>
      </w:r>
      <w:r>
        <w:rPr/>
        <w:t>the</w:t>
      </w:r>
      <w:r>
        <w:rPr>
          <w:spacing w:val="-28"/>
        </w:rPr>
        <w:t> </w:t>
      </w:r>
      <w:r>
        <w:rPr/>
        <w:t>city</w:t>
      </w:r>
      <w:r>
        <w:rPr>
          <w:spacing w:val="-27"/>
        </w:rPr>
        <w:t> </w:t>
      </w:r>
      <w:r>
        <w:rPr/>
        <w:t>intends</w:t>
      </w:r>
      <w:r>
        <w:rPr>
          <w:spacing w:val="-24"/>
        </w:rPr>
        <w:t> </w:t>
      </w:r>
      <w:r>
        <w:rPr/>
        <w:t>to</w:t>
      </w:r>
      <w:r>
        <w:rPr>
          <w:spacing w:val="-32"/>
        </w:rPr>
        <w:t> </w:t>
      </w:r>
      <w:r>
        <w:rPr/>
        <w:t>promote</w:t>
      </w:r>
      <w:r>
        <w:rPr>
          <w:spacing w:val="-20"/>
        </w:rPr>
        <w:t> </w:t>
      </w:r>
      <w:r>
        <w:rPr/>
        <w:t>a</w:t>
      </w:r>
      <w:r>
        <w:rPr>
          <w:spacing w:val="-33"/>
        </w:rPr>
        <w:t> </w:t>
      </w:r>
      <w:r>
        <w:rPr/>
        <w:t>positive,</w:t>
      </w:r>
      <w:r>
        <w:rPr>
          <w:spacing w:val="-16"/>
        </w:rPr>
        <w:t> </w:t>
      </w:r>
      <w:r>
        <w:rPr/>
        <w:t>outward</w:t>
      </w:r>
      <w:r>
        <w:rPr>
          <w:spacing w:val="-23"/>
        </w:rPr>
        <w:t> </w:t>
      </w:r>
      <w:r>
        <w:rPr/>
        <w:t>looking</w:t>
      </w:r>
      <w:r>
        <w:rPr>
          <w:spacing w:val="-24"/>
        </w:rPr>
        <w:t> </w:t>
      </w:r>
      <w:r>
        <w:rPr/>
        <w:t>image</w:t>
      </w:r>
      <w:r>
        <w:rPr>
          <w:spacing w:val="-22"/>
        </w:rPr>
        <w:t> </w:t>
      </w:r>
      <w:r>
        <w:rPr/>
        <w:t>on the global stage seeking to increase inward investment, exports and</w:t>
      </w:r>
      <w:r>
        <w:rPr>
          <w:spacing w:val="-32"/>
        </w:rPr>
        <w:t> </w:t>
      </w:r>
      <w:r>
        <w:rPr/>
        <w:t>tourism.</w:t>
      </w:r>
    </w:p>
    <w:p>
      <w:pPr>
        <w:pStyle w:val="BodyText"/>
        <w:spacing w:line="264" w:lineRule="auto" w:before="124"/>
        <w:ind w:left="1015" w:firstLine="3"/>
      </w:pPr>
      <w:r>
        <w:rPr/>
        <w:t>It states that Leeds will only fulfil this potential for future growth if it sustains the progress it is making,</w:t>
      </w:r>
      <w:r>
        <w:rPr>
          <w:spacing w:val="-26"/>
        </w:rPr>
        <w:t> </w:t>
      </w:r>
      <w:r>
        <w:rPr/>
        <w:t>and</w:t>
      </w:r>
      <w:r>
        <w:rPr>
          <w:spacing w:val="-37"/>
        </w:rPr>
        <w:t> </w:t>
      </w:r>
      <w:r>
        <w:rPr/>
        <w:t>by</w:t>
      </w:r>
      <w:r>
        <w:rPr>
          <w:spacing w:val="-34"/>
        </w:rPr>
        <w:t> </w:t>
      </w:r>
      <w:r>
        <w:rPr/>
        <w:t>taking</w:t>
      </w:r>
      <w:r>
        <w:rPr>
          <w:spacing w:val="-30"/>
        </w:rPr>
        <w:t> </w:t>
      </w:r>
      <w:r>
        <w:rPr/>
        <w:t>action</w:t>
      </w:r>
      <w:r>
        <w:rPr>
          <w:spacing w:val="-30"/>
        </w:rPr>
        <w:t> </w:t>
      </w:r>
      <w:r>
        <w:rPr/>
        <w:t>on</w:t>
      </w:r>
      <w:r>
        <w:rPr>
          <w:spacing w:val="-33"/>
        </w:rPr>
        <w:t> </w:t>
      </w:r>
      <w:r>
        <w:rPr/>
        <w:t>areas</w:t>
      </w:r>
      <w:r>
        <w:rPr>
          <w:spacing w:val="-32"/>
        </w:rPr>
        <w:t> </w:t>
      </w:r>
      <w:r>
        <w:rPr/>
        <w:t>where</w:t>
      </w:r>
      <w:r>
        <w:rPr>
          <w:spacing w:val="-36"/>
        </w:rPr>
        <w:t> </w:t>
      </w:r>
      <w:r>
        <w:rPr/>
        <w:t>it</w:t>
      </w:r>
      <w:r>
        <w:rPr>
          <w:spacing w:val="-34"/>
        </w:rPr>
        <w:t> </w:t>
      </w:r>
      <w:r>
        <w:rPr/>
        <w:t>could</w:t>
      </w:r>
      <w:r>
        <w:rPr>
          <w:spacing w:val="-33"/>
        </w:rPr>
        <w:t> </w:t>
      </w:r>
      <w:r>
        <w:rPr/>
        <w:t>perform</w:t>
      </w:r>
      <w:r>
        <w:rPr>
          <w:spacing w:val="-28"/>
        </w:rPr>
        <w:t> </w:t>
      </w:r>
      <w:r>
        <w:rPr/>
        <w:t>better.</w:t>
      </w:r>
      <w:r>
        <w:rPr>
          <w:spacing w:val="-26"/>
        </w:rPr>
        <w:t> </w:t>
      </w:r>
      <w:r>
        <w:rPr/>
        <w:t>This</w:t>
      </w:r>
      <w:r>
        <w:rPr>
          <w:spacing w:val="-36"/>
        </w:rPr>
        <w:t> </w:t>
      </w:r>
      <w:r>
        <w:rPr/>
        <w:t>includes</w:t>
      </w:r>
      <w:r>
        <w:rPr>
          <w:spacing w:val="-31"/>
        </w:rPr>
        <w:t> </w:t>
      </w:r>
      <w:r>
        <w:rPr/>
        <w:t>tackling</w:t>
      </w:r>
      <w:r>
        <w:rPr>
          <w:spacing w:val="-32"/>
        </w:rPr>
        <w:t> </w:t>
      </w:r>
      <w:r>
        <w:rPr/>
        <w:t>poverty, addressing skills gaps, housing growth and regeneration, exports, investment in research and development, developing, attracting and retaining a skilled workforce, and transport and infrastructure.</w:t>
      </w:r>
    </w:p>
    <w:p>
      <w:pPr>
        <w:pStyle w:val="BodyText"/>
        <w:spacing w:line="264" w:lineRule="auto" w:before="119"/>
        <w:ind w:left="1021" w:hanging="3"/>
      </w:pPr>
      <w:r>
        <w:rPr/>
        <w:t>It</w:t>
      </w:r>
      <w:r>
        <w:rPr>
          <w:spacing w:val="-32"/>
        </w:rPr>
        <w:t> </w:t>
      </w:r>
      <w:r>
        <w:rPr/>
        <w:t>defines</w:t>
      </w:r>
      <w:r>
        <w:rPr>
          <w:spacing w:val="-35"/>
        </w:rPr>
        <w:t> </w:t>
      </w:r>
      <w:r>
        <w:rPr/>
        <w:t>twelve</w:t>
      </w:r>
      <w:r>
        <w:rPr>
          <w:spacing w:val="-27"/>
        </w:rPr>
        <w:t> </w:t>
      </w:r>
      <w:r>
        <w:rPr/>
        <w:t>big</w:t>
      </w:r>
      <w:r>
        <w:rPr>
          <w:spacing w:val="-30"/>
        </w:rPr>
        <w:t> </w:t>
      </w:r>
      <w:r>
        <w:rPr/>
        <w:t>ideas</w:t>
      </w:r>
      <w:r>
        <w:rPr>
          <w:spacing w:val="-33"/>
        </w:rPr>
        <w:t> </w:t>
      </w:r>
      <w:r>
        <w:rPr/>
        <w:t>to</w:t>
      </w:r>
      <w:r>
        <w:rPr>
          <w:spacing w:val="-32"/>
        </w:rPr>
        <w:t> </w:t>
      </w:r>
      <w:r>
        <w:rPr/>
        <w:t>shape</w:t>
      </w:r>
      <w:r>
        <w:rPr>
          <w:spacing w:val="-32"/>
        </w:rPr>
        <w:t> </w:t>
      </w:r>
      <w:r>
        <w:rPr/>
        <w:t>the</w:t>
      </w:r>
      <w:r>
        <w:rPr>
          <w:spacing w:val="-32"/>
        </w:rPr>
        <w:t> </w:t>
      </w:r>
      <w:r>
        <w:rPr/>
        <w:t>city</w:t>
      </w:r>
      <w:r>
        <w:rPr>
          <w:spacing w:val="-33"/>
        </w:rPr>
        <w:t> </w:t>
      </w:r>
      <w:r>
        <w:rPr/>
        <w:t>by</w:t>
      </w:r>
      <w:r>
        <w:rPr>
          <w:spacing w:val="-32"/>
        </w:rPr>
        <w:t> </w:t>
      </w:r>
      <w:r>
        <w:rPr/>
        <w:t>boosting</w:t>
      </w:r>
      <w:r>
        <w:rPr>
          <w:spacing w:val="-28"/>
        </w:rPr>
        <w:t> </w:t>
      </w:r>
      <w:r>
        <w:rPr/>
        <w:t>long</w:t>
      </w:r>
      <w:r>
        <w:rPr>
          <w:spacing w:val="-32"/>
        </w:rPr>
        <w:t> </w:t>
      </w:r>
      <w:r>
        <w:rPr/>
        <w:t>term</w:t>
      </w:r>
      <w:r>
        <w:rPr>
          <w:spacing w:val="-28"/>
        </w:rPr>
        <w:t> </w:t>
      </w:r>
      <w:r>
        <w:rPr/>
        <w:t>productivity,</w:t>
      </w:r>
      <w:r>
        <w:rPr>
          <w:spacing w:val="-21"/>
        </w:rPr>
        <w:t> </w:t>
      </w:r>
      <w:r>
        <w:rPr/>
        <w:t>competitiveness</w:t>
      </w:r>
      <w:r>
        <w:rPr>
          <w:spacing w:val="-40"/>
        </w:rPr>
        <w:t> </w:t>
      </w:r>
      <w:r>
        <w:rPr/>
        <w:t>and social</w:t>
      </w:r>
      <w:r>
        <w:rPr>
          <w:spacing w:val="-26"/>
        </w:rPr>
        <w:t> </w:t>
      </w:r>
      <w:r>
        <w:rPr/>
        <w:t>inclusion.</w:t>
      </w:r>
      <w:r>
        <w:rPr>
          <w:spacing w:val="-22"/>
        </w:rPr>
        <w:t> </w:t>
      </w:r>
      <w:r>
        <w:rPr/>
        <w:t>Integral</w:t>
      </w:r>
      <w:r>
        <w:rPr>
          <w:spacing w:val="-21"/>
        </w:rPr>
        <w:t> </w:t>
      </w:r>
      <w:r>
        <w:rPr/>
        <w:t>to</w:t>
      </w:r>
      <w:r>
        <w:rPr>
          <w:spacing w:val="-33"/>
        </w:rPr>
        <w:t> </w:t>
      </w:r>
      <w:r>
        <w:rPr/>
        <w:t>this</w:t>
      </w:r>
      <w:r>
        <w:rPr>
          <w:spacing w:val="-29"/>
        </w:rPr>
        <w:t> </w:t>
      </w:r>
      <w:r>
        <w:rPr/>
        <w:t>are</w:t>
      </w:r>
      <w:r>
        <w:rPr>
          <w:spacing w:val="-32"/>
        </w:rPr>
        <w:t> </w:t>
      </w:r>
      <w:r>
        <w:rPr/>
        <w:t>the</w:t>
      </w:r>
      <w:r>
        <w:rPr>
          <w:spacing w:val="-34"/>
        </w:rPr>
        <w:t> </w:t>
      </w:r>
      <w:r>
        <w:rPr/>
        <w:t>principles</w:t>
      </w:r>
      <w:r>
        <w:rPr>
          <w:spacing w:val="-20"/>
        </w:rPr>
        <w:t> </w:t>
      </w:r>
      <w:r>
        <w:rPr/>
        <w:t>of</w:t>
      </w:r>
      <w:r>
        <w:rPr>
          <w:spacing w:val="-27"/>
        </w:rPr>
        <w:t> </w:t>
      </w:r>
      <w:r>
        <w:rPr/>
        <w:t>sustainable</w:t>
      </w:r>
      <w:r>
        <w:rPr>
          <w:spacing w:val="-18"/>
        </w:rPr>
        <w:t> </w:t>
      </w:r>
      <w:r>
        <w:rPr/>
        <w:t>development</w:t>
      </w:r>
      <w:r>
        <w:rPr>
          <w:spacing w:val="-14"/>
        </w:rPr>
        <w:t> </w:t>
      </w:r>
      <w:r>
        <w:rPr/>
        <w:t>which</w:t>
      </w:r>
      <w:r>
        <w:rPr>
          <w:spacing w:val="-26"/>
        </w:rPr>
        <w:t> </w:t>
      </w:r>
      <w:r>
        <w:rPr/>
        <w:t>embrace</w:t>
      </w:r>
      <w:r>
        <w:rPr>
          <w:spacing w:val="-26"/>
        </w:rPr>
        <w:t> </w:t>
      </w:r>
      <w:r>
        <w:rPr/>
        <w:t>the social,</w:t>
      </w:r>
      <w:r>
        <w:rPr>
          <w:spacing w:val="-22"/>
        </w:rPr>
        <w:t> </w:t>
      </w:r>
      <w:r>
        <w:rPr/>
        <w:t>economic</w:t>
      </w:r>
      <w:r>
        <w:rPr>
          <w:spacing w:val="-15"/>
        </w:rPr>
        <w:t> </w:t>
      </w:r>
      <w:r>
        <w:rPr/>
        <w:t>and</w:t>
      </w:r>
      <w:r>
        <w:rPr>
          <w:spacing w:val="-24"/>
        </w:rPr>
        <w:t> </w:t>
      </w:r>
      <w:r>
        <w:rPr/>
        <w:t>environmental</w:t>
      </w:r>
      <w:r>
        <w:rPr>
          <w:spacing w:val="-8"/>
        </w:rPr>
        <w:t> </w:t>
      </w:r>
      <w:r>
        <w:rPr/>
        <w:t>impacts</w:t>
      </w:r>
      <w:r>
        <w:rPr>
          <w:spacing w:val="-22"/>
        </w:rPr>
        <w:t> </w:t>
      </w:r>
      <w:r>
        <w:rPr/>
        <w:t>of</w:t>
      </w:r>
      <w:r>
        <w:rPr>
          <w:spacing w:val="-26"/>
        </w:rPr>
        <w:t> </w:t>
      </w:r>
      <w:r>
        <w:rPr/>
        <w:t>their</w:t>
      </w:r>
      <w:r>
        <w:rPr>
          <w:spacing w:val="-28"/>
        </w:rPr>
        <w:t> </w:t>
      </w:r>
      <w:r>
        <w:rPr/>
        <w:t>implementation.</w:t>
      </w:r>
      <w:r>
        <w:rPr>
          <w:spacing w:val="-27"/>
        </w:rPr>
        <w:t> </w:t>
      </w:r>
      <w:r>
        <w:rPr/>
        <w:t>There</w:t>
      </w:r>
      <w:r>
        <w:rPr>
          <w:spacing w:val="-28"/>
        </w:rPr>
        <w:t> </w:t>
      </w:r>
      <w:r>
        <w:rPr/>
        <w:t>is</w:t>
      </w:r>
      <w:r>
        <w:rPr>
          <w:spacing w:val="-27"/>
        </w:rPr>
        <w:t> </w:t>
      </w:r>
      <w:r>
        <w:rPr/>
        <w:t>a</w:t>
      </w:r>
      <w:r>
        <w:rPr>
          <w:spacing w:val="-32"/>
        </w:rPr>
        <w:t> </w:t>
      </w:r>
      <w:r>
        <w:rPr/>
        <w:t>lot</w:t>
      </w:r>
      <w:r>
        <w:rPr>
          <w:spacing w:val="-23"/>
        </w:rPr>
        <w:t> </w:t>
      </w:r>
      <w:r>
        <w:rPr/>
        <w:t>of</w:t>
      </w:r>
      <w:r>
        <w:rPr>
          <w:spacing w:val="-29"/>
        </w:rPr>
        <w:t> </w:t>
      </w:r>
      <w:r>
        <w:rPr/>
        <w:t>good</w:t>
      </w:r>
      <w:r>
        <w:rPr>
          <w:spacing w:val="-24"/>
        </w:rPr>
        <w:t> </w:t>
      </w:r>
      <w:r>
        <w:rPr/>
        <w:t>work already</w:t>
      </w:r>
      <w:r>
        <w:rPr>
          <w:spacing w:val="-25"/>
        </w:rPr>
        <w:t> </w:t>
      </w:r>
      <w:r>
        <w:rPr/>
        <w:t>taking</w:t>
      </w:r>
      <w:r>
        <w:rPr>
          <w:spacing w:val="-21"/>
        </w:rPr>
        <w:t> </w:t>
      </w:r>
      <w:r>
        <w:rPr/>
        <w:t>place</w:t>
      </w:r>
      <w:r>
        <w:rPr>
          <w:spacing w:val="-24"/>
        </w:rPr>
        <w:t> </w:t>
      </w:r>
      <w:r>
        <w:rPr/>
        <w:t>in</w:t>
      </w:r>
      <w:r>
        <w:rPr>
          <w:spacing w:val="-22"/>
        </w:rPr>
        <w:t> </w:t>
      </w:r>
      <w:r>
        <w:rPr/>
        <w:t>Leeds</w:t>
      </w:r>
      <w:r>
        <w:rPr>
          <w:spacing w:val="-23"/>
        </w:rPr>
        <w:t> </w:t>
      </w:r>
      <w:r>
        <w:rPr/>
        <w:t>but</w:t>
      </w:r>
      <w:r>
        <w:rPr>
          <w:spacing w:val="-21"/>
        </w:rPr>
        <w:t> </w:t>
      </w:r>
      <w:r>
        <w:rPr/>
        <w:t>there</w:t>
      </w:r>
      <w:r>
        <w:rPr>
          <w:spacing w:val="-25"/>
        </w:rPr>
        <w:t> </w:t>
      </w:r>
      <w:r>
        <w:rPr/>
        <w:t>remains</w:t>
      </w:r>
      <w:r>
        <w:rPr>
          <w:spacing w:val="-17"/>
        </w:rPr>
        <w:t> </w:t>
      </w:r>
      <w:r>
        <w:rPr/>
        <w:t>an</w:t>
      </w:r>
      <w:r>
        <w:rPr>
          <w:spacing w:val="-20"/>
        </w:rPr>
        <w:t> </w:t>
      </w:r>
      <w:r>
        <w:rPr/>
        <w:t>opportunity</w:t>
      </w:r>
      <w:r>
        <w:rPr>
          <w:spacing w:val="-8"/>
        </w:rPr>
        <w:t> </w:t>
      </w:r>
      <w:r>
        <w:rPr/>
        <w:t>for</w:t>
      </w:r>
      <w:r>
        <w:rPr>
          <w:spacing w:val="-25"/>
        </w:rPr>
        <w:t> </w:t>
      </w:r>
      <w:r>
        <w:rPr/>
        <w:t>this</w:t>
      </w:r>
      <w:r>
        <w:rPr>
          <w:spacing w:val="-25"/>
        </w:rPr>
        <w:t> </w:t>
      </w:r>
      <w:r>
        <w:rPr/>
        <w:t>to</w:t>
      </w:r>
      <w:r>
        <w:rPr>
          <w:spacing w:val="-28"/>
        </w:rPr>
        <w:t> </w:t>
      </w:r>
      <w:r>
        <w:rPr/>
        <w:t>have</w:t>
      </w:r>
      <w:r>
        <w:rPr>
          <w:spacing w:val="-18"/>
        </w:rPr>
        <w:t> </w:t>
      </w:r>
      <w:r>
        <w:rPr/>
        <w:t>renewed</w:t>
      </w:r>
      <w:r>
        <w:rPr>
          <w:spacing w:val="-16"/>
        </w:rPr>
        <w:t> </w:t>
      </w:r>
      <w:r>
        <w:rPr/>
        <w:t>focus,</w:t>
      </w:r>
      <w:r>
        <w:rPr>
          <w:spacing w:val="-14"/>
        </w:rPr>
        <w:t> </w:t>
      </w:r>
      <w:r>
        <w:rPr/>
        <w:t>a clearer</w:t>
      </w:r>
      <w:r>
        <w:rPr>
          <w:spacing w:val="-10"/>
        </w:rPr>
        <w:t> </w:t>
      </w:r>
      <w:r>
        <w:rPr/>
        <w:t>strategic</w:t>
      </w:r>
      <w:r>
        <w:rPr>
          <w:spacing w:val="-7"/>
        </w:rPr>
        <w:t> </w:t>
      </w:r>
      <w:r>
        <w:rPr/>
        <w:t>context</w:t>
      </w:r>
      <w:r>
        <w:rPr>
          <w:spacing w:val="-7"/>
        </w:rPr>
        <w:t> </w:t>
      </w:r>
      <w:r>
        <w:rPr/>
        <w:t>and</w:t>
      </w:r>
      <w:r>
        <w:rPr>
          <w:spacing w:val="-15"/>
        </w:rPr>
        <w:t> </w:t>
      </w:r>
      <w:r>
        <w:rPr/>
        <w:t>stronger</w:t>
      </w:r>
      <w:r>
        <w:rPr>
          <w:spacing w:val="-9"/>
        </w:rPr>
        <w:t> </w:t>
      </w:r>
      <w:r>
        <w:rPr/>
        <w:t>commitment from</w:t>
      </w:r>
      <w:r>
        <w:rPr>
          <w:spacing w:val="-17"/>
        </w:rPr>
        <w:t> </w:t>
      </w:r>
      <w:r>
        <w:rPr/>
        <w:t>businesses</w:t>
      </w:r>
      <w:r>
        <w:rPr>
          <w:spacing w:val="-11"/>
        </w:rPr>
        <w:t> </w:t>
      </w:r>
      <w:r>
        <w:rPr/>
        <w:t>and</w:t>
      </w:r>
      <w:r>
        <w:rPr>
          <w:spacing w:val="-13"/>
        </w:rPr>
        <w:t> </w:t>
      </w:r>
      <w:r>
        <w:rPr/>
        <w:t>others</w:t>
      </w:r>
      <w:r>
        <w:rPr>
          <w:spacing w:val="-19"/>
        </w:rPr>
        <w:t> </w:t>
      </w:r>
      <w:r>
        <w:rPr/>
        <w:t>in</w:t>
      </w:r>
      <w:r>
        <w:rPr>
          <w:spacing w:val="-20"/>
        </w:rPr>
        <w:t> </w:t>
      </w:r>
      <w:r>
        <w:rPr/>
        <w:t>the</w:t>
      </w:r>
      <w:r>
        <w:rPr>
          <w:spacing w:val="-18"/>
        </w:rPr>
        <w:t> </w:t>
      </w:r>
      <w:r>
        <w:rPr/>
        <w:t>city.</w:t>
      </w:r>
    </w:p>
    <w:p>
      <w:pPr>
        <w:pStyle w:val="BodyText"/>
        <w:spacing w:line="271" w:lineRule="auto" w:before="120"/>
        <w:ind w:left="1021" w:right="212" w:hanging="3"/>
      </w:pPr>
      <w:r>
        <w:rPr/>
        <w:t>It</w:t>
      </w:r>
      <w:r>
        <w:rPr>
          <w:spacing w:val="-29"/>
        </w:rPr>
        <w:t> </w:t>
      </w:r>
      <w:r>
        <w:rPr/>
        <w:t>acknowledges</w:t>
      </w:r>
      <w:r>
        <w:rPr>
          <w:spacing w:val="-20"/>
        </w:rPr>
        <w:t> </w:t>
      </w:r>
      <w:r>
        <w:rPr/>
        <w:t>that</w:t>
      </w:r>
      <w:r>
        <w:rPr>
          <w:spacing w:val="-28"/>
        </w:rPr>
        <w:t> </w:t>
      </w:r>
      <w:r>
        <w:rPr/>
        <w:t>flood</w:t>
      </w:r>
      <w:r>
        <w:rPr>
          <w:spacing w:val="-30"/>
        </w:rPr>
        <w:t> </w:t>
      </w:r>
      <w:r>
        <w:rPr/>
        <w:t>protection</w:t>
      </w:r>
      <w:r>
        <w:rPr>
          <w:spacing w:val="-19"/>
        </w:rPr>
        <w:t> </w:t>
      </w:r>
      <w:r>
        <w:rPr/>
        <w:t>and</w:t>
      </w:r>
      <w:r>
        <w:rPr>
          <w:spacing w:val="-27"/>
        </w:rPr>
        <w:t> </w:t>
      </w:r>
      <w:r>
        <w:rPr/>
        <w:t>green</w:t>
      </w:r>
      <w:r>
        <w:rPr>
          <w:spacing w:val="-29"/>
        </w:rPr>
        <w:t> </w:t>
      </w:r>
      <w:r>
        <w:rPr/>
        <w:t>infrastructure</w:t>
      </w:r>
      <w:r>
        <w:rPr>
          <w:spacing w:val="-32"/>
        </w:rPr>
        <w:t> </w:t>
      </w:r>
      <w:r>
        <w:rPr/>
        <w:t>will</w:t>
      </w:r>
      <w:r>
        <w:rPr>
          <w:spacing w:val="-30"/>
        </w:rPr>
        <w:t> </w:t>
      </w:r>
      <w:r>
        <w:rPr/>
        <w:t>form</w:t>
      </w:r>
      <w:r>
        <w:rPr>
          <w:spacing w:val="-24"/>
        </w:rPr>
        <w:t> </w:t>
      </w:r>
      <w:r>
        <w:rPr/>
        <w:t>part</w:t>
      </w:r>
      <w:r>
        <w:rPr>
          <w:spacing w:val="-29"/>
        </w:rPr>
        <w:t> </w:t>
      </w:r>
      <w:r>
        <w:rPr/>
        <w:t>of</w:t>
      </w:r>
      <w:r>
        <w:rPr>
          <w:spacing w:val="-32"/>
        </w:rPr>
        <w:t> </w:t>
      </w:r>
      <w:r>
        <w:rPr/>
        <w:t>its</w:t>
      </w:r>
      <w:r>
        <w:rPr>
          <w:spacing w:val="-33"/>
        </w:rPr>
        <w:t> </w:t>
      </w:r>
      <w:r>
        <w:rPr/>
        <w:t>vision</w:t>
      </w:r>
      <w:r>
        <w:rPr>
          <w:spacing w:val="-27"/>
        </w:rPr>
        <w:t> </w:t>
      </w:r>
      <w:r>
        <w:rPr/>
        <w:t>for</w:t>
      </w:r>
      <w:r>
        <w:rPr>
          <w:spacing w:val="-31"/>
        </w:rPr>
        <w:t> </w:t>
      </w:r>
      <w:r>
        <w:rPr/>
        <w:t>21° century</w:t>
      </w:r>
      <w:r>
        <w:rPr>
          <w:spacing w:val="-4"/>
        </w:rPr>
        <w:t> </w:t>
      </w:r>
      <w:r>
        <w:rPr/>
        <w:t>infrastructure.</w:t>
      </w:r>
    </w:p>
    <w:p>
      <w:pPr>
        <w:pStyle w:val="ListParagraph"/>
        <w:numPr>
          <w:ilvl w:val="1"/>
          <w:numId w:val="4"/>
        </w:numPr>
        <w:tabs>
          <w:tab w:pos="1018" w:val="left" w:leader="none"/>
          <w:tab w:pos="1019" w:val="left" w:leader="none"/>
        </w:tabs>
        <w:spacing w:line="240" w:lineRule="auto" w:before="114" w:after="0"/>
        <w:ind w:left="1018" w:right="0" w:hanging="863"/>
        <w:jc w:val="left"/>
        <w:rPr>
          <w:sz w:val="28"/>
        </w:rPr>
      </w:pPr>
      <w:r>
        <w:rPr>
          <w:sz w:val="28"/>
        </w:rPr>
        <w:t>NATIONAL INFRASTRUCTURE ASSESSMENT JULY</w:t>
      </w:r>
      <w:r>
        <w:rPr>
          <w:spacing w:val="-11"/>
          <w:sz w:val="28"/>
        </w:rPr>
        <w:t> </w:t>
      </w:r>
      <w:r>
        <w:rPr>
          <w:sz w:val="28"/>
        </w:rPr>
        <w:t>2018</w:t>
      </w:r>
    </w:p>
    <w:p>
      <w:pPr>
        <w:pStyle w:val="BodyText"/>
        <w:spacing w:line="264" w:lineRule="auto" w:before="157"/>
        <w:ind w:left="1015" w:firstLine="9"/>
      </w:pPr>
      <w:r>
        <w:rPr/>
        <w:t>This</w:t>
      </w:r>
      <w:r>
        <w:rPr>
          <w:spacing w:val="-24"/>
        </w:rPr>
        <w:t> </w:t>
      </w:r>
      <w:r>
        <w:rPr/>
        <w:t>sets</w:t>
      </w:r>
      <w:r>
        <w:rPr>
          <w:spacing w:val="-25"/>
        </w:rPr>
        <w:t> </w:t>
      </w:r>
      <w:r>
        <w:rPr/>
        <w:t>out</w:t>
      </w:r>
      <w:r>
        <w:rPr>
          <w:spacing w:val="-26"/>
        </w:rPr>
        <w:t> </w:t>
      </w:r>
      <w:r>
        <w:rPr/>
        <w:t>the</w:t>
      </w:r>
      <w:r>
        <w:rPr>
          <w:spacing w:val="-30"/>
        </w:rPr>
        <w:t> </w:t>
      </w:r>
      <w:r>
        <w:rPr/>
        <w:t>plan</w:t>
      </w:r>
      <w:r>
        <w:rPr>
          <w:spacing w:val="-24"/>
        </w:rPr>
        <w:t> </w:t>
      </w:r>
      <w:r>
        <w:rPr/>
        <w:t>of</w:t>
      </w:r>
      <w:r>
        <w:rPr>
          <w:spacing w:val="-23"/>
        </w:rPr>
        <w:t> </w:t>
      </w:r>
      <w:r>
        <w:rPr/>
        <w:t>action</w:t>
      </w:r>
      <w:r>
        <w:rPr>
          <w:spacing w:val="-22"/>
        </w:rPr>
        <w:t> </w:t>
      </w:r>
      <w:r>
        <w:rPr/>
        <w:t>for</w:t>
      </w:r>
      <w:r>
        <w:rPr>
          <w:spacing w:val="-28"/>
        </w:rPr>
        <w:t> </w:t>
      </w:r>
      <w:r>
        <w:rPr/>
        <w:t>the</w:t>
      </w:r>
      <w:r>
        <w:rPr>
          <w:spacing w:val="-26"/>
        </w:rPr>
        <w:t> </w:t>
      </w:r>
      <w:r>
        <w:rPr/>
        <w:t>country’s</w:t>
      </w:r>
      <w:r>
        <w:rPr>
          <w:spacing w:val="-24"/>
        </w:rPr>
        <w:t> </w:t>
      </w:r>
      <w:r>
        <w:rPr/>
        <w:t>infrastructure</w:t>
      </w:r>
      <w:r>
        <w:rPr>
          <w:spacing w:val="-30"/>
        </w:rPr>
        <w:t> </w:t>
      </w:r>
      <w:r>
        <w:rPr/>
        <w:t>for</w:t>
      </w:r>
      <w:r>
        <w:rPr>
          <w:spacing w:val="-24"/>
        </w:rPr>
        <w:t> </w:t>
      </w:r>
      <w:r>
        <w:rPr/>
        <w:t>over</w:t>
      </w:r>
      <w:r>
        <w:rPr>
          <w:spacing w:val="-26"/>
        </w:rPr>
        <w:t> </w:t>
      </w:r>
      <w:r>
        <w:rPr/>
        <w:t>the</w:t>
      </w:r>
      <w:r>
        <w:rPr>
          <w:spacing w:val="-30"/>
        </w:rPr>
        <w:t> </w:t>
      </w:r>
      <w:r>
        <w:rPr/>
        <w:t>next</w:t>
      </w:r>
      <w:r>
        <w:rPr>
          <w:spacing w:val="-20"/>
        </w:rPr>
        <w:t> </w:t>
      </w:r>
      <w:r>
        <w:rPr/>
        <w:t>10</w:t>
      </w:r>
      <w:r>
        <w:rPr>
          <w:spacing w:val="-28"/>
        </w:rPr>
        <w:t> </w:t>
      </w:r>
      <w:r>
        <w:rPr>
          <w:w w:val="90"/>
        </w:rPr>
        <w:t>—</w:t>
      </w:r>
      <w:r>
        <w:rPr>
          <w:spacing w:val="-38"/>
          <w:w w:val="90"/>
        </w:rPr>
        <w:t> </w:t>
      </w:r>
      <w:r>
        <w:rPr/>
        <w:t>30</w:t>
      </w:r>
      <w:r>
        <w:rPr>
          <w:spacing w:val="-30"/>
        </w:rPr>
        <w:t> </w:t>
      </w:r>
      <w:r>
        <w:rPr/>
        <w:t>years.</w:t>
      </w:r>
      <w:r>
        <w:rPr>
          <w:spacing w:val="-17"/>
        </w:rPr>
        <w:t> </w:t>
      </w:r>
      <w:r>
        <w:rPr/>
        <w:t>The national</w:t>
      </w:r>
      <w:r>
        <w:rPr>
          <w:spacing w:val="-21"/>
        </w:rPr>
        <w:t> </w:t>
      </w:r>
      <w:r>
        <w:rPr/>
        <w:t>infrastructure</w:t>
      </w:r>
      <w:r>
        <w:rPr>
          <w:spacing w:val="-29"/>
        </w:rPr>
        <w:t> </w:t>
      </w:r>
      <w:r>
        <w:rPr/>
        <w:t>commission</w:t>
      </w:r>
      <w:r>
        <w:rPr>
          <w:spacing w:val="-14"/>
        </w:rPr>
        <w:t> </w:t>
      </w:r>
      <w:r>
        <w:rPr/>
        <w:t>was</w:t>
      </w:r>
      <w:r>
        <w:rPr>
          <w:spacing w:val="-25"/>
        </w:rPr>
        <w:t> </w:t>
      </w:r>
      <w:r>
        <w:rPr/>
        <w:t>set</w:t>
      </w:r>
      <w:r>
        <w:rPr>
          <w:spacing w:val="-33"/>
        </w:rPr>
        <w:t> </w:t>
      </w:r>
      <w:r>
        <w:rPr/>
        <w:t>up</w:t>
      </w:r>
      <w:r>
        <w:rPr>
          <w:spacing w:val="-24"/>
        </w:rPr>
        <w:t> </w:t>
      </w:r>
      <w:r>
        <w:rPr/>
        <w:t>to</w:t>
      </w:r>
      <w:r>
        <w:rPr>
          <w:spacing w:val="-22"/>
        </w:rPr>
        <w:t> </w:t>
      </w:r>
      <w:r>
        <w:rPr/>
        <w:t>address</w:t>
      </w:r>
      <w:r>
        <w:rPr>
          <w:spacing w:val="-25"/>
        </w:rPr>
        <w:t> </w:t>
      </w:r>
      <w:r>
        <w:rPr/>
        <w:t>problems</w:t>
      </w:r>
      <w:r>
        <w:rPr>
          <w:spacing w:val="-21"/>
        </w:rPr>
        <w:t> </w:t>
      </w:r>
      <w:r>
        <w:rPr/>
        <w:t>with</w:t>
      </w:r>
      <w:r>
        <w:rPr>
          <w:spacing w:val="-27"/>
        </w:rPr>
        <w:t> </w:t>
      </w:r>
      <w:r>
        <w:rPr/>
        <w:t>long</w:t>
      </w:r>
      <w:r>
        <w:rPr>
          <w:spacing w:val="-25"/>
        </w:rPr>
        <w:t> </w:t>
      </w:r>
      <w:r>
        <w:rPr/>
        <w:t>term</w:t>
      </w:r>
      <w:r>
        <w:rPr>
          <w:spacing w:val="-28"/>
        </w:rPr>
        <w:t> </w:t>
      </w:r>
      <w:r>
        <w:rPr/>
        <w:t>infrastructure planning</w:t>
      </w:r>
      <w:r>
        <w:rPr>
          <w:spacing w:val="-27"/>
        </w:rPr>
        <w:t> </w:t>
      </w:r>
      <w:r>
        <w:rPr/>
        <w:t>in</w:t>
      </w:r>
      <w:r>
        <w:rPr>
          <w:spacing w:val="-33"/>
        </w:rPr>
        <w:t> </w:t>
      </w:r>
      <w:r>
        <w:rPr/>
        <w:t>the</w:t>
      </w:r>
      <w:r>
        <w:rPr>
          <w:spacing w:val="-30"/>
        </w:rPr>
        <w:t> </w:t>
      </w:r>
      <w:r>
        <w:rPr/>
        <w:t>UK.</w:t>
      </w:r>
      <w:r>
        <w:rPr>
          <w:spacing w:val="-28"/>
        </w:rPr>
        <w:t> </w:t>
      </w:r>
      <w:r>
        <w:rPr/>
        <w:t>One</w:t>
      </w:r>
      <w:r>
        <w:rPr>
          <w:spacing w:val="-29"/>
        </w:rPr>
        <w:t> </w:t>
      </w:r>
      <w:r>
        <w:rPr/>
        <w:t>of</w:t>
      </w:r>
      <w:r>
        <w:rPr>
          <w:spacing w:val="-39"/>
        </w:rPr>
        <w:t> </w:t>
      </w:r>
      <w:r>
        <w:rPr/>
        <w:t>its</w:t>
      </w:r>
      <w:r>
        <w:rPr>
          <w:spacing w:val="-33"/>
        </w:rPr>
        <w:t> </w:t>
      </w:r>
      <w:r>
        <w:rPr/>
        <w:t>core</w:t>
      </w:r>
      <w:r>
        <w:rPr>
          <w:spacing w:val="-32"/>
        </w:rPr>
        <w:t> </w:t>
      </w:r>
      <w:r>
        <w:rPr/>
        <w:t>proposals</w:t>
      </w:r>
      <w:r>
        <w:rPr>
          <w:spacing w:val="-34"/>
        </w:rPr>
        <w:t> </w:t>
      </w:r>
      <w:r>
        <w:rPr/>
        <w:t>includes</w:t>
      </w:r>
      <w:r>
        <w:rPr>
          <w:spacing w:val="-27"/>
        </w:rPr>
        <w:t> </w:t>
      </w:r>
      <w:r>
        <w:rPr/>
        <w:t>national</w:t>
      </w:r>
      <w:r>
        <w:rPr>
          <w:spacing w:val="-26"/>
        </w:rPr>
        <w:t> </w:t>
      </w:r>
      <w:r>
        <w:rPr/>
        <w:t>standard</w:t>
      </w:r>
      <w:r>
        <w:rPr>
          <w:spacing w:val="-24"/>
        </w:rPr>
        <w:t> </w:t>
      </w:r>
      <w:r>
        <w:rPr/>
        <w:t>of</w:t>
      </w:r>
      <w:r>
        <w:rPr>
          <w:spacing w:val="-35"/>
        </w:rPr>
        <w:t> </w:t>
      </w:r>
      <w:r>
        <w:rPr/>
        <w:t>flood</w:t>
      </w:r>
      <w:r>
        <w:rPr>
          <w:spacing w:val="-26"/>
        </w:rPr>
        <w:t> </w:t>
      </w:r>
      <w:r>
        <w:rPr/>
        <w:t>resilience</w:t>
      </w:r>
      <w:r>
        <w:rPr>
          <w:spacing w:val="-26"/>
        </w:rPr>
        <w:t> </w:t>
      </w:r>
      <w:r>
        <w:rPr/>
        <w:t>by</w:t>
      </w:r>
      <w:r>
        <w:rPr>
          <w:spacing w:val="-32"/>
        </w:rPr>
        <w:t> </w:t>
      </w:r>
      <w:r>
        <w:rPr/>
        <w:t>2015. The</w:t>
      </w:r>
      <w:r>
        <w:rPr>
          <w:spacing w:val="-39"/>
        </w:rPr>
        <w:t> </w:t>
      </w:r>
      <w:r>
        <w:rPr/>
        <w:t>Commission’s</w:t>
      </w:r>
      <w:r>
        <w:rPr>
          <w:spacing w:val="-31"/>
        </w:rPr>
        <w:t> </w:t>
      </w:r>
      <w:r>
        <w:rPr/>
        <w:t>recommendations</w:t>
      </w:r>
      <w:r>
        <w:rPr>
          <w:spacing w:val="-44"/>
        </w:rPr>
        <w:t> </w:t>
      </w:r>
      <w:r>
        <w:rPr/>
        <w:t>represent</w:t>
      </w:r>
      <w:r>
        <w:rPr>
          <w:spacing w:val="-30"/>
        </w:rPr>
        <w:t> </w:t>
      </w:r>
      <w:r>
        <w:rPr/>
        <w:t>a</w:t>
      </w:r>
      <w:r>
        <w:rPr>
          <w:spacing w:val="-42"/>
        </w:rPr>
        <w:t> </w:t>
      </w:r>
      <w:r>
        <w:rPr/>
        <w:t>major</w:t>
      </w:r>
      <w:r>
        <w:rPr>
          <w:spacing w:val="-36"/>
        </w:rPr>
        <w:t> </w:t>
      </w:r>
      <w:r>
        <w:rPr/>
        <w:t>long-term</w:t>
      </w:r>
      <w:r>
        <w:rPr>
          <w:spacing w:val="-29"/>
        </w:rPr>
        <w:t> </w:t>
      </w:r>
      <w:r>
        <w:rPr/>
        <w:t>programme</w:t>
      </w:r>
      <w:r>
        <w:rPr>
          <w:spacing w:val="-30"/>
        </w:rPr>
        <w:t> </w:t>
      </w:r>
      <w:r>
        <w:rPr/>
        <w:t>of</w:t>
      </w:r>
      <w:r>
        <w:rPr>
          <w:spacing w:val="-38"/>
        </w:rPr>
        <w:t> </w:t>
      </w:r>
      <w:r>
        <w:rPr/>
        <w:t>investment</w:t>
      </w:r>
      <w:r>
        <w:rPr>
          <w:spacing w:val="-33"/>
        </w:rPr>
        <w:t> </w:t>
      </w:r>
      <w:r>
        <w:rPr/>
        <w:t>in</w:t>
      </w:r>
      <w:r>
        <w:rPr>
          <w:spacing w:val="-39"/>
        </w:rPr>
        <w:t> </w:t>
      </w:r>
      <w:r>
        <w:rPr/>
        <w:t>the UK’s infrastructure. The programme includes substantial funding for major schemes such as Crossrail</w:t>
      </w:r>
      <w:r>
        <w:rPr>
          <w:spacing w:val="-13"/>
        </w:rPr>
        <w:t> </w:t>
      </w:r>
      <w:r>
        <w:rPr/>
        <w:t>2</w:t>
      </w:r>
      <w:r>
        <w:rPr>
          <w:spacing w:val="-31"/>
        </w:rPr>
        <w:t> </w:t>
      </w:r>
      <w:r>
        <w:rPr/>
        <w:t>and</w:t>
      </w:r>
      <w:r>
        <w:rPr>
          <w:spacing w:val="-25"/>
        </w:rPr>
        <w:t> </w:t>
      </w:r>
      <w:r>
        <w:rPr/>
        <w:t>Northern</w:t>
      </w:r>
      <w:r>
        <w:rPr>
          <w:spacing w:val="-18"/>
        </w:rPr>
        <w:t> </w:t>
      </w:r>
      <w:r>
        <w:rPr/>
        <w:t>Powerhouse</w:t>
      </w:r>
      <w:r>
        <w:rPr>
          <w:spacing w:val="-15"/>
        </w:rPr>
        <w:t> </w:t>
      </w:r>
      <w:r>
        <w:rPr/>
        <w:t>Rail,</w:t>
      </w:r>
      <w:r>
        <w:rPr>
          <w:spacing w:val="-21"/>
        </w:rPr>
        <w:t> </w:t>
      </w:r>
      <w:r>
        <w:rPr/>
        <w:t>as</w:t>
      </w:r>
      <w:r>
        <w:rPr>
          <w:spacing w:val="-29"/>
        </w:rPr>
        <w:t> </w:t>
      </w:r>
      <w:r>
        <w:rPr/>
        <w:t>well</w:t>
      </w:r>
      <w:r>
        <w:rPr>
          <w:spacing w:val="-19"/>
        </w:rPr>
        <w:t> </w:t>
      </w:r>
      <w:r>
        <w:rPr/>
        <w:t>as</w:t>
      </w:r>
      <w:r>
        <w:rPr>
          <w:spacing w:val="-33"/>
        </w:rPr>
        <w:t> </w:t>
      </w:r>
      <w:r>
        <w:rPr/>
        <w:t>to</w:t>
      </w:r>
      <w:r>
        <w:rPr>
          <w:spacing w:val="-27"/>
        </w:rPr>
        <w:t> </w:t>
      </w:r>
      <w:r>
        <w:rPr/>
        <w:t>support</w:t>
      </w:r>
      <w:r>
        <w:rPr>
          <w:spacing w:val="-22"/>
        </w:rPr>
        <w:t> </w:t>
      </w:r>
      <w:r>
        <w:rPr/>
        <w:t>the</w:t>
      </w:r>
      <w:r>
        <w:rPr>
          <w:spacing w:val="-25"/>
        </w:rPr>
        <w:t> </w:t>
      </w:r>
      <w:r>
        <w:rPr/>
        <w:t>delivery</w:t>
      </w:r>
      <w:r>
        <w:rPr>
          <w:spacing w:val="-15"/>
        </w:rPr>
        <w:t> </w:t>
      </w:r>
      <w:r>
        <w:rPr/>
        <w:t>of</w:t>
      </w:r>
      <w:r>
        <w:rPr>
          <w:spacing w:val="-25"/>
        </w:rPr>
        <w:t> </w:t>
      </w:r>
      <w:r>
        <w:rPr/>
        <w:t>enhanced</w:t>
      </w:r>
      <w:r>
        <w:rPr>
          <w:spacing w:val="-20"/>
        </w:rPr>
        <w:t> </w:t>
      </w:r>
      <w:r>
        <w:rPr/>
        <w:t>digital networks and flood</w:t>
      </w:r>
      <w:r>
        <w:rPr>
          <w:spacing w:val="23"/>
        </w:rPr>
        <w:t> </w:t>
      </w:r>
      <w:r>
        <w:rPr/>
        <w:t>protection.</w:t>
      </w:r>
    </w:p>
    <w:p>
      <w:pPr>
        <w:pStyle w:val="BodyText"/>
        <w:spacing w:line="264" w:lineRule="auto" w:before="123"/>
        <w:ind w:left="1015" w:right="212" w:firstLine="3"/>
      </w:pPr>
      <w:r>
        <w:rPr/>
        <w:t>It</w:t>
      </w:r>
      <w:r>
        <w:rPr>
          <w:spacing w:val="-34"/>
        </w:rPr>
        <w:t> </w:t>
      </w:r>
      <w:r>
        <w:rPr/>
        <w:t>states</w:t>
      </w:r>
      <w:r>
        <w:rPr>
          <w:spacing w:val="-33"/>
        </w:rPr>
        <w:t> </w:t>
      </w:r>
      <w:r>
        <w:rPr/>
        <w:t>that</w:t>
      </w:r>
      <w:r>
        <w:rPr>
          <w:spacing w:val="-35"/>
        </w:rPr>
        <w:t> </w:t>
      </w:r>
      <w:r>
        <w:rPr/>
        <w:t>a</w:t>
      </w:r>
      <w:r>
        <w:rPr>
          <w:spacing w:val="-40"/>
        </w:rPr>
        <w:t> </w:t>
      </w:r>
      <w:r>
        <w:rPr/>
        <w:t>long-term</w:t>
      </w:r>
      <w:r>
        <w:rPr>
          <w:spacing w:val="-22"/>
        </w:rPr>
        <w:t> </w:t>
      </w:r>
      <w:r>
        <w:rPr/>
        <w:t>strategy</w:t>
      </w:r>
      <w:r>
        <w:rPr>
          <w:spacing w:val="-29"/>
        </w:rPr>
        <w:t> </w:t>
      </w:r>
      <w:r>
        <w:rPr/>
        <w:t>for</w:t>
      </w:r>
      <w:r>
        <w:rPr>
          <w:spacing w:val="-35"/>
        </w:rPr>
        <w:t> </w:t>
      </w:r>
      <w:r>
        <w:rPr/>
        <w:t>flood</w:t>
      </w:r>
      <w:r>
        <w:rPr>
          <w:spacing w:val="-35"/>
        </w:rPr>
        <w:t> </w:t>
      </w:r>
      <w:r>
        <w:rPr/>
        <w:t>protection</w:t>
      </w:r>
      <w:r>
        <w:rPr>
          <w:spacing w:val="-26"/>
        </w:rPr>
        <w:t> </w:t>
      </w:r>
      <w:r>
        <w:rPr/>
        <w:t>would</w:t>
      </w:r>
      <w:r>
        <w:rPr>
          <w:spacing w:val="-30"/>
        </w:rPr>
        <w:t> </w:t>
      </w:r>
      <w:r>
        <w:rPr/>
        <w:t>allow</w:t>
      </w:r>
      <w:r>
        <w:rPr>
          <w:spacing w:val="-26"/>
        </w:rPr>
        <w:t> </w:t>
      </w:r>
      <w:r>
        <w:rPr/>
        <w:t>a</w:t>
      </w:r>
      <w:r>
        <w:rPr>
          <w:spacing w:val="-39"/>
        </w:rPr>
        <w:t> </w:t>
      </w:r>
      <w:r>
        <w:rPr/>
        <w:t>nationwide</w:t>
      </w:r>
      <w:r>
        <w:rPr>
          <w:spacing w:val="-30"/>
        </w:rPr>
        <w:t> </w:t>
      </w:r>
      <w:r>
        <w:rPr/>
        <w:t>standard</w:t>
      </w:r>
      <w:r>
        <w:rPr>
          <w:spacing w:val="-28"/>
        </w:rPr>
        <w:t> </w:t>
      </w:r>
      <w:r>
        <w:rPr/>
        <w:t>of</w:t>
      </w:r>
      <w:r>
        <w:rPr>
          <w:spacing w:val="-36"/>
        </w:rPr>
        <w:t> </w:t>
      </w:r>
      <w:r>
        <w:rPr/>
        <w:t>resilience to flooding, with catchment based plans. These plans should evaluate the full range of options including</w:t>
      </w:r>
      <w:r>
        <w:rPr>
          <w:spacing w:val="-27"/>
        </w:rPr>
        <w:t> </w:t>
      </w:r>
      <w:r>
        <w:rPr/>
        <w:t>traditional</w:t>
      </w:r>
      <w:r>
        <w:rPr>
          <w:spacing w:val="-21"/>
        </w:rPr>
        <w:t> </w:t>
      </w:r>
      <w:r>
        <w:rPr/>
        <w:t>flood</w:t>
      </w:r>
      <w:r>
        <w:rPr>
          <w:spacing w:val="-31"/>
        </w:rPr>
        <w:t> </w:t>
      </w:r>
      <w:r>
        <w:rPr/>
        <w:t>defences,</w:t>
      </w:r>
      <w:r>
        <w:rPr>
          <w:spacing w:val="-30"/>
        </w:rPr>
        <w:t> </w:t>
      </w:r>
      <w:r>
        <w:rPr/>
        <w:t>‘green</w:t>
      </w:r>
      <w:r>
        <w:rPr>
          <w:spacing w:val="-32"/>
        </w:rPr>
        <w:t> </w:t>
      </w:r>
      <w:r>
        <w:rPr/>
        <w:t>infrastructure’</w:t>
      </w:r>
      <w:r>
        <w:rPr>
          <w:spacing w:val="-34"/>
        </w:rPr>
        <w:t> </w:t>
      </w:r>
      <w:r>
        <w:rPr/>
        <w:t>(whether</w:t>
      </w:r>
      <w:r>
        <w:rPr>
          <w:spacing w:val="-28"/>
        </w:rPr>
        <w:t> </w:t>
      </w:r>
      <w:r>
        <w:rPr/>
        <w:t>Natural</w:t>
      </w:r>
      <w:r>
        <w:rPr>
          <w:spacing w:val="-24"/>
        </w:rPr>
        <w:t> </w:t>
      </w:r>
      <w:r>
        <w:rPr/>
        <w:t>Flood</w:t>
      </w:r>
      <w:r>
        <w:rPr>
          <w:spacing w:val="-29"/>
        </w:rPr>
        <w:t> </w:t>
      </w:r>
      <w:r>
        <w:rPr/>
        <w:t>Management</w:t>
      </w:r>
      <w:r>
        <w:rPr>
          <w:spacing w:val="-22"/>
        </w:rPr>
        <w:t> </w:t>
      </w:r>
      <w:r>
        <w:rPr/>
        <w:t>or SuDS),</w:t>
      </w:r>
      <w:r>
        <w:rPr>
          <w:spacing w:val="-32"/>
        </w:rPr>
        <w:t> </w:t>
      </w:r>
      <w:r>
        <w:rPr/>
        <w:t>individual</w:t>
      </w:r>
      <w:r>
        <w:rPr>
          <w:spacing w:val="-31"/>
        </w:rPr>
        <w:t> </w:t>
      </w:r>
      <w:r>
        <w:rPr/>
        <w:t>property</w:t>
      </w:r>
      <w:r>
        <w:rPr>
          <w:spacing w:val="-29"/>
        </w:rPr>
        <w:t> </w:t>
      </w:r>
      <w:r>
        <w:rPr/>
        <w:t>measures</w:t>
      </w:r>
      <w:r>
        <w:rPr>
          <w:spacing w:val="-27"/>
        </w:rPr>
        <w:t> </w:t>
      </w:r>
      <w:r>
        <w:rPr/>
        <w:t>and</w:t>
      </w:r>
      <w:r>
        <w:rPr>
          <w:spacing w:val="-35"/>
        </w:rPr>
        <w:t> </w:t>
      </w:r>
      <w:r>
        <w:rPr/>
        <w:t>spatial</w:t>
      </w:r>
      <w:r>
        <w:rPr>
          <w:spacing w:val="-34"/>
        </w:rPr>
        <w:t> </w:t>
      </w:r>
      <w:r>
        <w:rPr/>
        <w:t>planning.</w:t>
      </w:r>
      <w:r>
        <w:rPr>
          <w:spacing w:val="-27"/>
        </w:rPr>
        <w:t> </w:t>
      </w:r>
      <w:r>
        <w:rPr/>
        <w:t>In</w:t>
      </w:r>
      <w:r>
        <w:rPr>
          <w:spacing w:val="-38"/>
        </w:rPr>
        <w:t> </w:t>
      </w:r>
      <w:r>
        <w:rPr/>
        <w:t>the</w:t>
      </w:r>
      <w:r>
        <w:rPr>
          <w:spacing w:val="-36"/>
        </w:rPr>
        <w:t> </w:t>
      </w:r>
      <w:r>
        <w:rPr/>
        <w:t>Commission’s</w:t>
      </w:r>
      <w:r>
        <w:rPr>
          <w:spacing w:val="-32"/>
        </w:rPr>
        <w:t> </w:t>
      </w:r>
      <w:r>
        <w:rPr/>
        <w:t>social</w:t>
      </w:r>
      <w:r>
        <w:rPr>
          <w:spacing w:val="-34"/>
        </w:rPr>
        <w:t> </w:t>
      </w:r>
      <w:r>
        <w:rPr/>
        <w:t>research,</w:t>
      </w:r>
      <w:r>
        <w:rPr>
          <w:spacing w:val="-29"/>
        </w:rPr>
        <w:t> </w:t>
      </w:r>
      <w:r>
        <w:rPr/>
        <w:t>59 per</w:t>
      </w:r>
      <w:r>
        <w:rPr>
          <w:spacing w:val="-24"/>
        </w:rPr>
        <w:t> </w:t>
      </w:r>
      <w:r>
        <w:rPr/>
        <w:t>cent</w:t>
      </w:r>
      <w:r>
        <w:rPr>
          <w:spacing w:val="-19"/>
        </w:rPr>
        <w:t> </w:t>
      </w:r>
      <w:r>
        <w:rPr/>
        <w:t>of</w:t>
      </w:r>
      <w:r>
        <w:rPr>
          <w:spacing w:val="-27"/>
        </w:rPr>
        <w:t> </w:t>
      </w:r>
      <w:r>
        <w:rPr/>
        <w:t>people</w:t>
      </w:r>
      <w:r>
        <w:rPr>
          <w:spacing w:val="-22"/>
        </w:rPr>
        <w:t> </w:t>
      </w:r>
      <w:r>
        <w:rPr/>
        <w:t>agreed</w:t>
      </w:r>
      <w:r>
        <w:rPr>
          <w:spacing w:val="-20"/>
        </w:rPr>
        <w:t> </w:t>
      </w:r>
      <w:r>
        <w:rPr/>
        <w:t>that</w:t>
      </w:r>
      <w:r>
        <w:rPr>
          <w:spacing w:val="-22"/>
        </w:rPr>
        <w:t> </w:t>
      </w:r>
      <w:r>
        <w:rPr/>
        <w:t>everyone</w:t>
      </w:r>
      <w:r>
        <w:rPr>
          <w:spacing w:val="-16"/>
        </w:rPr>
        <w:t> </w:t>
      </w:r>
      <w:r>
        <w:rPr/>
        <w:t>should</w:t>
      </w:r>
      <w:r>
        <w:rPr>
          <w:spacing w:val="-22"/>
        </w:rPr>
        <w:t> </w:t>
      </w:r>
      <w:r>
        <w:rPr/>
        <w:t>have</w:t>
      </w:r>
      <w:r>
        <w:rPr>
          <w:spacing w:val="-26"/>
        </w:rPr>
        <w:t> </w:t>
      </w:r>
      <w:r>
        <w:rPr/>
        <w:t>the</w:t>
      </w:r>
      <w:r>
        <w:rPr>
          <w:spacing w:val="-24"/>
        </w:rPr>
        <w:t> </w:t>
      </w:r>
      <w:r>
        <w:rPr/>
        <w:t>same</w:t>
      </w:r>
      <w:r>
        <w:rPr>
          <w:spacing w:val="-16"/>
        </w:rPr>
        <w:t> </w:t>
      </w:r>
      <w:r>
        <w:rPr/>
        <w:t>standard</w:t>
      </w:r>
      <w:r>
        <w:rPr>
          <w:spacing w:val="-17"/>
        </w:rPr>
        <w:t> </w:t>
      </w:r>
      <w:r>
        <w:rPr/>
        <w:t>of</w:t>
      </w:r>
      <w:r>
        <w:rPr>
          <w:spacing w:val="-25"/>
        </w:rPr>
        <w:t> </w:t>
      </w:r>
      <w:r>
        <w:rPr/>
        <w:t>flood</w:t>
      </w:r>
      <w:r>
        <w:rPr>
          <w:spacing w:val="-25"/>
        </w:rPr>
        <w:t> </w:t>
      </w:r>
      <w:r>
        <w:rPr/>
        <w:t>resilience,</w:t>
      </w:r>
      <w:r>
        <w:rPr>
          <w:spacing w:val="-17"/>
        </w:rPr>
        <w:t> </w:t>
      </w:r>
      <w:r>
        <w:rPr/>
        <w:t>even though some properties cost more to protect. The Commission believe that a national standard should be set for resilience to flooding with an annual likelihood of 0.5 per cent by 2050, where feasible.</w:t>
      </w:r>
      <w:r>
        <w:rPr>
          <w:spacing w:val="-34"/>
        </w:rPr>
        <w:t> </w:t>
      </w:r>
      <w:r>
        <w:rPr/>
        <w:t>Over</w:t>
      </w:r>
      <w:r>
        <w:rPr>
          <w:spacing w:val="-39"/>
        </w:rPr>
        <w:t> </w:t>
      </w:r>
      <w:r>
        <w:rPr/>
        <w:t>longer</w:t>
      </w:r>
      <w:r>
        <w:rPr>
          <w:spacing w:val="-37"/>
        </w:rPr>
        <w:t> </w:t>
      </w:r>
      <w:r>
        <w:rPr/>
        <w:t>time</w:t>
      </w:r>
      <w:r>
        <w:rPr>
          <w:spacing w:val="-37"/>
        </w:rPr>
        <w:t> </w:t>
      </w:r>
      <w:r>
        <w:rPr/>
        <w:t>periods,</w:t>
      </w:r>
      <w:r>
        <w:rPr>
          <w:spacing w:val="-36"/>
        </w:rPr>
        <w:t> </w:t>
      </w:r>
      <w:r>
        <w:rPr/>
        <w:t>higher</w:t>
      </w:r>
      <w:r>
        <w:rPr>
          <w:spacing w:val="-33"/>
        </w:rPr>
        <w:t> </w:t>
      </w:r>
      <w:r>
        <w:rPr/>
        <w:t>standards</w:t>
      </w:r>
      <w:r>
        <w:rPr>
          <w:spacing w:val="-38"/>
        </w:rPr>
        <w:t> </w:t>
      </w:r>
      <w:r>
        <w:rPr/>
        <w:t>might</w:t>
      </w:r>
      <w:r>
        <w:rPr>
          <w:spacing w:val="-38"/>
        </w:rPr>
        <w:t> </w:t>
      </w:r>
      <w:r>
        <w:rPr/>
        <w:t>be</w:t>
      </w:r>
      <w:r>
        <w:rPr>
          <w:spacing w:val="-40"/>
        </w:rPr>
        <w:t> </w:t>
      </w:r>
      <w:r>
        <w:rPr/>
        <w:t>achievable.</w:t>
      </w:r>
      <w:r>
        <w:rPr>
          <w:spacing w:val="-35"/>
        </w:rPr>
        <w:t> </w:t>
      </w:r>
      <w:r>
        <w:rPr/>
        <w:t>Densely</w:t>
      </w:r>
      <w:r>
        <w:rPr>
          <w:spacing w:val="-35"/>
        </w:rPr>
        <w:t> </w:t>
      </w:r>
      <w:r>
        <w:rPr/>
        <w:t>populated</w:t>
      </w:r>
      <w:r>
        <w:rPr>
          <w:spacing w:val="-32"/>
        </w:rPr>
        <w:t> </w:t>
      </w:r>
      <w:r>
        <w:rPr/>
        <w:t>areas, where the consequences of flooding are potentially much more serious, should be resilient to flooding with a likelihood of only 0.1 per cent a year by 2050. The Environment Agency should update</w:t>
      </w:r>
      <w:r>
        <w:rPr>
          <w:spacing w:val="-11"/>
        </w:rPr>
        <w:t> </w:t>
      </w:r>
      <w:r>
        <w:rPr/>
        <w:t>plans</w:t>
      </w:r>
      <w:r>
        <w:rPr>
          <w:spacing w:val="-12"/>
        </w:rPr>
        <w:t> </w:t>
      </w:r>
      <w:r>
        <w:rPr/>
        <w:t>for</w:t>
      </w:r>
      <w:r>
        <w:rPr>
          <w:spacing w:val="-9"/>
        </w:rPr>
        <w:t> </w:t>
      </w:r>
      <w:r>
        <w:rPr/>
        <w:t>all</w:t>
      </w:r>
      <w:r>
        <w:rPr>
          <w:spacing w:val="-11"/>
        </w:rPr>
        <w:t> </w:t>
      </w:r>
      <w:r>
        <w:rPr/>
        <w:t>catchments</w:t>
      </w:r>
      <w:r>
        <w:rPr>
          <w:spacing w:val="5"/>
        </w:rPr>
        <w:t> </w:t>
      </w:r>
      <w:r>
        <w:rPr/>
        <w:t>and</w:t>
      </w:r>
      <w:r>
        <w:rPr>
          <w:spacing w:val="-10"/>
        </w:rPr>
        <w:t> </w:t>
      </w:r>
      <w:r>
        <w:rPr/>
        <w:t>coastal</w:t>
      </w:r>
      <w:r>
        <w:rPr>
          <w:spacing w:val="-7"/>
        </w:rPr>
        <w:t> </w:t>
      </w:r>
      <w:r>
        <w:rPr/>
        <w:t>cells</w:t>
      </w:r>
      <w:r>
        <w:rPr>
          <w:spacing w:val="-15"/>
        </w:rPr>
        <w:t> </w:t>
      </w:r>
      <w:r>
        <w:rPr/>
        <w:t>in</w:t>
      </w:r>
      <w:r>
        <w:rPr>
          <w:spacing w:val="-10"/>
        </w:rPr>
        <w:t> </w:t>
      </w:r>
      <w:r>
        <w:rPr/>
        <w:t>England</w:t>
      </w:r>
      <w:r>
        <w:rPr>
          <w:spacing w:val="-7"/>
        </w:rPr>
        <w:t> </w:t>
      </w:r>
      <w:r>
        <w:rPr/>
        <w:t>before</w:t>
      </w:r>
      <w:r>
        <w:rPr>
          <w:spacing w:val="-10"/>
        </w:rPr>
        <w:t> </w:t>
      </w:r>
      <w:r>
        <w:rPr/>
        <w:t>the</w:t>
      </w:r>
      <w:r>
        <w:rPr>
          <w:spacing w:val="-11"/>
        </w:rPr>
        <w:t> </w:t>
      </w:r>
      <w:r>
        <w:rPr/>
        <w:t>end</w:t>
      </w:r>
      <w:r>
        <w:rPr>
          <w:spacing w:val="1"/>
        </w:rPr>
        <w:t> </w:t>
      </w:r>
      <w:r>
        <w:rPr/>
        <w:t>of</w:t>
      </w:r>
      <w:r>
        <w:rPr>
          <w:spacing w:val="-8"/>
        </w:rPr>
        <w:t> </w:t>
      </w:r>
      <w:r>
        <w:rPr/>
        <w:t>2023.</w:t>
      </w:r>
    </w:p>
    <w:p>
      <w:pPr>
        <w:spacing w:after="0" w:line="264" w:lineRule="auto"/>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line="261" w:lineRule="auto" w:before="92"/>
        <w:ind w:left="1021" w:right="212" w:firstLine="3"/>
      </w:pPr>
      <w:r>
        <w:rPr/>
        <w:pict>
          <v:group style="position:absolute;margin-left:123.349602pt;margin-top:-50.127747pt;width:5.3pt;height:35.050pt;mso-position-horizontal-relative:page;mso-position-vertical-relative:paragraph;z-index:1984" coordorigin="2467,-1003" coordsize="106,701">
            <v:shape style="position:absolute;left:2467;top:-1003;width:106;height:48" type="#_x0000_t75" stroked="false">
              <v:imagedata r:id="rId14" o:title=""/>
            </v:shape>
            <v:shape style="position:absolute;left:2486;top:-341;width:87;height:39" type="#_x0000_t75" stroked="false">
              <v:imagedata r:id="rId15" o:title=""/>
            </v:shape>
            <v:line style="position:absolute" from="2515,-1003" to="2515,-311" stroked="true" strokeweight="4.799592pt" strokecolor="#ff6477">
              <v:stroke dashstyle="solid"/>
            </v:line>
            <w10:wrap type="none"/>
          </v:group>
        </w:pict>
      </w:r>
      <w:bookmarkStart w:name="Leeds LFRMS 2018 Update_Page_19" w:id="23"/>
      <w:bookmarkEnd w:id="23"/>
      <w:r>
        <w:rPr/>
      </w:r>
      <w:r>
        <w:rPr/>
        <w:t>This</w:t>
      </w:r>
      <w:r>
        <w:rPr>
          <w:spacing w:val="-37"/>
        </w:rPr>
        <w:t> </w:t>
      </w:r>
      <w:r>
        <w:rPr/>
        <w:t>provides</w:t>
      </w:r>
      <w:r>
        <w:rPr>
          <w:spacing w:val="-30"/>
        </w:rPr>
        <w:t> </w:t>
      </w:r>
      <w:r>
        <w:rPr/>
        <w:t>a</w:t>
      </w:r>
      <w:r>
        <w:rPr>
          <w:spacing w:val="-39"/>
        </w:rPr>
        <w:t> </w:t>
      </w:r>
      <w:r>
        <w:rPr/>
        <w:t>new</w:t>
      </w:r>
      <w:r>
        <w:rPr>
          <w:spacing w:val="-28"/>
        </w:rPr>
        <w:t> </w:t>
      </w:r>
      <w:r>
        <w:rPr/>
        <w:t>vision</w:t>
      </w:r>
      <w:r>
        <w:rPr>
          <w:spacing w:val="-31"/>
        </w:rPr>
        <w:t> </w:t>
      </w:r>
      <w:r>
        <w:rPr/>
        <w:t>for</w:t>
      </w:r>
      <w:r>
        <w:rPr>
          <w:spacing w:val="-32"/>
        </w:rPr>
        <w:t> </w:t>
      </w:r>
      <w:r>
        <w:rPr/>
        <w:t>the</w:t>
      </w:r>
      <w:r>
        <w:rPr>
          <w:spacing w:val="-33"/>
        </w:rPr>
        <w:t> </w:t>
      </w:r>
      <w:r>
        <w:rPr/>
        <w:t>development</w:t>
      </w:r>
      <w:r>
        <w:rPr>
          <w:spacing w:val="-19"/>
        </w:rPr>
        <w:t> </w:t>
      </w:r>
      <w:r>
        <w:rPr/>
        <w:t>of</w:t>
      </w:r>
      <w:r>
        <w:rPr>
          <w:spacing w:val="-37"/>
        </w:rPr>
        <w:t> </w:t>
      </w:r>
      <w:r>
        <w:rPr/>
        <w:t>public</w:t>
      </w:r>
      <w:r>
        <w:rPr>
          <w:spacing w:val="-36"/>
        </w:rPr>
        <w:t> </w:t>
      </w:r>
      <w:r>
        <w:rPr/>
        <w:t>infrastructure</w:t>
      </w:r>
      <w:r>
        <w:rPr>
          <w:spacing w:val="-36"/>
        </w:rPr>
        <w:t> </w:t>
      </w:r>
      <w:r>
        <w:rPr/>
        <w:t>which</w:t>
      </w:r>
      <w:r>
        <w:rPr>
          <w:spacing w:val="-32"/>
        </w:rPr>
        <w:t> </w:t>
      </w:r>
      <w:r>
        <w:rPr/>
        <w:t>will</w:t>
      </w:r>
      <w:r>
        <w:rPr>
          <w:spacing w:val="-31"/>
        </w:rPr>
        <w:t> </w:t>
      </w:r>
      <w:r>
        <w:rPr/>
        <w:t>bring</w:t>
      </w:r>
      <w:r>
        <w:rPr>
          <w:spacing w:val="-34"/>
        </w:rPr>
        <w:t> </w:t>
      </w:r>
      <w:r>
        <w:rPr/>
        <w:t>new challenges</w:t>
      </w:r>
      <w:r>
        <w:rPr>
          <w:spacing w:val="-7"/>
        </w:rPr>
        <w:t> </w:t>
      </w:r>
      <w:r>
        <w:rPr/>
        <w:t>in</w:t>
      </w:r>
      <w:r>
        <w:rPr>
          <w:spacing w:val="-17"/>
        </w:rPr>
        <w:t> </w:t>
      </w:r>
      <w:r>
        <w:rPr/>
        <w:t>promoting</w:t>
      </w:r>
      <w:r>
        <w:rPr>
          <w:spacing w:val="1"/>
        </w:rPr>
        <w:t> </w:t>
      </w:r>
      <w:r>
        <w:rPr/>
        <w:t>and</w:t>
      </w:r>
      <w:r>
        <w:rPr>
          <w:spacing w:val="-7"/>
        </w:rPr>
        <w:t> </w:t>
      </w:r>
      <w:r>
        <w:rPr/>
        <w:t>securing</w:t>
      </w:r>
      <w:r>
        <w:rPr>
          <w:spacing w:val="-5"/>
        </w:rPr>
        <w:t> </w:t>
      </w:r>
      <w:r>
        <w:rPr/>
        <w:t>investment</w:t>
      </w:r>
      <w:r>
        <w:rPr>
          <w:spacing w:val="-4"/>
        </w:rPr>
        <w:t> </w:t>
      </w:r>
      <w:r>
        <w:rPr/>
        <w:t>in</w:t>
      </w:r>
      <w:r>
        <w:rPr>
          <w:spacing w:val="-13"/>
        </w:rPr>
        <w:t> </w:t>
      </w:r>
      <w:r>
        <w:rPr/>
        <w:t>flood</w:t>
      </w:r>
      <w:r>
        <w:rPr>
          <w:spacing w:val="-5"/>
        </w:rPr>
        <w:t> </w:t>
      </w:r>
      <w:r>
        <w:rPr/>
        <w:t>risk</w:t>
      </w:r>
      <w:r>
        <w:rPr>
          <w:spacing w:val="-12"/>
        </w:rPr>
        <w:t> </w:t>
      </w:r>
      <w:r>
        <w:rPr/>
        <w:t>infrastructure.</w:t>
      </w:r>
    </w:p>
    <w:p>
      <w:pPr>
        <w:spacing w:after="0" w:line="261" w:lineRule="auto"/>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ListParagraph"/>
        <w:numPr>
          <w:ilvl w:val="0"/>
          <w:numId w:val="4"/>
        </w:numPr>
        <w:tabs>
          <w:tab w:pos="1016" w:val="left" w:leader="none"/>
          <w:tab w:pos="1017" w:val="left" w:leader="none"/>
        </w:tabs>
        <w:spacing w:line="240" w:lineRule="auto" w:before="90" w:after="0"/>
        <w:ind w:left="1016" w:right="0" w:hanging="850"/>
        <w:jc w:val="left"/>
        <w:rPr>
          <w:sz w:val="32"/>
        </w:rPr>
      </w:pPr>
      <w:r>
        <w:rPr/>
        <w:pict>
          <v:line style="position:absolute;mso-position-horizontal-relative:page;mso-position-vertical-relative:paragraph;z-index:-40;mso-wrap-distance-left:0;mso-wrap-distance-right:0" from="27.837641pt,25.867392pt" to="562.272212pt,25.867392pt" stroked="true" strokeweight="1.1999pt" strokecolor="#bc5460">
            <v:stroke dashstyle="solid"/>
            <w10:wrap type="topAndBottom"/>
          </v:line>
        </w:pict>
      </w:r>
      <w:r>
        <w:rPr/>
        <w:pict>
          <v:group style="position:absolute;margin-left:537.554504pt;margin-top:-50.806358pt;width:5.8pt;height:34.6pt;mso-position-horizontal-relative:page;mso-position-vertical-relative:paragraph;z-index:2032" coordorigin="10751,-1016" coordsize="116,692">
            <v:shape style="position:absolute;left:10751;top:-1017;width:116;height:39" type="#_x0000_t75" stroked="false">
              <v:imagedata r:id="rId27" o:title=""/>
            </v:shape>
            <v:shape style="position:absolute;left:10827;top:-402;width:39;height:77" type="#_x0000_t75" stroked="false">
              <v:imagedata r:id="rId28" o:title=""/>
            </v:shape>
            <v:line style="position:absolute" from="10804,-1016" to="10804,-335" stroked="true" strokeweight="5.279551pt" strokecolor="#d85970">
              <v:stroke dashstyle="solid"/>
            </v:line>
            <w10:wrap type="none"/>
          </v:group>
        </w:pict>
      </w:r>
      <w:bookmarkStart w:name="Leeds LFRMS 2018 Update_Page_20" w:id="24"/>
      <w:bookmarkEnd w:id="24"/>
      <w:r>
        <w:rPr/>
      </w:r>
      <w:bookmarkStart w:name="Leeds LFRMS 2018 Update_Page_20" w:id="25"/>
      <w:bookmarkEnd w:id="25"/>
      <w:r>
        <w:rPr>
          <w:sz w:val="32"/>
        </w:rPr>
        <w:t>LEED</w:t>
      </w:r>
      <w:r>
        <w:rPr>
          <w:sz w:val="32"/>
        </w:rPr>
        <w:t>S CITY COUNCIL ADMINISTRATIVE</w:t>
      </w:r>
      <w:r>
        <w:rPr>
          <w:spacing w:val="-16"/>
          <w:sz w:val="32"/>
        </w:rPr>
        <w:t> </w:t>
      </w:r>
      <w:r>
        <w:rPr>
          <w:sz w:val="32"/>
        </w:rPr>
        <w:t>AREA</w:t>
      </w:r>
    </w:p>
    <w:p>
      <w:pPr>
        <w:pStyle w:val="ListParagraph"/>
        <w:numPr>
          <w:ilvl w:val="1"/>
          <w:numId w:val="4"/>
        </w:numPr>
        <w:tabs>
          <w:tab w:pos="1018" w:val="left" w:leader="none"/>
          <w:tab w:pos="1019" w:val="left" w:leader="none"/>
        </w:tabs>
        <w:spacing w:line="240" w:lineRule="auto" w:before="222" w:after="0"/>
        <w:ind w:left="1018" w:right="0" w:hanging="850"/>
        <w:jc w:val="left"/>
        <w:rPr>
          <w:sz w:val="28"/>
        </w:rPr>
      </w:pPr>
      <w:r>
        <w:rPr>
          <w:sz w:val="28"/>
        </w:rPr>
        <w:t>PHYSICAL</w:t>
      </w:r>
      <w:r>
        <w:rPr>
          <w:spacing w:val="20"/>
          <w:sz w:val="28"/>
        </w:rPr>
        <w:t> </w:t>
      </w:r>
      <w:r>
        <w:rPr>
          <w:sz w:val="28"/>
        </w:rPr>
        <w:t>CHARACTERISTICS</w:t>
      </w:r>
    </w:p>
    <w:p>
      <w:pPr>
        <w:pStyle w:val="BodyText"/>
        <w:spacing w:line="264" w:lineRule="auto" w:before="157"/>
        <w:ind w:left="1015" w:right="212" w:firstLine="9"/>
      </w:pPr>
      <w:r>
        <w:rPr/>
        <w:t>The administrative area of Leeds City Council covers an area of approximately 560 square </w:t>
      </w:r>
      <w:r>
        <w:rPr>
          <w:w w:val="95"/>
        </w:rPr>
        <w:t>kilometres. This includes approximately 360 square kilometres of countryside designated as Green </w:t>
      </w:r>
      <w:r>
        <w:rPr/>
        <w:t>Belt.</w:t>
      </w:r>
      <w:r>
        <w:rPr>
          <w:spacing w:val="-18"/>
        </w:rPr>
        <w:t> </w:t>
      </w:r>
      <w:r>
        <w:rPr/>
        <w:t>The</w:t>
      </w:r>
      <w:r>
        <w:rPr>
          <w:spacing w:val="-26"/>
        </w:rPr>
        <w:t> </w:t>
      </w:r>
      <w:r>
        <w:rPr/>
        <w:t>district</w:t>
      </w:r>
      <w:r>
        <w:rPr>
          <w:spacing w:val="-17"/>
        </w:rPr>
        <w:t> </w:t>
      </w:r>
      <w:r>
        <w:rPr/>
        <w:t>encompasses</w:t>
      </w:r>
      <w:r>
        <w:rPr>
          <w:spacing w:val="-17"/>
        </w:rPr>
        <w:t> </w:t>
      </w:r>
      <w:r>
        <w:rPr/>
        <w:t>the</w:t>
      </w:r>
      <w:r>
        <w:rPr>
          <w:spacing w:val="-30"/>
        </w:rPr>
        <w:t> </w:t>
      </w:r>
      <w:r>
        <w:rPr/>
        <w:t>major</w:t>
      </w:r>
      <w:r>
        <w:rPr>
          <w:spacing w:val="-20"/>
        </w:rPr>
        <w:t> </w:t>
      </w:r>
      <w:r>
        <w:rPr/>
        <w:t>city</w:t>
      </w:r>
      <w:r>
        <w:rPr>
          <w:spacing w:val="-21"/>
        </w:rPr>
        <w:t> </w:t>
      </w:r>
      <w:r>
        <w:rPr/>
        <w:t>of</w:t>
      </w:r>
      <w:r>
        <w:rPr>
          <w:spacing w:val="-24"/>
        </w:rPr>
        <w:t> </w:t>
      </w:r>
      <w:r>
        <w:rPr/>
        <w:t>Leeds</w:t>
      </w:r>
      <w:r>
        <w:rPr>
          <w:spacing w:val="-28"/>
        </w:rPr>
        <w:t> </w:t>
      </w:r>
      <w:r>
        <w:rPr/>
        <w:t>as</w:t>
      </w:r>
      <w:r>
        <w:rPr>
          <w:spacing w:val="-28"/>
        </w:rPr>
        <w:t> </w:t>
      </w:r>
      <w:r>
        <w:rPr/>
        <w:t>well</w:t>
      </w:r>
      <w:r>
        <w:rPr>
          <w:spacing w:val="-21"/>
        </w:rPr>
        <w:t> </w:t>
      </w:r>
      <w:r>
        <w:rPr/>
        <w:t>as</w:t>
      </w:r>
      <w:r>
        <w:rPr>
          <w:spacing w:val="-31"/>
        </w:rPr>
        <w:t> </w:t>
      </w:r>
      <w:r>
        <w:rPr/>
        <w:t>number</w:t>
      </w:r>
      <w:r>
        <w:rPr>
          <w:spacing w:val="-17"/>
        </w:rPr>
        <w:t> </w:t>
      </w:r>
      <w:r>
        <w:rPr/>
        <w:t>of</w:t>
      </w:r>
      <w:r>
        <w:rPr>
          <w:spacing w:val="-26"/>
        </w:rPr>
        <w:t> </w:t>
      </w:r>
      <w:r>
        <w:rPr/>
        <w:t>smaller</w:t>
      </w:r>
      <w:r>
        <w:rPr>
          <w:spacing w:val="-19"/>
        </w:rPr>
        <w:t> </w:t>
      </w:r>
      <w:r>
        <w:rPr/>
        <w:t>settlements including:</w:t>
      </w:r>
      <w:r>
        <w:rPr>
          <w:spacing w:val="-32"/>
        </w:rPr>
        <w:t> </w:t>
      </w:r>
      <w:r>
        <w:rPr/>
        <w:t>Wetherby,</w:t>
      </w:r>
      <w:r>
        <w:rPr>
          <w:spacing w:val="-33"/>
        </w:rPr>
        <w:t> </w:t>
      </w:r>
      <w:r>
        <w:rPr/>
        <w:t>Otley,</w:t>
      </w:r>
      <w:r>
        <w:rPr>
          <w:spacing w:val="-34"/>
        </w:rPr>
        <w:t> </w:t>
      </w:r>
      <w:r>
        <w:rPr/>
        <w:t>Guiseley,</w:t>
      </w:r>
      <w:r>
        <w:rPr>
          <w:spacing w:val="-30"/>
        </w:rPr>
        <w:t> </w:t>
      </w:r>
      <w:r>
        <w:rPr/>
        <w:t>Yeadon,</w:t>
      </w:r>
      <w:r>
        <w:rPr>
          <w:spacing w:val="-35"/>
        </w:rPr>
        <w:t> </w:t>
      </w:r>
      <w:r>
        <w:rPr/>
        <w:t>Horsforth,</w:t>
      </w:r>
      <w:r>
        <w:rPr>
          <w:spacing w:val="-36"/>
        </w:rPr>
        <w:t> </w:t>
      </w:r>
      <w:r>
        <w:rPr/>
        <w:t>Garforth,</w:t>
      </w:r>
      <w:r>
        <w:rPr>
          <w:spacing w:val="-36"/>
        </w:rPr>
        <w:t> </w:t>
      </w:r>
      <w:r>
        <w:rPr/>
        <w:t>Rothwell,</w:t>
      </w:r>
      <w:r>
        <w:rPr>
          <w:spacing w:val="-30"/>
        </w:rPr>
        <w:t> </w:t>
      </w:r>
      <w:r>
        <w:rPr/>
        <w:t>Pudsey</w:t>
      </w:r>
      <w:r>
        <w:rPr>
          <w:spacing w:val="-33"/>
        </w:rPr>
        <w:t> </w:t>
      </w:r>
      <w:r>
        <w:rPr/>
        <w:t>and</w:t>
      </w:r>
      <w:r>
        <w:rPr>
          <w:spacing w:val="-38"/>
        </w:rPr>
        <w:t> </w:t>
      </w:r>
      <w:r>
        <w:rPr/>
        <w:t>Morley. The</w:t>
      </w:r>
      <w:r>
        <w:rPr>
          <w:spacing w:val="-32"/>
        </w:rPr>
        <w:t> </w:t>
      </w:r>
      <w:r>
        <w:rPr/>
        <w:t>population</w:t>
      </w:r>
      <w:r>
        <w:rPr>
          <w:spacing w:val="-18"/>
        </w:rPr>
        <w:t> </w:t>
      </w:r>
      <w:r>
        <w:rPr/>
        <w:t>of</w:t>
      </w:r>
      <w:r>
        <w:rPr>
          <w:spacing w:val="-25"/>
        </w:rPr>
        <w:t> </w:t>
      </w:r>
      <w:r>
        <w:rPr/>
        <w:t>Leeds</w:t>
      </w:r>
      <w:r>
        <w:rPr>
          <w:spacing w:val="-35"/>
        </w:rPr>
        <w:t> </w:t>
      </w:r>
      <w:r>
        <w:rPr/>
        <w:t>is</w:t>
      </w:r>
      <w:r>
        <w:rPr>
          <w:spacing w:val="-30"/>
        </w:rPr>
        <w:t> </w:t>
      </w:r>
      <w:r>
        <w:rPr/>
        <w:t>approximately</w:t>
      </w:r>
      <w:r>
        <w:rPr>
          <w:spacing w:val="-19"/>
        </w:rPr>
        <w:t> </w:t>
      </w:r>
      <w:r>
        <w:rPr/>
        <w:t>750,000</w:t>
      </w:r>
      <w:r>
        <w:rPr>
          <w:spacing w:val="-30"/>
        </w:rPr>
        <w:t> </w:t>
      </w:r>
      <w:r>
        <w:rPr/>
        <w:t>-</w:t>
      </w:r>
      <w:r>
        <w:rPr>
          <w:spacing w:val="-34"/>
        </w:rPr>
        <w:t> </w:t>
      </w:r>
      <w:r>
        <w:rPr/>
        <w:t>in</w:t>
      </w:r>
      <w:r>
        <w:rPr>
          <w:spacing w:val="-28"/>
        </w:rPr>
        <w:t> </w:t>
      </w:r>
      <w:r>
        <w:rPr/>
        <w:t>around</w:t>
      </w:r>
      <w:r>
        <w:rPr>
          <w:spacing w:val="-16"/>
        </w:rPr>
        <w:t> </w:t>
      </w:r>
      <w:r>
        <w:rPr/>
        <w:t>320,000</w:t>
      </w:r>
      <w:r>
        <w:rPr>
          <w:spacing w:val="-28"/>
        </w:rPr>
        <w:t> </w:t>
      </w:r>
      <w:r>
        <w:rPr/>
        <w:t>households</w:t>
      </w:r>
      <w:r>
        <w:rPr>
          <w:spacing w:val="-29"/>
        </w:rPr>
        <w:t> </w:t>
      </w:r>
      <w:r>
        <w:rPr/>
        <w:t>(figures</w:t>
      </w:r>
      <w:r>
        <w:rPr>
          <w:spacing w:val="-25"/>
        </w:rPr>
        <w:t> </w:t>
      </w:r>
      <w:r>
        <w:rPr/>
        <w:t>from 2011 Census).</w:t>
      </w:r>
    </w:p>
    <w:p>
      <w:pPr>
        <w:pStyle w:val="BodyText"/>
        <w:spacing w:line="264" w:lineRule="auto" w:before="116"/>
        <w:ind w:left="1015" w:right="293" w:firstLine="9"/>
      </w:pPr>
      <w:r>
        <w:rPr/>
        <w:t>The</w:t>
      </w:r>
      <w:r>
        <w:rPr>
          <w:spacing w:val="-28"/>
        </w:rPr>
        <w:t> </w:t>
      </w:r>
      <w:r>
        <w:rPr/>
        <w:t>general</w:t>
      </w:r>
      <w:r>
        <w:rPr>
          <w:spacing w:val="-19"/>
        </w:rPr>
        <w:t> </w:t>
      </w:r>
      <w:r>
        <w:rPr/>
        <w:t>topography</w:t>
      </w:r>
      <w:r>
        <w:rPr>
          <w:spacing w:val="-17"/>
        </w:rPr>
        <w:t> </w:t>
      </w:r>
      <w:r>
        <w:rPr/>
        <w:t>of</w:t>
      </w:r>
      <w:r>
        <w:rPr>
          <w:spacing w:val="-32"/>
        </w:rPr>
        <w:t> </w:t>
      </w:r>
      <w:r>
        <w:rPr/>
        <w:t>the</w:t>
      </w:r>
      <w:r>
        <w:rPr>
          <w:spacing w:val="-27"/>
        </w:rPr>
        <w:t> </w:t>
      </w:r>
      <w:r>
        <w:rPr/>
        <w:t>district</w:t>
      </w:r>
      <w:r>
        <w:rPr>
          <w:spacing w:val="-27"/>
        </w:rPr>
        <w:t> </w:t>
      </w:r>
      <w:r>
        <w:rPr/>
        <w:t>is</w:t>
      </w:r>
      <w:r>
        <w:rPr>
          <w:spacing w:val="-33"/>
        </w:rPr>
        <w:t> </w:t>
      </w:r>
      <w:r>
        <w:rPr/>
        <w:t>undulating</w:t>
      </w:r>
      <w:r>
        <w:rPr>
          <w:spacing w:val="-19"/>
        </w:rPr>
        <w:t> </w:t>
      </w:r>
      <w:r>
        <w:rPr/>
        <w:t>and</w:t>
      </w:r>
      <w:r>
        <w:rPr>
          <w:spacing w:val="-27"/>
        </w:rPr>
        <w:t> </w:t>
      </w:r>
      <w:r>
        <w:rPr/>
        <w:t>varies</w:t>
      </w:r>
      <w:r>
        <w:rPr>
          <w:spacing w:val="-30"/>
        </w:rPr>
        <w:t> </w:t>
      </w:r>
      <w:r>
        <w:rPr/>
        <w:t>in</w:t>
      </w:r>
      <w:r>
        <w:rPr>
          <w:spacing w:val="-32"/>
        </w:rPr>
        <w:t> </w:t>
      </w:r>
      <w:r>
        <w:rPr/>
        <w:t>level</w:t>
      </w:r>
      <w:r>
        <w:rPr>
          <w:spacing w:val="-28"/>
        </w:rPr>
        <w:t> </w:t>
      </w:r>
      <w:r>
        <w:rPr/>
        <w:t>from</w:t>
      </w:r>
      <w:r>
        <w:rPr>
          <w:spacing w:val="-21"/>
        </w:rPr>
        <w:t> </w:t>
      </w:r>
      <w:r>
        <w:rPr/>
        <w:t>10m</w:t>
      </w:r>
      <w:r>
        <w:rPr>
          <w:spacing w:val="-25"/>
        </w:rPr>
        <w:t> </w:t>
      </w:r>
      <w:r>
        <w:rPr/>
        <w:t>Above</w:t>
      </w:r>
      <w:r>
        <w:rPr>
          <w:spacing w:val="-28"/>
        </w:rPr>
        <w:t> </w:t>
      </w:r>
      <w:r>
        <w:rPr/>
        <w:t>Ordnance Datum</w:t>
      </w:r>
      <w:r>
        <w:rPr>
          <w:spacing w:val="-21"/>
        </w:rPr>
        <w:t> </w:t>
      </w:r>
      <w:r>
        <w:rPr/>
        <w:t>(AOD)</w:t>
      </w:r>
      <w:r>
        <w:rPr>
          <w:spacing w:val="-24"/>
        </w:rPr>
        <w:t> </w:t>
      </w:r>
      <w:r>
        <w:rPr/>
        <w:t>at</w:t>
      </w:r>
      <w:r>
        <w:rPr>
          <w:spacing w:val="-26"/>
        </w:rPr>
        <w:t> </w:t>
      </w:r>
      <w:r>
        <w:rPr/>
        <w:t>Fairbum</w:t>
      </w:r>
      <w:r>
        <w:rPr>
          <w:spacing w:val="-19"/>
        </w:rPr>
        <w:t> </w:t>
      </w:r>
      <w:r>
        <w:rPr/>
        <w:t>on</w:t>
      </w:r>
      <w:r>
        <w:rPr>
          <w:spacing w:val="-30"/>
        </w:rPr>
        <w:t> </w:t>
      </w:r>
      <w:r>
        <w:rPr/>
        <w:t>the</w:t>
      </w:r>
      <w:r>
        <w:rPr>
          <w:spacing w:val="-28"/>
        </w:rPr>
        <w:t> </w:t>
      </w:r>
      <w:r>
        <w:rPr/>
        <w:t>River</w:t>
      </w:r>
      <w:r>
        <w:rPr>
          <w:spacing w:val="-26"/>
        </w:rPr>
        <w:t> </w:t>
      </w:r>
      <w:r>
        <w:rPr/>
        <w:t>Aire</w:t>
      </w:r>
      <w:r>
        <w:rPr>
          <w:spacing w:val="-21"/>
        </w:rPr>
        <w:t> </w:t>
      </w:r>
      <w:r>
        <w:rPr/>
        <w:t>and</w:t>
      </w:r>
      <w:r>
        <w:rPr>
          <w:spacing w:val="-25"/>
        </w:rPr>
        <w:t> </w:t>
      </w:r>
      <w:r>
        <w:rPr/>
        <w:t>Thorp</w:t>
      </w:r>
      <w:r>
        <w:rPr>
          <w:spacing w:val="-20"/>
        </w:rPr>
        <w:t> </w:t>
      </w:r>
      <w:r>
        <w:rPr/>
        <w:t>Arch</w:t>
      </w:r>
      <w:r>
        <w:rPr>
          <w:spacing w:val="-26"/>
        </w:rPr>
        <w:t> </w:t>
      </w:r>
      <w:r>
        <w:rPr/>
        <w:t>on</w:t>
      </w:r>
      <w:r>
        <w:rPr>
          <w:spacing w:val="-30"/>
        </w:rPr>
        <w:t> </w:t>
      </w:r>
      <w:r>
        <w:rPr/>
        <w:t>the</w:t>
      </w:r>
      <w:r>
        <w:rPr>
          <w:spacing w:val="-28"/>
        </w:rPr>
        <w:t> </w:t>
      </w:r>
      <w:r>
        <w:rPr/>
        <w:t>River</w:t>
      </w:r>
      <w:r>
        <w:rPr>
          <w:spacing w:val="-28"/>
        </w:rPr>
        <w:t> </w:t>
      </w:r>
      <w:r>
        <w:rPr/>
        <w:t>Wharfe</w:t>
      </w:r>
      <w:r>
        <w:rPr>
          <w:spacing w:val="-28"/>
        </w:rPr>
        <w:t> </w:t>
      </w:r>
      <w:r>
        <w:rPr/>
        <w:t>to</w:t>
      </w:r>
      <w:r>
        <w:rPr>
          <w:spacing w:val="-33"/>
        </w:rPr>
        <w:t> </w:t>
      </w:r>
      <w:r>
        <w:rPr/>
        <w:t>more</w:t>
      </w:r>
      <w:r>
        <w:rPr>
          <w:spacing w:val="-28"/>
        </w:rPr>
        <w:t> </w:t>
      </w:r>
      <w:r>
        <w:rPr/>
        <w:t>than</w:t>
      </w:r>
      <w:r>
        <w:rPr>
          <w:spacing w:val="-24"/>
        </w:rPr>
        <w:t> </w:t>
      </w:r>
      <w:r>
        <w:rPr/>
        <w:t>340m AOD at Hawksworth Moor. The rocks underlying the district date from the Upper Carboniferous period:</w:t>
      </w:r>
      <w:r>
        <w:rPr>
          <w:spacing w:val="-23"/>
        </w:rPr>
        <w:t> </w:t>
      </w:r>
      <w:r>
        <w:rPr/>
        <w:t>with</w:t>
      </w:r>
      <w:r>
        <w:rPr>
          <w:spacing w:val="-23"/>
        </w:rPr>
        <w:t> </w:t>
      </w:r>
      <w:r>
        <w:rPr/>
        <w:t>sandstones</w:t>
      </w:r>
      <w:r>
        <w:rPr>
          <w:spacing w:val="-17"/>
        </w:rPr>
        <w:t> </w:t>
      </w:r>
      <w:r>
        <w:rPr/>
        <w:t>of</w:t>
      </w:r>
      <w:r>
        <w:rPr>
          <w:spacing w:val="-28"/>
        </w:rPr>
        <w:t> </w:t>
      </w:r>
      <w:r>
        <w:rPr/>
        <w:t>the</w:t>
      </w:r>
      <w:r>
        <w:rPr>
          <w:spacing w:val="-27"/>
        </w:rPr>
        <w:t> </w:t>
      </w:r>
      <w:r>
        <w:rPr/>
        <w:t>older</w:t>
      </w:r>
      <w:r>
        <w:rPr>
          <w:spacing w:val="-24"/>
        </w:rPr>
        <w:t> </w:t>
      </w:r>
      <w:r>
        <w:rPr/>
        <w:t>Millstone</w:t>
      </w:r>
      <w:r>
        <w:rPr>
          <w:spacing w:val="-24"/>
        </w:rPr>
        <w:t> </w:t>
      </w:r>
      <w:r>
        <w:rPr/>
        <w:t>Grit</w:t>
      </w:r>
      <w:r>
        <w:rPr>
          <w:spacing w:val="-28"/>
        </w:rPr>
        <w:t> </w:t>
      </w:r>
      <w:r>
        <w:rPr/>
        <w:t>Series</w:t>
      </w:r>
      <w:r>
        <w:rPr>
          <w:spacing w:val="-26"/>
        </w:rPr>
        <w:t> </w:t>
      </w:r>
      <w:r>
        <w:rPr/>
        <w:t>in</w:t>
      </w:r>
      <w:r>
        <w:rPr>
          <w:spacing w:val="-29"/>
        </w:rPr>
        <w:t> </w:t>
      </w:r>
      <w:r>
        <w:rPr/>
        <w:t>the</w:t>
      </w:r>
      <w:r>
        <w:rPr>
          <w:spacing w:val="-31"/>
        </w:rPr>
        <w:t> </w:t>
      </w:r>
      <w:r>
        <w:rPr/>
        <w:t>north</w:t>
      </w:r>
      <w:r>
        <w:rPr>
          <w:spacing w:val="-21"/>
        </w:rPr>
        <w:t> </w:t>
      </w:r>
      <w:r>
        <w:rPr/>
        <w:t>of</w:t>
      </w:r>
      <w:r>
        <w:rPr>
          <w:spacing w:val="-34"/>
        </w:rPr>
        <w:t> </w:t>
      </w:r>
      <w:r>
        <w:rPr/>
        <w:t>the</w:t>
      </w:r>
      <w:r>
        <w:rPr>
          <w:spacing w:val="-26"/>
        </w:rPr>
        <w:t> </w:t>
      </w:r>
      <w:r>
        <w:rPr/>
        <w:t>district</w:t>
      </w:r>
      <w:r>
        <w:rPr>
          <w:spacing w:val="-18"/>
        </w:rPr>
        <w:t> </w:t>
      </w:r>
      <w:r>
        <w:rPr/>
        <w:t>and</w:t>
      </w:r>
      <w:r>
        <w:rPr>
          <w:spacing w:val="-20"/>
        </w:rPr>
        <w:t> </w:t>
      </w:r>
      <w:r>
        <w:rPr/>
        <w:t>alternating shales,</w:t>
      </w:r>
      <w:r>
        <w:rPr>
          <w:spacing w:val="-18"/>
        </w:rPr>
        <w:t> </w:t>
      </w:r>
      <w:r>
        <w:rPr/>
        <w:t>mudstones,</w:t>
      </w:r>
      <w:r>
        <w:rPr>
          <w:spacing w:val="-11"/>
        </w:rPr>
        <w:t> </w:t>
      </w:r>
      <w:r>
        <w:rPr/>
        <w:t>coal</w:t>
      </w:r>
      <w:r>
        <w:rPr>
          <w:spacing w:val="-20"/>
        </w:rPr>
        <w:t> </w:t>
      </w:r>
      <w:r>
        <w:rPr/>
        <w:t>seams</w:t>
      </w:r>
      <w:r>
        <w:rPr>
          <w:spacing w:val="-21"/>
        </w:rPr>
        <w:t> </w:t>
      </w:r>
      <w:r>
        <w:rPr/>
        <w:t>and</w:t>
      </w:r>
      <w:r>
        <w:rPr>
          <w:spacing w:val="-16"/>
        </w:rPr>
        <w:t> </w:t>
      </w:r>
      <w:r>
        <w:rPr/>
        <w:t>sandstones</w:t>
      </w:r>
      <w:r>
        <w:rPr>
          <w:spacing w:val="-13"/>
        </w:rPr>
        <w:t> </w:t>
      </w:r>
      <w:r>
        <w:rPr/>
        <w:t>of</w:t>
      </w:r>
      <w:r>
        <w:rPr>
          <w:spacing w:val="-25"/>
        </w:rPr>
        <w:t> </w:t>
      </w:r>
      <w:r>
        <w:rPr/>
        <w:t>the</w:t>
      </w:r>
      <w:r>
        <w:rPr>
          <w:spacing w:val="-24"/>
        </w:rPr>
        <w:t> </w:t>
      </w:r>
      <w:r>
        <w:rPr/>
        <w:t>Lower</w:t>
      </w:r>
      <w:r>
        <w:rPr>
          <w:spacing w:val="-22"/>
        </w:rPr>
        <w:t> </w:t>
      </w:r>
      <w:r>
        <w:rPr/>
        <w:t>Coal</w:t>
      </w:r>
      <w:r>
        <w:rPr>
          <w:spacing w:val="-21"/>
        </w:rPr>
        <w:t> </w:t>
      </w:r>
      <w:r>
        <w:rPr/>
        <w:t>Measures</w:t>
      </w:r>
      <w:r>
        <w:rPr>
          <w:spacing w:val="-23"/>
        </w:rPr>
        <w:t> </w:t>
      </w:r>
      <w:r>
        <w:rPr/>
        <w:t>in</w:t>
      </w:r>
      <w:r>
        <w:rPr>
          <w:spacing w:val="-21"/>
        </w:rPr>
        <w:t> </w:t>
      </w:r>
      <w:r>
        <w:rPr/>
        <w:t>the</w:t>
      </w:r>
      <w:r>
        <w:rPr>
          <w:spacing w:val="-24"/>
        </w:rPr>
        <w:t> </w:t>
      </w:r>
      <w:r>
        <w:rPr/>
        <w:t>south</w:t>
      </w:r>
      <w:r>
        <w:rPr>
          <w:spacing w:val="-18"/>
        </w:rPr>
        <w:t> </w:t>
      </w:r>
      <w:r>
        <w:rPr/>
        <w:t>of</w:t>
      </w:r>
      <w:r>
        <w:rPr>
          <w:spacing w:val="-26"/>
        </w:rPr>
        <w:t> </w:t>
      </w:r>
      <w:r>
        <w:rPr/>
        <w:t>the district. The overlying soils in the district mainly comprise of clays and loams, and are relatively impermeable.</w:t>
      </w:r>
      <w:r>
        <w:rPr>
          <w:spacing w:val="-6"/>
        </w:rPr>
        <w:t> </w:t>
      </w:r>
      <w:r>
        <w:rPr/>
        <w:t>However,</w:t>
      </w:r>
      <w:r>
        <w:rPr>
          <w:spacing w:val="-5"/>
        </w:rPr>
        <w:t> </w:t>
      </w:r>
      <w:r>
        <w:rPr/>
        <w:t>sands</w:t>
      </w:r>
      <w:r>
        <w:rPr>
          <w:spacing w:val="-17"/>
        </w:rPr>
        <w:t> </w:t>
      </w:r>
      <w:r>
        <w:rPr/>
        <w:t>and</w:t>
      </w:r>
      <w:r>
        <w:rPr>
          <w:spacing w:val="-16"/>
        </w:rPr>
        <w:t> </w:t>
      </w:r>
      <w:r>
        <w:rPr/>
        <w:t>gravels</w:t>
      </w:r>
      <w:r>
        <w:rPr>
          <w:spacing w:val="-12"/>
        </w:rPr>
        <w:t> </w:t>
      </w:r>
      <w:r>
        <w:rPr/>
        <w:t>are</w:t>
      </w:r>
      <w:r>
        <w:rPr>
          <w:spacing w:val="-22"/>
        </w:rPr>
        <w:t> </w:t>
      </w:r>
      <w:r>
        <w:rPr/>
        <w:t>commonly</w:t>
      </w:r>
      <w:r>
        <w:rPr>
          <w:spacing w:val="-6"/>
        </w:rPr>
        <w:t> </w:t>
      </w:r>
      <w:r>
        <w:rPr/>
        <w:t>found</w:t>
      </w:r>
      <w:r>
        <w:rPr>
          <w:spacing w:val="-16"/>
        </w:rPr>
        <w:t> </w:t>
      </w:r>
      <w:r>
        <w:rPr/>
        <w:t>adjacent</w:t>
      </w:r>
      <w:r>
        <w:rPr>
          <w:spacing w:val="-12"/>
        </w:rPr>
        <w:t> </w:t>
      </w:r>
      <w:r>
        <w:rPr/>
        <w:t>to</w:t>
      </w:r>
      <w:r>
        <w:rPr>
          <w:spacing w:val="-18"/>
        </w:rPr>
        <w:t> </w:t>
      </w:r>
      <w:r>
        <w:rPr/>
        <w:t>the</w:t>
      </w:r>
      <w:r>
        <w:rPr>
          <w:spacing w:val="-20"/>
        </w:rPr>
        <w:t> </w:t>
      </w:r>
      <w:r>
        <w:rPr/>
        <w:t>River</w:t>
      </w:r>
      <w:r>
        <w:rPr>
          <w:spacing w:val="-17"/>
        </w:rPr>
        <w:t> </w:t>
      </w:r>
      <w:r>
        <w:rPr/>
        <w:t>Aire.</w:t>
      </w:r>
    </w:p>
    <w:p>
      <w:pPr>
        <w:pStyle w:val="ListParagraph"/>
        <w:numPr>
          <w:ilvl w:val="1"/>
          <w:numId w:val="4"/>
        </w:numPr>
        <w:tabs>
          <w:tab w:pos="1018" w:val="left" w:leader="none"/>
          <w:tab w:pos="1019" w:val="left" w:leader="none"/>
        </w:tabs>
        <w:spacing w:line="240" w:lineRule="auto" w:before="97" w:after="0"/>
        <w:ind w:left="1018" w:right="0" w:hanging="852"/>
        <w:jc w:val="left"/>
        <w:rPr>
          <w:sz w:val="32"/>
        </w:rPr>
      </w:pPr>
      <w:r>
        <w:rPr>
          <w:sz w:val="28"/>
        </w:rPr>
        <w:t>DRAINAGE</w:t>
      </w:r>
      <w:r>
        <w:rPr>
          <w:spacing w:val="32"/>
          <w:sz w:val="28"/>
        </w:rPr>
        <w:t> </w:t>
      </w:r>
      <w:r>
        <w:rPr>
          <w:sz w:val="28"/>
        </w:rPr>
        <w:t>FEATURES</w:t>
      </w:r>
    </w:p>
    <w:p>
      <w:pPr>
        <w:pStyle w:val="BodyText"/>
        <w:spacing w:line="264" w:lineRule="auto" w:before="148"/>
        <w:ind w:left="1015" w:firstLine="7"/>
      </w:pPr>
      <w:r>
        <w:rPr/>
        <w:t>Most</w:t>
      </w:r>
      <w:r>
        <w:rPr>
          <w:spacing w:val="-19"/>
        </w:rPr>
        <w:t> </w:t>
      </w:r>
      <w:r>
        <w:rPr/>
        <w:t>of</w:t>
      </w:r>
      <w:r>
        <w:rPr>
          <w:spacing w:val="-34"/>
        </w:rPr>
        <w:t> </w:t>
      </w:r>
      <w:r>
        <w:rPr/>
        <w:t>the</w:t>
      </w:r>
      <w:r>
        <w:rPr>
          <w:spacing w:val="-25"/>
        </w:rPr>
        <w:t> </w:t>
      </w:r>
      <w:r>
        <w:rPr/>
        <w:t>district</w:t>
      </w:r>
      <w:r>
        <w:rPr>
          <w:spacing w:val="-29"/>
        </w:rPr>
        <w:t> </w:t>
      </w:r>
      <w:r>
        <w:rPr/>
        <w:t>is</w:t>
      </w:r>
      <w:r>
        <w:rPr>
          <w:spacing w:val="-27"/>
        </w:rPr>
        <w:t> </w:t>
      </w:r>
      <w:r>
        <w:rPr/>
        <w:t>drained</w:t>
      </w:r>
      <w:r>
        <w:rPr>
          <w:spacing w:val="-25"/>
        </w:rPr>
        <w:t> </w:t>
      </w:r>
      <w:r>
        <w:rPr/>
        <w:t>naturally</w:t>
      </w:r>
      <w:r>
        <w:rPr>
          <w:spacing w:val="-20"/>
        </w:rPr>
        <w:t> </w:t>
      </w:r>
      <w:r>
        <w:rPr/>
        <w:t>via</w:t>
      </w:r>
      <w:r>
        <w:rPr>
          <w:spacing w:val="-27"/>
        </w:rPr>
        <w:t> </w:t>
      </w:r>
      <w:r>
        <w:rPr/>
        <w:t>a</w:t>
      </w:r>
      <w:r>
        <w:rPr>
          <w:spacing w:val="-27"/>
        </w:rPr>
        <w:t> </w:t>
      </w:r>
      <w:r>
        <w:rPr/>
        <w:t>series</w:t>
      </w:r>
      <w:r>
        <w:rPr>
          <w:spacing w:val="-21"/>
        </w:rPr>
        <w:t> </w:t>
      </w:r>
      <w:r>
        <w:rPr/>
        <w:t>of</w:t>
      </w:r>
      <w:r>
        <w:rPr>
          <w:spacing w:val="-27"/>
        </w:rPr>
        <w:t> </w:t>
      </w:r>
      <w:r>
        <w:rPr/>
        <w:t>watercourses,</w:t>
      </w:r>
      <w:r>
        <w:rPr>
          <w:spacing w:val="-13"/>
        </w:rPr>
        <w:t> </w:t>
      </w:r>
      <w:r>
        <w:rPr/>
        <w:t>some</w:t>
      </w:r>
      <w:r>
        <w:rPr>
          <w:spacing w:val="-17"/>
        </w:rPr>
        <w:t> </w:t>
      </w:r>
      <w:r>
        <w:rPr/>
        <w:t>of</w:t>
      </w:r>
      <w:r>
        <w:rPr>
          <w:spacing w:val="-27"/>
        </w:rPr>
        <w:t> </w:t>
      </w:r>
      <w:r>
        <w:rPr/>
        <w:t>which</w:t>
      </w:r>
      <w:r>
        <w:rPr>
          <w:spacing w:val="-22"/>
        </w:rPr>
        <w:t> </w:t>
      </w:r>
      <w:r>
        <w:rPr/>
        <w:t>are</w:t>
      </w:r>
      <w:r>
        <w:rPr>
          <w:spacing w:val="-28"/>
        </w:rPr>
        <w:t> </w:t>
      </w:r>
      <w:r>
        <w:rPr/>
        <w:t>culverted</w:t>
      </w:r>
      <w:r>
        <w:rPr>
          <w:spacing w:val="-20"/>
        </w:rPr>
        <w:t> </w:t>
      </w:r>
      <w:r>
        <w:rPr/>
        <w:t>in urban</w:t>
      </w:r>
      <w:r>
        <w:rPr>
          <w:spacing w:val="-20"/>
        </w:rPr>
        <w:t> </w:t>
      </w:r>
      <w:r>
        <w:rPr/>
        <w:t>areas;</w:t>
      </w:r>
      <w:r>
        <w:rPr>
          <w:spacing w:val="-19"/>
        </w:rPr>
        <w:t> </w:t>
      </w:r>
      <w:r>
        <w:rPr/>
        <w:t>these</w:t>
      </w:r>
      <w:r>
        <w:rPr>
          <w:spacing w:val="-20"/>
        </w:rPr>
        <w:t> </w:t>
      </w:r>
      <w:r>
        <w:rPr/>
        <w:t>typically</w:t>
      </w:r>
      <w:r>
        <w:rPr>
          <w:spacing w:val="-20"/>
        </w:rPr>
        <w:t> </w:t>
      </w:r>
      <w:r>
        <w:rPr/>
        <w:t>run</w:t>
      </w:r>
      <w:r>
        <w:rPr>
          <w:spacing w:val="-28"/>
        </w:rPr>
        <w:t> </w:t>
      </w:r>
      <w:r>
        <w:rPr/>
        <w:t>in</w:t>
      </w:r>
      <w:r>
        <w:rPr>
          <w:spacing w:val="-25"/>
        </w:rPr>
        <w:t> </w:t>
      </w:r>
      <w:r>
        <w:rPr/>
        <w:t>steep</w:t>
      </w:r>
      <w:r>
        <w:rPr>
          <w:spacing w:val="-17"/>
        </w:rPr>
        <w:t> </w:t>
      </w:r>
      <w:r>
        <w:rPr/>
        <w:t>sided</w:t>
      </w:r>
      <w:r>
        <w:rPr>
          <w:spacing w:val="-25"/>
        </w:rPr>
        <w:t> </w:t>
      </w:r>
      <w:r>
        <w:rPr/>
        <w:t>valleys</w:t>
      </w:r>
      <w:r>
        <w:rPr>
          <w:spacing w:val="-23"/>
        </w:rPr>
        <w:t> </w:t>
      </w:r>
      <w:r>
        <w:rPr/>
        <w:t>towards</w:t>
      </w:r>
      <w:r>
        <w:rPr>
          <w:spacing w:val="-24"/>
        </w:rPr>
        <w:t> </w:t>
      </w:r>
      <w:r>
        <w:rPr/>
        <w:t>the</w:t>
      </w:r>
      <w:r>
        <w:rPr>
          <w:spacing w:val="-29"/>
        </w:rPr>
        <w:t> </w:t>
      </w:r>
      <w:r>
        <w:rPr/>
        <w:t>major/</w:t>
      </w:r>
      <w:r>
        <w:rPr>
          <w:spacing w:val="-20"/>
        </w:rPr>
        <w:t> </w:t>
      </w:r>
      <w:r>
        <w:rPr/>
        <w:t>strategic</w:t>
      </w:r>
      <w:r>
        <w:rPr>
          <w:spacing w:val="-18"/>
        </w:rPr>
        <w:t> </w:t>
      </w:r>
      <w:r>
        <w:rPr/>
        <w:t>watercourses (designated</w:t>
      </w:r>
      <w:r>
        <w:rPr>
          <w:spacing w:val="-31"/>
        </w:rPr>
        <w:t> </w:t>
      </w:r>
      <w:r>
        <w:rPr/>
        <w:t>Main</w:t>
      </w:r>
      <w:r>
        <w:rPr>
          <w:spacing w:val="-37"/>
        </w:rPr>
        <w:t> </w:t>
      </w:r>
      <w:r>
        <w:rPr/>
        <w:t>Rivers)</w:t>
      </w:r>
      <w:r>
        <w:rPr>
          <w:spacing w:val="-36"/>
        </w:rPr>
        <w:t> </w:t>
      </w:r>
      <w:r>
        <w:rPr/>
        <w:t>which</w:t>
      </w:r>
      <w:r>
        <w:rPr>
          <w:spacing w:val="-36"/>
        </w:rPr>
        <w:t> </w:t>
      </w:r>
      <w:r>
        <w:rPr/>
        <w:t>generally</w:t>
      </w:r>
      <w:r>
        <w:rPr>
          <w:spacing w:val="-34"/>
        </w:rPr>
        <w:t> </w:t>
      </w:r>
      <w:r>
        <w:rPr/>
        <w:t>travel</w:t>
      </w:r>
      <w:r>
        <w:rPr>
          <w:spacing w:val="-40"/>
        </w:rPr>
        <w:t> </w:t>
      </w:r>
      <w:r>
        <w:rPr/>
        <w:t>in</w:t>
      </w:r>
      <w:r>
        <w:rPr>
          <w:spacing w:val="-38"/>
        </w:rPr>
        <w:t> </w:t>
      </w:r>
      <w:r>
        <w:rPr/>
        <w:t>an</w:t>
      </w:r>
      <w:r>
        <w:rPr>
          <w:spacing w:val="-37"/>
        </w:rPr>
        <w:t> </w:t>
      </w:r>
      <w:r>
        <w:rPr/>
        <w:t>easterly</w:t>
      </w:r>
      <w:r>
        <w:rPr>
          <w:spacing w:val="-31"/>
        </w:rPr>
        <w:t> </w:t>
      </w:r>
      <w:r>
        <w:rPr/>
        <w:t>direction</w:t>
      </w:r>
      <w:r>
        <w:rPr>
          <w:spacing w:val="-32"/>
        </w:rPr>
        <w:t> </w:t>
      </w:r>
      <w:r>
        <w:rPr/>
        <w:t>eventually</w:t>
      </w:r>
      <w:r>
        <w:rPr>
          <w:spacing w:val="-36"/>
        </w:rPr>
        <w:t> </w:t>
      </w:r>
      <w:r>
        <w:rPr/>
        <w:t>discharging</w:t>
      </w:r>
      <w:r>
        <w:rPr>
          <w:spacing w:val="-34"/>
        </w:rPr>
        <w:t> </w:t>
      </w:r>
      <w:r>
        <w:rPr/>
        <w:t>to</w:t>
      </w:r>
      <w:r>
        <w:rPr>
          <w:spacing w:val="-37"/>
        </w:rPr>
        <w:t> </w:t>
      </w:r>
      <w:r>
        <w:rPr/>
        <w:t>the River Ouse and</w:t>
      </w:r>
      <w:r>
        <w:rPr>
          <w:spacing w:val="21"/>
        </w:rPr>
        <w:t> </w:t>
      </w:r>
      <w:r>
        <w:rPr/>
        <w:t>Humber.</w:t>
      </w:r>
    </w:p>
    <w:p>
      <w:pPr>
        <w:pStyle w:val="BodyText"/>
        <w:spacing w:before="123"/>
        <w:ind w:left="1024"/>
      </w:pPr>
      <w:r>
        <w:rPr/>
        <w:t>The major watercourses in the district are:</w:t>
      </w:r>
    </w:p>
    <w:p>
      <w:pPr>
        <w:pStyle w:val="ListParagraph"/>
        <w:numPr>
          <w:ilvl w:val="2"/>
          <w:numId w:val="4"/>
        </w:numPr>
        <w:tabs>
          <w:tab w:pos="1448" w:val="left" w:leader="none"/>
        </w:tabs>
        <w:spacing w:line="261" w:lineRule="auto" w:before="148" w:after="0"/>
        <w:ind w:left="1444" w:right="1027" w:hanging="273"/>
        <w:jc w:val="left"/>
        <w:rPr>
          <w:color w:val="FF2626"/>
          <w:sz w:val="23"/>
        </w:rPr>
      </w:pPr>
      <w:r>
        <w:rPr>
          <w:sz w:val="23"/>
        </w:rPr>
        <w:t>The</w:t>
      </w:r>
      <w:r>
        <w:rPr>
          <w:spacing w:val="-35"/>
          <w:sz w:val="23"/>
        </w:rPr>
        <w:t> </w:t>
      </w:r>
      <w:r>
        <w:rPr>
          <w:sz w:val="23"/>
        </w:rPr>
        <w:t>River</w:t>
      </w:r>
      <w:r>
        <w:rPr>
          <w:spacing w:val="-33"/>
          <w:sz w:val="23"/>
        </w:rPr>
        <w:t> </w:t>
      </w:r>
      <w:r>
        <w:rPr>
          <w:sz w:val="23"/>
        </w:rPr>
        <w:t>Aire,</w:t>
      </w:r>
      <w:r>
        <w:rPr>
          <w:spacing w:val="-29"/>
          <w:sz w:val="23"/>
        </w:rPr>
        <w:t> </w:t>
      </w:r>
      <w:r>
        <w:rPr>
          <w:sz w:val="23"/>
        </w:rPr>
        <w:t>which</w:t>
      </w:r>
      <w:r>
        <w:rPr>
          <w:spacing w:val="-29"/>
          <w:sz w:val="23"/>
        </w:rPr>
        <w:t> </w:t>
      </w:r>
      <w:r>
        <w:rPr>
          <w:sz w:val="23"/>
        </w:rPr>
        <w:t>traverses</w:t>
      </w:r>
      <w:r>
        <w:rPr>
          <w:spacing w:val="-33"/>
          <w:sz w:val="23"/>
        </w:rPr>
        <w:t> </w:t>
      </w:r>
      <w:r>
        <w:rPr>
          <w:sz w:val="23"/>
        </w:rPr>
        <w:t>the</w:t>
      </w:r>
      <w:r>
        <w:rPr>
          <w:spacing w:val="-34"/>
          <w:sz w:val="23"/>
        </w:rPr>
        <w:t> </w:t>
      </w:r>
      <w:r>
        <w:rPr>
          <w:sz w:val="23"/>
        </w:rPr>
        <w:t>district</w:t>
      </w:r>
      <w:r>
        <w:rPr>
          <w:spacing w:val="-29"/>
          <w:sz w:val="23"/>
        </w:rPr>
        <w:t> </w:t>
      </w:r>
      <w:r>
        <w:rPr>
          <w:sz w:val="23"/>
        </w:rPr>
        <w:t>from</w:t>
      </w:r>
      <w:r>
        <w:rPr>
          <w:spacing w:val="-33"/>
          <w:sz w:val="23"/>
        </w:rPr>
        <w:t> </w:t>
      </w:r>
      <w:r>
        <w:rPr>
          <w:sz w:val="23"/>
        </w:rPr>
        <w:t>the</w:t>
      </w:r>
      <w:r>
        <w:rPr>
          <w:spacing w:val="-38"/>
          <w:sz w:val="23"/>
        </w:rPr>
        <w:t> </w:t>
      </w:r>
      <w:r>
        <w:rPr>
          <w:sz w:val="23"/>
        </w:rPr>
        <w:t>north-west</w:t>
      </w:r>
      <w:r>
        <w:rPr>
          <w:spacing w:val="-25"/>
          <w:sz w:val="23"/>
        </w:rPr>
        <w:t> </w:t>
      </w:r>
      <w:r>
        <w:rPr>
          <w:sz w:val="23"/>
        </w:rPr>
        <w:t>to</w:t>
      </w:r>
      <w:r>
        <w:rPr>
          <w:spacing w:val="-35"/>
          <w:sz w:val="23"/>
        </w:rPr>
        <w:t> </w:t>
      </w:r>
      <w:r>
        <w:rPr>
          <w:sz w:val="23"/>
        </w:rPr>
        <w:t>south-east</w:t>
      </w:r>
      <w:r>
        <w:rPr>
          <w:spacing w:val="-27"/>
          <w:sz w:val="23"/>
        </w:rPr>
        <w:t> </w:t>
      </w:r>
      <w:r>
        <w:rPr>
          <w:sz w:val="23"/>
        </w:rPr>
        <w:t>and</w:t>
      </w:r>
      <w:r>
        <w:rPr>
          <w:spacing w:val="-29"/>
          <w:sz w:val="23"/>
        </w:rPr>
        <w:t> </w:t>
      </w:r>
      <w:r>
        <w:rPr>
          <w:sz w:val="23"/>
        </w:rPr>
        <w:t>drains approximately two thirds of the</w:t>
      </w:r>
      <w:r>
        <w:rPr>
          <w:spacing w:val="14"/>
          <w:sz w:val="23"/>
        </w:rPr>
        <w:t> </w:t>
      </w:r>
      <w:r>
        <w:rPr>
          <w:sz w:val="23"/>
        </w:rPr>
        <w:t>district;</w:t>
      </w:r>
    </w:p>
    <w:p>
      <w:pPr>
        <w:pStyle w:val="ListParagraph"/>
        <w:numPr>
          <w:ilvl w:val="2"/>
          <w:numId w:val="4"/>
        </w:numPr>
        <w:tabs>
          <w:tab w:pos="1448" w:val="left" w:leader="none"/>
        </w:tabs>
        <w:spacing w:line="261" w:lineRule="auto" w:before="9" w:after="0"/>
        <w:ind w:left="1444" w:right="454" w:hanging="273"/>
        <w:jc w:val="left"/>
        <w:rPr>
          <w:color w:val="FF2F2A"/>
          <w:sz w:val="23"/>
        </w:rPr>
      </w:pPr>
      <w:r>
        <w:rPr>
          <w:sz w:val="23"/>
        </w:rPr>
        <w:t>The</w:t>
      </w:r>
      <w:r>
        <w:rPr>
          <w:spacing w:val="-26"/>
          <w:sz w:val="23"/>
        </w:rPr>
        <w:t> </w:t>
      </w:r>
      <w:r>
        <w:rPr>
          <w:sz w:val="23"/>
        </w:rPr>
        <w:t>River</w:t>
      </w:r>
      <w:r>
        <w:rPr>
          <w:spacing w:val="-26"/>
          <w:sz w:val="23"/>
        </w:rPr>
        <w:t> </w:t>
      </w:r>
      <w:r>
        <w:rPr>
          <w:sz w:val="23"/>
        </w:rPr>
        <w:t>Wharfe,</w:t>
      </w:r>
      <w:r>
        <w:rPr>
          <w:spacing w:val="-17"/>
          <w:sz w:val="23"/>
        </w:rPr>
        <w:t> </w:t>
      </w:r>
      <w:r>
        <w:rPr>
          <w:sz w:val="23"/>
        </w:rPr>
        <w:t>which</w:t>
      </w:r>
      <w:r>
        <w:rPr>
          <w:spacing w:val="-21"/>
          <w:sz w:val="23"/>
        </w:rPr>
        <w:t> </w:t>
      </w:r>
      <w:r>
        <w:rPr>
          <w:sz w:val="23"/>
        </w:rPr>
        <w:t>drains</w:t>
      </w:r>
      <w:r>
        <w:rPr>
          <w:spacing w:val="-28"/>
          <w:sz w:val="23"/>
        </w:rPr>
        <w:t> </w:t>
      </w:r>
      <w:r>
        <w:rPr>
          <w:sz w:val="23"/>
        </w:rPr>
        <w:t>an</w:t>
      </w:r>
      <w:r>
        <w:rPr>
          <w:spacing w:val="-25"/>
          <w:sz w:val="23"/>
        </w:rPr>
        <w:t> </w:t>
      </w:r>
      <w:r>
        <w:rPr>
          <w:sz w:val="23"/>
        </w:rPr>
        <w:t>area</w:t>
      </w:r>
      <w:r>
        <w:rPr>
          <w:spacing w:val="-31"/>
          <w:sz w:val="23"/>
        </w:rPr>
        <w:t> </w:t>
      </w:r>
      <w:r>
        <w:rPr>
          <w:sz w:val="23"/>
        </w:rPr>
        <w:t>to</w:t>
      </w:r>
      <w:r>
        <w:rPr>
          <w:spacing w:val="-30"/>
          <w:sz w:val="23"/>
        </w:rPr>
        <w:t> </w:t>
      </w:r>
      <w:r>
        <w:rPr>
          <w:sz w:val="23"/>
        </w:rPr>
        <w:t>the</w:t>
      </w:r>
      <w:r>
        <w:rPr>
          <w:spacing w:val="-30"/>
          <w:sz w:val="23"/>
        </w:rPr>
        <w:t> </w:t>
      </w:r>
      <w:r>
        <w:rPr>
          <w:sz w:val="23"/>
        </w:rPr>
        <w:t>north</w:t>
      </w:r>
      <w:r>
        <w:rPr>
          <w:spacing w:val="-21"/>
          <w:sz w:val="23"/>
        </w:rPr>
        <w:t> </w:t>
      </w:r>
      <w:r>
        <w:rPr>
          <w:sz w:val="23"/>
        </w:rPr>
        <w:t>and</w:t>
      </w:r>
      <w:r>
        <w:rPr>
          <w:spacing w:val="-25"/>
          <w:sz w:val="23"/>
        </w:rPr>
        <w:t> </w:t>
      </w:r>
      <w:r>
        <w:rPr>
          <w:sz w:val="23"/>
        </w:rPr>
        <w:t>east</w:t>
      </w:r>
      <w:r>
        <w:rPr>
          <w:spacing w:val="-20"/>
          <w:sz w:val="23"/>
        </w:rPr>
        <w:t> </w:t>
      </w:r>
      <w:r>
        <w:rPr>
          <w:sz w:val="23"/>
        </w:rPr>
        <w:t>of</w:t>
      </w:r>
      <w:r>
        <w:rPr>
          <w:spacing w:val="-27"/>
          <w:sz w:val="23"/>
        </w:rPr>
        <w:t> </w:t>
      </w:r>
      <w:r>
        <w:rPr>
          <w:sz w:val="23"/>
        </w:rPr>
        <w:t>the</w:t>
      </w:r>
      <w:r>
        <w:rPr>
          <w:spacing w:val="-25"/>
          <w:sz w:val="23"/>
        </w:rPr>
        <w:t> </w:t>
      </w:r>
      <w:r>
        <w:rPr>
          <w:sz w:val="23"/>
        </w:rPr>
        <w:t>district.</w:t>
      </w:r>
      <w:r>
        <w:rPr>
          <w:spacing w:val="-17"/>
          <w:sz w:val="23"/>
        </w:rPr>
        <w:t> </w:t>
      </w:r>
      <w:r>
        <w:rPr>
          <w:sz w:val="23"/>
        </w:rPr>
        <w:t>This</w:t>
      </w:r>
      <w:r>
        <w:rPr>
          <w:spacing w:val="-24"/>
          <w:sz w:val="23"/>
        </w:rPr>
        <w:t> </w:t>
      </w:r>
      <w:r>
        <w:rPr>
          <w:sz w:val="23"/>
        </w:rPr>
        <w:t>drains</w:t>
      </w:r>
      <w:r>
        <w:rPr>
          <w:spacing w:val="-32"/>
          <w:sz w:val="23"/>
        </w:rPr>
        <w:t> </w:t>
      </w:r>
      <w:r>
        <w:rPr>
          <w:sz w:val="23"/>
        </w:rPr>
        <w:t>to</w:t>
      </w:r>
      <w:r>
        <w:rPr>
          <w:spacing w:val="-31"/>
          <w:sz w:val="23"/>
        </w:rPr>
        <w:t> </w:t>
      </w:r>
      <w:r>
        <w:rPr>
          <w:sz w:val="23"/>
        </w:rPr>
        <w:t>the River</w:t>
      </w:r>
      <w:r>
        <w:rPr>
          <w:spacing w:val="-19"/>
          <w:sz w:val="23"/>
        </w:rPr>
        <w:t> </w:t>
      </w:r>
      <w:r>
        <w:rPr>
          <w:sz w:val="23"/>
        </w:rPr>
        <w:t>Ouse,</w:t>
      </w:r>
      <w:r>
        <w:rPr>
          <w:spacing w:val="-12"/>
          <w:sz w:val="23"/>
        </w:rPr>
        <w:t> </w:t>
      </w:r>
      <w:r>
        <w:rPr>
          <w:sz w:val="23"/>
        </w:rPr>
        <w:t>with</w:t>
      </w:r>
      <w:r>
        <w:rPr>
          <w:spacing w:val="-15"/>
          <w:sz w:val="23"/>
        </w:rPr>
        <w:t> </w:t>
      </w:r>
      <w:r>
        <w:rPr>
          <w:sz w:val="23"/>
        </w:rPr>
        <w:t>small</w:t>
      </w:r>
      <w:r>
        <w:rPr>
          <w:spacing w:val="-12"/>
          <w:sz w:val="23"/>
        </w:rPr>
        <w:t> </w:t>
      </w:r>
      <w:r>
        <w:rPr>
          <w:sz w:val="23"/>
        </w:rPr>
        <w:t>areas</w:t>
      </w:r>
      <w:r>
        <w:rPr>
          <w:spacing w:val="-21"/>
          <w:sz w:val="23"/>
        </w:rPr>
        <w:t> </w:t>
      </w:r>
      <w:r>
        <w:rPr>
          <w:sz w:val="23"/>
        </w:rPr>
        <w:t>draining</w:t>
      </w:r>
      <w:r>
        <w:rPr>
          <w:spacing w:val="-16"/>
          <w:sz w:val="23"/>
        </w:rPr>
        <w:t> </w:t>
      </w:r>
      <w:r>
        <w:rPr>
          <w:sz w:val="23"/>
        </w:rPr>
        <w:t>to</w:t>
      </w:r>
      <w:r>
        <w:rPr>
          <w:spacing w:val="-25"/>
          <w:sz w:val="23"/>
        </w:rPr>
        <w:t> </w:t>
      </w:r>
      <w:r>
        <w:rPr>
          <w:sz w:val="23"/>
        </w:rPr>
        <w:t>the</w:t>
      </w:r>
      <w:r>
        <w:rPr>
          <w:spacing w:val="-21"/>
          <w:sz w:val="23"/>
        </w:rPr>
        <w:t> </w:t>
      </w:r>
      <w:r>
        <w:rPr>
          <w:sz w:val="23"/>
        </w:rPr>
        <w:t>River</w:t>
      </w:r>
      <w:r>
        <w:rPr>
          <w:spacing w:val="-16"/>
          <w:sz w:val="23"/>
        </w:rPr>
        <w:t> </w:t>
      </w:r>
      <w:r>
        <w:rPr>
          <w:sz w:val="23"/>
        </w:rPr>
        <w:t>Nidd</w:t>
      </w:r>
      <w:r>
        <w:rPr>
          <w:spacing w:val="-16"/>
          <w:sz w:val="23"/>
        </w:rPr>
        <w:t> </w:t>
      </w:r>
      <w:r>
        <w:rPr>
          <w:sz w:val="23"/>
        </w:rPr>
        <w:t>and</w:t>
      </w:r>
      <w:r>
        <w:rPr>
          <w:spacing w:val="-16"/>
          <w:sz w:val="23"/>
        </w:rPr>
        <w:t> </w:t>
      </w:r>
      <w:r>
        <w:rPr>
          <w:sz w:val="23"/>
        </w:rPr>
        <w:t>direct</w:t>
      </w:r>
      <w:r>
        <w:rPr>
          <w:spacing w:val="-27"/>
          <w:sz w:val="23"/>
        </w:rPr>
        <w:t> </w:t>
      </w:r>
      <w:r>
        <w:rPr>
          <w:sz w:val="23"/>
        </w:rPr>
        <w:t>to</w:t>
      </w:r>
      <w:r>
        <w:rPr>
          <w:spacing w:val="-25"/>
          <w:sz w:val="23"/>
        </w:rPr>
        <w:t> </w:t>
      </w:r>
      <w:r>
        <w:rPr>
          <w:sz w:val="23"/>
        </w:rPr>
        <w:t>the</w:t>
      </w:r>
      <w:r>
        <w:rPr>
          <w:spacing w:val="-20"/>
          <w:sz w:val="23"/>
        </w:rPr>
        <w:t> </w:t>
      </w:r>
      <w:r>
        <w:rPr>
          <w:sz w:val="23"/>
        </w:rPr>
        <w:t>River</w:t>
      </w:r>
      <w:r>
        <w:rPr>
          <w:spacing w:val="-18"/>
          <w:sz w:val="23"/>
        </w:rPr>
        <w:t> </w:t>
      </w:r>
      <w:r>
        <w:rPr>
          <w:sz w:val="23"/>
        </w:rPr>
        <w:t>Ouse,</w:t>
      </w:r>
      <w:r>
        <w:rPr>
          <w:spacing w:val="-12"/>
          <w:sz w:val="23"/>
        </w:rPr>
        <w:t> </w:t>
      </w:r>
      <w:r>
        <w:rPr>
          <w:sz w:val="23"/>
        </w:rPr>
        <w:t>and</w:t>
      </w:r>
    </w:p>
    <w:p>
      <w:pPr>
        <w:pStyle w:val="ListParagraph"/>
        <w:numPr>
          <w:ilvl w:val="2"/>
          <w:numId w:val="4"/>
        </w:numPr>
        <w:tabs>
          <w:tab w:pos="1448" w:val="left" w:leader="none"/>
        </w:tabs>
        <w:spacing w:line="271" w:lineRule="auto" w:before="0" w:after="0"/>
        <w:ind w:left="1442" w:right="454" w:hanging="271"/>
        <w:jc w:val="left"/>
        <w:rPr>
          <w:color w:val="EF4136"/>
          <w:sz w:val="23"/>
        </w:rPr>
      </w:pPr>
      <w:r>
        <w:rPr>
          <w:sz w:val="23"/>
        </w:rPr>
        <w:t>The</w:t>
      </w:r>
      <w:r>
        <w:rPr>
          <w:spacing w:val="-31"/>
          <w:sz w:val="23"/>
        </w:rPr>
        <w:t> </w:t>
      </w:r>
      <w:r>
        <w:rPr>
          <w:sz w:val="23"/>
        </w:rPr>
        <w:t>River</w:t>
      </w:r>
      <w:r>
        <w:rPr>
          <w:spacing w:val="-29"/>
          <w:sz w:val="23"/>
        </w:rPr>
        <w:t> </w:t>
      </w:r>
      <w:r>
        <w:rPr>
          <w:sz w:val="23"/>
        </w:rPr>
        <w:t>Calder,</w:t>
      </w:r>
      <w:r>
        <w:rPr>
          <w:spacing w:val="-23"/>
          <w:sz w:val="23"/>
        </w:rPr>
        <w:t> </w:t>
      </w:r>
      <w:r>
        <w:rPr>
          <w:sz w:val="23"/>
        </w:rPr>
        <w:t>which</w:t>
      </w:r>
      <w:r>
        <w:rPr>
          <w:spacing w:val="-28"/>
          <w:sz w:val="23"/>
        </w:rPr>
        <w:t> </w:t>
      </w:r>
      <w:r>
        <w:rPr>
          <w:sz w:val="23"/>
        </w:rPr>
        <w:t>forms</w:t>
      </w:r>
      <w:r>
        <w:rPr>
          <w:spacing w:val="-31"/>
          <w:sz w:val="23"/>
        </w:rPr>
        <w:t> </w:t>
      </w:r>
      <w:r>
        <w:rPr>
          <w:sz w:val="23"/>
        </w:rPr>
        <w:t>part</w:t>
      </w:r>
      <w:r>
        <w:rPr>
          <w:spacing w:val="-25"/>
          <w:sz w:val="23"/>
        </w:rPr>
        <w:t> </w:t>
      </w:r>
      <w:r>
        <w:rPr>
          <w:sz w:val="23"/>
        </w:rPr>
        <w:t>of</w:t>
      </w:r>
      <w:r>
        <w:rPr>
          <w:spacing w:val="-33"/>
          <w:sz w:val="23"/>
        </w:rPr>
        <w:t> </w:t>
      </w:r>
      <w:r>
        <w:rPr>
          <w:sz w:val="23"/>
        </w:rPr>
        <w:t>the</w:t>
      </w:r>
      <w:r>
        <w:rPr>
          <w:spacing w:val="-30"/>
          <w:sz w:val="23"/>
        </w:rPr>
        <w:t> </w:t>
      </w:r>
      <w:r>
        <w:rPr>
          <w:sz w:val="23"/>
        </w:rPr>
        <w:t>southern</w:t>
      </w:r>
      <w:r>
        <w:rPr>
          <w:spacing w:val="-27"/>
          <w:sz w:val="23"/>
        </w:rPr>
        <w:t> </w:t>
      </w:r>
      <w:r>
        <w:rPr>
          <w:sz w:val="23"/>
        </w:rPr>
        <w:t>boundary</w:t>
      </w:r>
      <w:r>
        <w:rPr>
          <w:spacing w:val="-20"/>
          <w:sz w:val="23"/>
        </w:rPr>
        <w:t> </w:t>
      </w:r>
      <w:r>
        <w:rPr>
          <w:sz w:val="23"/>
        </w:rPr>
        <w:t>of</w:t>
      </w:r>
      <w:r>
        <w:rPr>
          <w:spacing w:val="-36"/>
          <w:sz w:val="23"/>
        </w:rPr>
        <w:t> </w:t>
      </w:r>
      <w:r>
        <w:rPr>
          <w:sz w:val="23"/>
        </w:rPr>
        <w:t>the</w:t>
      </w:r>
      <w:r>
        <w:rPr>
          <w:spacing w:val="-25"/>
          <w:sz w:val="23"/>
        </w:rPr>
        <w:t> </w:t>
      </w:r>
      <w:r>
        <w:rPr>
          <w:sz w:val="23"/>
        </w:rPr>
        <w:t>district</w:t>
      </w:r>
      <w:r>
        <w:rPr>
          <w:spacing w:val="-27"/>
          <w:sz w:val="23"/>
        </w:rPr>
        <w:t> </w:t>
      </w:r>
      <w:r>
        <w:rPr>
          <w:sz w:val="23"/>
        </w:rPr>
        <w:t>and</w:t>
      </w:r>
      <w:r>
        <w:rPr>
          <w:spacing w:val="-30"/>
          <w:sz w:val="23"/>
        </w:rPr>
        <w:t> </w:t>
      </w:r>
      <w:r>
        <w:rPr>
          <w:sz w:val="23"/>
        </w:rPr>
        <w:t>flows</w:t>
      </w:r>
      <w:r>
        <w:rPr>
          <w:spacing w:val="-28"/>
          <w:sz w:val="23"/>
        </w:rPr>
        <w:t> </w:t>
      </w:r>
      <w:r>
        <w:rPr>
          <w:sz w:val="23"/>
        </w:rPr>
        <w:t>from</w:t>
      </w:r>
      <w:r>
        <w:rPr>
          <w:spacing w:val="-25"/>
          <w:sz w:val="23"/>
        </w:rPr>
        <w:t> </w:t>
      </w:r>
      <w:r>
        <w:rPr>
          <w:sz w:val="23"/>
        </w:rPr>
        <w:t>the west to east to join the River Aire at</w:t>
      </w:r>
      <w:r>
        <w:rPr>
          <w:spacing w:val="-2"/>
          <w:sz w:val="23"/>
        </w:rPr>
        <w:t> </w:t>
      </w:r>
      <w:r>
        <w:rPr>
          <w:sz w:val="23"/>
        </w:rPr>
        <w:t>Castleford.</w:t>
      </w:r>
    </w:p>
    <w:p>
      <w:pPr>
        <w:pStyle w:val="BodyText"/>
        <w:spacing w:line="264" w:lineRule="auto" w:before="102"/>
        <w:ind w:left="1015" w:right="212" w:firstLine="3"/>
      </w:pPr>
      <w:r>
        <w:rPr/>
        <w:t>In</w:t>
      </w:r>
      <w:r>
        <w:rPr>
          <w:spacing w:val="-28"/>
        </w:rPr>
        <w:t> </w:t>
      </w:r>
      <w:r>
        <w:rPr/>
        <w:t>urban</w:t>
      </w:r>
      <w:r>
        <w:rPr>
          <w:spacing w:val="-17"/>
        </w:rPr>
        <w:t> </w:t>
      </w:r>
      <w:r>
        <w:rPr/>
        <w:t>areas,</w:t>
      </w:r>
      <w:r>
        <w:rPr>
          <w:spacing w:val="-19"/>
        </w:rPr>
        <w:t> </w:t>
      </w:r>
      <w:r>
        <w:rPr/>
        <w:t>the</w:t>
      </w:r>
      <w:r>
        <w:rPr>
          <w:spacing w:val="-23"/>
        </w:rPr>
        <w:t> </w:t>
      </w:r>
      <w:r>
        <w:rPr/>
        <w:t>drainage</w:t>
      </w:r>
      <w:r>
        <w:rPr>
          <w:spacing w:val="-16"/>
        </w:rPr>
        <w:t> </w:t>
      </w:r>
      <w:r>
        <w:rPr/>
        <w:t>of</w:t>
      </w:r>
      <w:r>
        <w:rPr>
          <w:spacing w:val="-25"/>
        </w:rPr>
        <w:t> </w:t>
      </w:r>
      <w:r>
        <w:rPr/>
        <w:t>the</w:t>
      </w:r>
      <w:r>
        <w:rPr>
          <w:spacing w:val="-23"/>
        </w:rPr>
        <w:t> </w:t>
      </w:r>
      <w:r>
        <w:rPr/>
        <w:t>district</w:t>
      </w:r>
      <w:r>
        <w:rPr>
          <w:spacing w:val="-22"/>
        </w:rPr>
        <w:t> </w:t>
      </w:r>
      <w:r>
        <w:rPr/>
        <w:t>is</w:t>
      </w:r>
      <w:r>
        <w:rPr>
          <w:spacing w:val="-27"/>
        </w:rPr>
        <w:t> </w:t>
      </w:r>
      <w:r>
        <w:rPr/>
        <w:t>facilitated</w:t>
      </w:r>
      <w:r>
        <w:rPr>
          <w:spacing w:val="-21"/>
        </w:rPr>
        <w:t> </w:t>
      </w:r>
      <w:r>
        <w:rPr/>
        <w:t>by</w:t>
      </w:r>
      <w:r>
        <w:rPr>
          <w:spacing w:val="-21"/>
        </w:rPr>
        <w:t> </w:t>
      </w:r>
      <w:r>
        <w:rPr/>
        <w:t>a</w:t>
      </w:r>
      <w:r>
        <w:rPr>
          <w:spacing w:val="-25"/>
        </w:rPr>
        <w:t> </w:t>
      </w:r>
      <w:r>
        <w:rPr/>
        <w:t>sewer</w:t>
      </w:r>
      <w:r>
        <w:rPr>
          <w:spacing w:val="-20"/>
        </w:rPr>
        <w:t> </w:t>
      </w:r>
      <w:r>
        <w:rPr/>
        <w:t>system.</w:t>
      </w:r>
      <w:r>
        <w:rPr>
          <w:spacing w:val="-12"/>
        </w:rPr>
        <w:t> </w:t>
      </w:r>
      <w:r>
        <w:rPr/>
        <w:t>Urban</w:t>
      </w:r>
      <w:r>
        <w:rPr>
          <w:spacing w:val="-12"/>
        </w:rPr>
        <w:t> </w:t>
      </w:r>
      <w:r>
        <w:rPr/>
        <w:t>areas</w:t>
      </w:r>
      <w:r>
        <w:rPr>
          <w:spacing w:val="-21"/>
        </w:rPr>
        <w:t> </w:t>
      </w:r>
      <w:r>
        <w:rPr/>
        <w:t>of</w:t>
      </w:r>
      <w:r>
        <w:rPr>
          <w:spacing w:val="-22"/>
        </w:rPr>
        <w:t> </w:t>
      </w:r>
      <w:r>
        <w:rPr/>
        <w:t>Leeds were</w:t>
      </w:r>
      <w:r>
        <w:rPr>
          <w:spacing w:val="-35"/>
        </w:rPr>
        <w:t> </w:t>
      </w:r>
      <w:r>
        <w:rPr/>
        <w:t>originally</w:t>
      </w:r>
      <w:r>
        <w:rPr>
          <w:spacing w:val="-27"/>
        </w:rPr>
        <w:t> </w:t>
      </w:r>
      <w:r>
        <w:rPr/>
        <w:t>served</w:t>
      </w:r>
      <w:r>
        <w:rPr>
          <w:spacing w:val="-36"/>
        </w:rPr>
        <w:t> </w:t>
      </w:r>
      <w:r>
        <w:rPr/>
        <w:t>by</w:t>
      </w:r>
      <w:r>
        <w:rPr>
          <w:spacing w:val="-37"/>
        </w:rPr>
        <w:t> </w:t>
      </w:r>
      <w:r>
        <w:rPr/>
        <w:t>‘Combined</w:t>
      </w:r>
      <w:r>
        <w:rPr>
          <w:spacing w:val="-24"/>
        </w:rPr>
        <w:t> </w:t>
      </w:r>
      <w:r>
        <w:rPr/>
        <w:t>Sewers’</w:t>
      </w:r>
      <w:r>
        <w:rPr>
          <w:spacing w:val="-30"/>
        </w:rPr>
        <w:t> </w:t>
      </w:r>
      <w:r>
        <w:rPr/>
        <w:t>(carrying</w:t>
      </w:r>
      <w:r>
        <w:rPr>
          <w:spacing w:val="-32"/>
        </w:rPr>
        <w:t> </w:t>
      </w:r>
      <w:r>
        <w:rPr/>
        <w:t>both</w:t>
      </w:r>
      <w:r>
        <w:rPr>
          <w:spacing w:val="-36"/>
        </w:rPr>
        <w:t> </w:t>
      </w:r>
      <w:r>
        <w:rPr/>
        <w:t>foul</w:t>
      </w:r>
      <w:r>
        <w:rPr>
          <w:spacing w:val="-30"/>
        </w:rPr>
        <w:t> </w:t>
      </w:r>
      <w:r>
        <w:rPr/>
        <w:t>and</w:t>
      </w:r>
      <w:r>
        <w:rPr>
          <w:spacing w:val="-35"/>
        </w:rPr>
        <w:t> </w:t>
      </w:r>
      <w:r>
        <w:rPr/>
        <w:t>surface</w:t>
      </w:r>
      <w:r>
        <w:rPr>
          <w:spacing w:val="-33"/>
        </w:rPr>
        <w:t> </w:t>
      </w:r>
      <w:r>
        <w:rPr/>
        <w:t>water);</w:t>
      </w:r>
      <w:r>
        <w:rPr>
          <w:spacing w:val="-32"/>
        </w:rPr>
        <w:t> </w:t>
      </w:r>
      <w:r>
        <w:rPr/>
        <w:t>however,</w:t>
      </w:r>
      <w:r>
        <w:rPr>
          <w:spacing w:val="-30"/>
        </w:rPr>
        <w:t> </w:t>
      </w:r>
      <w:r>
        <w:rPr/>
        <w:t>it</w:t>
      </w:r>
      <w:r>
        <w:rPr>
          <w:spacing w:val="-38"/>
        </w:rPr>
        <w:t> </w:t>
      </w:r>
      <w:r>
        <w:rPr/>
        <w:t>has been</w:t>
      </w:r>
      <w:r>
        <w:rPr>
          <w:spacing w:val="-34"/>
        </w:rPr>
        <w:t> </w:t>
      </w:r>
      <w:r>
        <w:rPr/>
        <w:t>the</w:t>
      </w:r>
      <w:r>
        <w:rPr>
          <w:spacing w:val="-32"/>
        </w:rPr>
        <w:t> </w:t>
      </w:r>
      <w:r>
        <w:rPr/>
        <w:t>policy</w:t>
      </w:r>
      <w:r>
        <w:rPr>
          <w:spacing w:val="-28"/>
        </w:rPr>
        <w:t> </w:t>
      </w:r>
      <w:r>
        <w:rPr/>
        <w:t>since</w:t>
      </w:r>
      <w:r>
        <w:rPr>
          <w:spacing w:val="-31"/>
        </w:rPr>
        <w:t> </w:t>
      </w:r>
      <w:r>
        <w:rPr/>
        <w:t>the</w:t>
      </w:r>
      <w:r>
        <w:rPr>
          <w:spacing w:val="-32"/>
        </w:rPr>
        <w:t> </w:t>
      </w:r>
      <w:r>
        <w:rPr/>
        <w:t>1950s</w:t>
      </w:r>
      <w:r>
        <w:rPr>
          <w:spacing w:val="-35"/>
        </w:rPr>
        <w:t> </w:t>
      </w:r>
      <w:r>
        <w:rPr/>
        <w:t>to</w:t>
      </w:r>
      <w:r>
        <w:rPr>
          <w:spacing w:val="-34"/>
        </w:rPr>
        <w:t> </w:t>
      </w:r>
      <w:r>
        <w:rPr/>
        <w:t>ensure</w:t>
      </w:r>
      <w:r>
        <w:rPr>
          <w:spacing w:val="-33"/>
        </w:rPr>
        <w:t> </w:t>
      </w:r>
      <w:r>
        <w:rPr/>
        <w:t>that</w:t>
      </w:r>
      <w:r>
        <w:rPr>
          <w:spacing w:val="-33"/>
        </w:rPr>
        <w:t> </w:t>
      </w:r>
      <w:r>
        <w:rPr/>
        <w:t>new</w:t>
      </w:r>
      <w:r>
        <w:rPr>
          <w:spacing w:val="-30"/>
        </w:rPr>
        <w:t> </w:t>
      </w:r>
      <w:r>
        <w:rPr/>
        <w:t>developments</w:t>
      </w:r>
      <w:r>
        <w:rPr>
          <w:spacing w:val="-22"/>
        </w:rPr>
        <w:t> </w:t>
      </w:r>
      <w:r>
        <w:rPr/>
        <w:t>and</w:t>
      </w:r>
      <w:r>
        <w:rPr>
          <w:spacing w:val="-36"/>
        </w:rPr>
        <w:t> </w:t>
      </w:r>
      <w:r>
        <w:rPr/>
        <w:t>redevelopments</w:t>
      </w:r>
      <w:r>
        <w:rPr>
          <w:spacing w:val="-37"/>
        </w:rPr>
        <w:t> </w:t>
      </w:r>
      <w:r>
        <w:rPr/>
        <w:t>incorporate separate foul and surface water systems. Consequently, a significant part of the city now has separate or partially-separate sewers, with the surface water sewers connected in many cases directly to</w:t>
      </w:r>
      <w:r>
        <w:rPr>
          <w:spacing w:val="5"/>
        </w:rPr>
        <w:t> </w:t>
      </w:r>
      <w:r>
        <w:rPr/>
        <w:t>watercourses.</w:t>
      </w:r>
    </w:p>
    <w:p>
      <w:pPr>
        <w:pStyle w:val="BodyText"/>
        <w:spacing w:line="261" w:lineRule="auto" w:before="127"/>
        <w:ind w:left="1020" w:right="212" w:firstLine="2"/>
      </w:pPr>
      <w:r>
        <w:rPr/>
        <w:t>Many</w:t>
      </w:r>
      <w:r>
        <w:rPr>
          <w:spacing w:val="-29"/>
        </w:rPr>
        <w:t> </w:t>
      </w:r>
      <w:r>
        <w:rPr/>
        <w:t>of</w:t>
      </w:r>
      <w:r>
        <w:rPr>
          <w:spacing w:val="-34"/>
        </w:rPr>
        <w:t> </w:t>
      </w:r>
      <w:r>
        <w:rPr/>
        <w:t>the</w:t>
      </w:r>
      <w:r>
        <w:rPr>
          <w:spacing w:val="-34"/>
        </w:rPr>
        <w:t> </w:t>
      </w:r>
      <w:r>
        <w:rPr/>
        <w:t>combined</w:t>
      </w:r>
      <w:r>
        <w:rPr>
          <w:spacing w:val="-25"/>
        </w:rPr>
        <w:t> </w:t>
      </w:r>
      <w:r>
        <w:rPr/>
        <w:t>sewers</w:t>
      </w:r>
      <w:r>
        <w:rPr>
          <w:spacing w:val="-35"/>
        </w:rPr>
        <w:t> </w:t>
      </w:r>
      <w:r>
        <w:rPr/>
        <w:t>in</w:t>
      </w:r>
      <w:r>
        <w:rPr>
          <w:spacing w:val="-35"/>
        </w:rPr>
        <w:t> </w:t>
      </w:r>
      <w:r>
        <w:rPr/>
        <w:t>the</w:t>
      </w:r>
      <w:r>
        <w:rPr>
          <w:spacing w:val="-33"/>
        </w:rPr>
        <w:t> </w:t>
      </w:r>
      <w:r>
        <w:rPr/>
        <w:t>district</w:t>
      </w:r>
      <w:r>
        <w:rPr>
          <w:spacing w:val="-25"/>
        </w:rPr>
        <w:t> </w:t>
      </w:r>
      <w:r>
        <w:rPr/>
        <w:t>drain</w:t>
      </w:r>
      <w:r>
        <w:rPr>
          <w:spacing w:val="-34"/>
        </w:rPr>
        <w:t> </w:t>
      </w:r>
      <w:r>
        <w:rPr/>
        <w:t>to</w:t>
      </w:r>
      <w:r>
        <w:rPr>
          <w:spacing w:val="-37"/>
        </w:rPr>
        <w:t> </w:t>
      </w:r>
      <w:r>
        <w:rPr/>
        <w:t>the</w:t>
      </w:r>
      <w:r>
        <w:rPr>
          <w:spacing w:val="-32"/>
        </w:rPr>
        <w:t> </w:t>
      </w:r>
      <w:r>
        <w:rPr/>
        <w:t>Knostrop</w:t>
      </w:r>
      <w:r>
        <w:rPr>
          <w:spacing w:val="-24"/>
        </w:rPr>
        <w:t> </w:t>
      </w:r>
      <w:r>
        <w:rPr/>
        <w:t>Waste</w:t>
      </w:r>
      <w:r>
        <w:rPr>
          <w:spacing w:val="-34"/>
        </w:rPr>
        <w:t> </w:t>
      </w:r>
      <w:r>
        <w:rPr/>
        <w:t>Water</w:t>
      </w:r>
      <w:r>
        <w:rPr>
          <w:spacing w:val="-26"/>
        </w:rPr>
        <w:t> </w:t>
      </w:r>
      <w:r>
        <w:rPr/>
        <w:t>Treatment</w:t>
      </w:r>
      <w:r>
        <w:rPr>
          <w:spacing w:val="-25"/>
        </w:rPr>
        <w:t> </w:t>
      </w:r>
      <w:r>
        <w:rPr/>
        <w:t>Works which is located to the south-east of Leeds, adjacent to</w:t>
      </w:r>
      <w:r>
        <w:rPr>
          <w:spacing w:val="-47"/>
        </w:rPr>
        <w:t> </w:t>
      </w:r>
      <w:r>
        <w:rPr/>
        <w:t>the River Aire.</w:t>
      </w:r>
    </w:p>
    <w:p>
      <w:pPr>
        <w:pStyle w:val="ListParagraph"/>
        <w:numPr>
          <w:ilvl w:val="1"/>
          <w:numId w:val="4"/>
        </w:numPr>
        <w:tabs>
          <w:tab w:pos="1017" w:val="left" w:leader="none"/>
          <w:tab w:pos="1018" w:val="left" w:leader="none"/>
        </w:tabs>
        <w:spacing w:line="240" w:lineRule="auto" w:before="135" w:after="0"/>
        <w:ind w:left="1017" w:right="0" w:hanging="849"/>
        <w:jc w:val="left"/>
        <w:rPr>
          <w:sz w:val="28"/>
        </w:rPr>
      </w:pPr>
      <w:r>
        <w:rPr>
          <w:sz w:val="28"/>
        </w:rPr>
        <w:t>SOURCES OF FLOOD</w:t>
      </w:r>
      <w:r>
        <w:rPr>
          <w:spacing w:val="13"/>
          <w:sz w:val="28"/>
        </w:rPr>
        <w:t> </w:t>
      </w:r>
      <w:r>
        <w:rPr>
          <w:sz w:val="28"/>
        </w:rPr>
        <w:t>RISK</w:t>
      </w:r>
    </w:p>
    <w:p>
      <w:pPr>
        <w:pStyle w:val="BodyText"/>
        <w:spacing w:line="266" w:lineRule="auto" w:before="156"/>
        <w:ind w:left="1018" w:firstLine="6"/>
      </w:pPr>
      <w:r>
        <w:rPr/>
        <w:t>The</w:t>
      </w:r>
      <w:r>
        <w:rPr>
          <w:spacing w:val="-33"/>
        </w:rPr>
        <w:t> </w:t>
      </w:r>
      <w:r>
        <w:rPr/>
        <w:t>scope</w:t>
      </w:r>
      <w:r>
        <w:rPr>
          <w:spacing w:val="-30"/>
        </w:rPr>
        <w:t> </w:t>
      </w:r>
      <w:r>
        <w:rPr/>
        <w:t>of</w:t>
      </w:r>
      <w:r>
        <w:rPr>
          <w:spacing w:val="-34"/>
        </w:rPr>
        <w:t> </w:t>
      </w:r>
      <w:r>
        <w:rPr/>
        <w:t>the</w:t>
      </w:r>
      <w:r>
        <w:rPr>
          <w:spacing w:val="-33"/>
        </w:rPr>
        <w:t> </w:t>
      </w:r>
      <w:r>
        <w:rPr/>
        <w:t>LFRMS</w:t>
      </w:r>
      <w:r>
        <w:rPr>
          <w:spacing w:val="-31"/>
        </w:rPr>
        <w:t> </w:t>
      </w:r>
      <w:r>
        <w:rPr/>
        <w:t>covers</w:t>
      </w:r>
      <w:r>
        <w:rPr>
          <w:spacing w:val="-29"/>
        </w:rPr>
        <w:t> </w:t>
      </w:r>
      <w:r>
        <w:rPr/>
        <w:t>all</w:t>
      </w:r>
      <w:r>
        <w:rPr>
          <w:spacing w:val="-32"/>
        </w:rPr>
        <w:t> </w:t>
      </w:r>
      <w:r>
        <w:rPr/>
        <w:t>sources</w:t>
      </w:r>
      <w:r>
        <w:rPr>
          <w:spacing w:val="-28"/>
        </w:rPr>
        <w:t> </w:t>
      </w:r>
      <w:r>
        <w:rPr/>
        <w:t>of</w:t>
      </w:r>
      <w:r>
        <w:rPr>
          <w:spacing w:val="-33"/>
        </w:rPr>
        <w:t> </w:t>
      </w:r>
      <w:r>
        <w:rPr/>
        <w:t>flooding,</w:t>
      </w:r>
      <w:r>
        <w:rPr>
          <w:spacing w:val="-25"/>
        </w:rPr>
        <w:t> </w:t>
      </w:r>
      <w:r>
        <w:rPr/>
        <w:t>but</w:t>
      </w:r>
      <w:r>
        <w:rPr>
          <w:spacing w:val="-34"/>
        </w:rPr>
        <w:t> </w:t>
      </w:r>
      <w:r>
        <w:rPr/>
        <w:t>it</w:t>
      </w:r>
      <w:r>
        <w:rPr>
          <w:spacing w:val="-33"/>
        </w:rPr>
        <w:t> </w:t>
      </w:r>
      <w:r>
        <w:rPr/>
        <w:t>focuses</w:t>
      </w:r>
      <w:r>
        <w:rPr>
          <w:spacing w:val="-28"/>
        </w:rPr>
        <w:t> </w:t>
      </w:r>
      <w:r>
        <w:rPr/>
        <w:t>specifically</w:t>
      </w:r>
      <w:r>
        <w:rPr>
          <w:spacing w:val="-23"/>
        </w:rPr>
        <w:t> </w:t>
      </w:r>
      <w:r>
        <w:rPr/>
        <w:t>on</w:t>
      </w:r>
      <w:r>
        <w:rPr>
          <w:spacing w:val="-35"/>
        </w:rPr>
        <w:t> </w:t>
      </w:r>
      <w:r>
        <w:rPr/>
        <w:t>‘local</w:t>
      </w:r>
      <w:r>
        <w:rPr>
          <w:spacing w:val="-26"/>
        </w:rPr>
        <w:t> </w:t>
      </w:r>
      <w:r>
        <w:rPr/>
        <w:t>flooding’. Flooding that originates from Main Rivers, such as the River Aire, is not categorised as ‘local flooding’</w:t>
      </w:r>
      <w:r>
        <w:rPr>
          <w:spacing w:val="-13"/>
        </w:rPr>
        <w:t> </w:t>
      </w:r>
      <w:r>
        <w:rPr/>
        <w:t>and</w:t>
      </w:r>
      <w:r>
        <w:rPr>
          <w:spacing w:val="-30"/>
        </w:rPr>
        <w:t> </w:t>
      </w:r>
      <w:r>
        <w:rPr/>
        <w:t>risk</w:t>
      </w:r>
      <w:r>
        <w:rPr>
          <w:spacing w:val="-27"/>
        </w:rPr>
        <w:t> </w:t>
      </w:r>
      <w:r>
        <w:rPr/>
        <w:t>management</w:t>
      </w:r>
      <w:r>
        <w:rPr>
          <w:spacing w:val="-13"/>
        </w:rPr>
        <w:t> </w:t>
      </w:r>
      <w:r>
        <w:rPr/>
        <w:t>responsibility</w:t>
      </w:r>
      <w:r>
        <w:rPr>
          <w:spacing w:val="-30"/>
        </w:rPr>
        <w:t> </w:t>
      </w:r>
      <w:r>
        <w:rPr/>
        <w:t>for</w:t>
      </w:r>
      <w:r>
        <w:rPr>
          <w:spacing w:val="-29"/>
        </w:rPr>
        <w:t> </w:t>
      </w:r>
      <w:r>
        <w:rPr/>
        <w:t>these</w:t>
      </w:r>
      <w:r>
        <w:rPr>
          <w:spacing w:val="-24"/>
        </w:rPr>
        <w:t> </w:t>
      </w:r>
      <w:r>
        <w:rPr/>
        <w:t>watercourses</w:t>
      </w:r>
      <w:r>
        <w:rPr>
          <w:spacing w:val="-14"/>
        </w:rPr>
        <w:t> </w:t>
      </w:r>
      <w:r>
        <w:rPr/>
        <w:t>sits</w:t>
      </w:r>
      <w:r>
        <w:rPr>
          <w:spacing w:val="-29"/>
        </w:rPr>
        <w:t> </w:t>
      </w:r>
      <w:r>
        <w:rPr/>
        <w:t>principally</w:t>
      </w:r>
      <w:r>
        <w:rPr>
          <w:spacing w:val="-20"/>
        </w:rPr>
        <w:t> </w:t>
      </w:r>
      <w:r>
        <w:rPr/>
        <w:t>with</w:t>
      </w:r>
      <w:r>
        <w:rPr>
          <w:spacing w:val="-26"/>
        </w:rPr>
        <w:t> </w:t>
      </w:r>
      <w:r>
        <w:rPr/>
        <w:t>the</w:t>
      </w:r>
      <w:r>
        <w:rPr>
          <w:spacing w:val="-22"/>
        </w:rPr>
        <w:t> </w:t>
      </w:r>
      <w:r>
        <w:rPr/>
        <w:t>EA.</w:t>
      </w:r>
    </w:p>
    <w:p>
      <w:pPr>
        <w:spacing w:after="0" w:line="266" w:lineRule="auto"/>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line="264" w:lineRule="auto" w:before="92"/>
        <w:ind w:left="1018" w:right="212" w:firstLine="2"/>
      </w:pPr>
      <w:r>
        <w:rPr/>
        <w:pict>
          <v:group style="position:absolute;margin-left:123.349602pt;margin-top:-50.127747pt;width:5.3pt;height:35.050pt;mso-position-horizontal-relative:page;mso-position-vertical-relative:paragraph;z-index:2056" coordorigin="2467,-1003" coordsize="106,701">
            <v:shape style="position:absolute;left:2467;top:-1003;width:106;height:48" type="#_x0000_t75" stroked="false">
              <v:imagedata r:id="rId14" o:title=""/>
            </v:shape>
            <v:shape style="position:absolute;left:2486;top:-341;width:87;height:39" type="#_x0000_t75" stroked="false">
              <v:imagedata r:id="rId15" o:title=""/>
            </v:shape>
            <v:line style="position:absolute" from="2515,-1003" to="2515,-311" stroked="true" strokeweight="4.799592pt" strokecolor="#ff6477">
              <v:stroke dashstyle="solid"/>
            </v:line>
            <w10:wrap type="none"/>
          </v:group>
        </w:pict>
      </w:r>
      <w:bookmarkStart w:name="Leeds LFRMS 2018 Update_Page_21" w:id="26"/>
      <w:bookmarkEnd w:id="26"/>
      <w:r>
        <w:rPr/>
      </w:r>
      <w:r>
        <w:rPr/>
        <w:t>All</w:t>
      </w:r>
      <w:r>
        <w:rPr>
          <w:spacing w:val="-17"/>
        </w:rPr>
        <w:t> </w:t>
      </w:r>
      <w:r>
        <w:rPr/>
        <w:t>flooding</w:t>
      </w:r>
      <w:r>
        <w:rPr>
          <w:spacing w:val="-12"/>
        </w:rPr>
        <w:t> </w:t>
      </w:r>
      <w:r>
        <w:rPr/>
        <w:t>in</w:t>
      </w:r>
      <w:r>
        <w:rPr>
          <w:spacing w:val="-19"/>
        </w:rPr>
        <w:t> </w:t>
      </w:r>
      <w:r>
        <w:rPr/>
        <w:t>Leeds</w:t>
      </w:r>
      <w:r>
        <w:rPr>
          <w:spacing w:val="-24"/>
        </w:rPr>
        <w:t> </w:t>
      </w:r>
      <w:r>
        <w:rPr/>
        <w:t>is</w:t>
      </w:r>
      <w:r>
        <w:rPr>
          <w:spacing w:val="-22"/>
        </w:rPr>
        <w:t> </w:t>
      </w:r>
      <w:r>
        <w:rPr/>
        <w:t>of</w:t>
      </w:r>
      <w:r>
        <w:rPr>
          <w:spacing w:val="-21"/>
        </w:rPr>
        <w:t> </w:t>
      </w:r>
      <w:r>
        <w:rPr/>
        <w:t>concern</w:t>
      </w:r>
      <w:r>
        <w:rPr>
          <w:spacing w:val="-18"/>
        </w:rPr>
        <w:t> </w:t>
      </w:r>
      <w:r>
        <w:rPr/>
        <w:t>to</w:t>
      </w:r>
      <w:r>
        <w:rPr>
          <w:spacing w:val="-27"/>
        </w:rPr>
        <w:t> </w:t>
      </w:r>
      <w:r>
        <w:rPr/>
        <w:t>the</w:t>
      </w:r>
      <w:r>
        <w:rPr>
          <w:spacing w:val="-25"/>
        </w:rPr>
        <w:t> </w:t>
      </w:r>
      <w:r>
        <w:rPr/>
        <w:t>residents</w:t>
      </w:r>
      <w:r>
        <w:rPr>
          <w:spacing w:val="-13"/>
        </w:rPr>
        <w:t> </w:t>
      </w:r>
      <w:r>
        <w:rPr/>
        <w:t>and</w:t>
      </w:r>
      <w:r>
        <w:rPr>
          <w:spacing w:val="-22"/>
        </w:rPr>
        <w:t> </w:t>
      </w:r>
      <w:r>
        <w:rPr/>
        <w:t>business</w:t>
      </w:r>
      <w:r>
        <w:rPr>
          <w:spacing w:val="-14"/>
        </w:rPr>
        <w:t> </w:t>
      </w:r>
      <w:r>
        <w:rPr/>
        <w:t>of</w:t>
      </w:r>
      <w:r>
        <w:rPr>
          <w:spacing w:val="-20"/>
        </w:rPr>
        <w:t> </w:t>
      </w:r>
      <w:r>
        <w:rPr/>
        <w:t>Leeds,</w:t>
      </w:r>
      <w:r>
        <w:rPr>
          <w:spacing w:val="-20"/>
        </w:rPr>
        <w:t> </w:t>
      </w:r>
      <w:r>
        <w:rPr/>
        <w:t>as</w:t>
      </w:r>
      <w:r>
        <w:rPr>
          <w:spacing w:val="-23"/>
        </w:rPr>
        <w:t> </w:t>
      </w:r>
      <w:r>
        <w:rPr/>
        <w:t>well</w:t>
      </w:r>
      <w:r>
        <w:rPr>
          <w:spacing w:val="-13"/>
        </w:rPr>
        <w:t> </w:t>
      </w:r>
      <w:r>
        <w:rPr/>
        <w:t>as</w:t>
      </w:r>
      <w:r>
        <w:rPr>
          <w:spacing w:val="-22"/>
        </w:rPr>
        <w:t> </w:t>
      </w:r>
      <w:r>
        <w:rPr/>
        <w:t>Leeds</w:t>
      </w:r>
      <w:r>
        <w:rPr>
          <w:spacing w:val="-19"/>
        </w:rPr>
        <w:t> </w:t>
      </w:r>
      <w:r>
        <w:rPr/>
        <w:t>City Council. As such, this strategy promotes a collaborative approach to flood risk management in Leeds</w:t>
      </w:r>
      <w:r>
        <w:rPr>
          <w:spacing w:val="-39"/>
        </w:rPr>
        <w:t> </w:t>
      </w:r>
      <w:r>
        <w:rPr/>
        <w:t>between</w:t>
      </w:r>
      <w:r>
        <w:rPr>
          <w:spacing w:val="-32"/>
        </w:rPr>
        <w:t> </w:t>
      </w:r>
      <w:r>
        <w:rPr/>
        <w:t>all</w:t>
      </w:r>
      <w:r>
        <w:rPr>
          <w:spacing w:val="-39"/>
        </w:rPr>
        <w:t> </w:t>
      </w:r>
      <w:r>
        <w:rPr/>
        <w:t>RMAs,</w:t>
      </w:r>
      <w:r>
        <w:rPr>
          <w:spacing w:val="-36"/>
        </w:rPr>
        <w:t> </w:t>
      </w:r>
      <w:r>
        <w:rPr/>
        <w:t>and</w:t>
      </w:r>
      <w:r>
        <w:rPr>
          <w:spacing w:val="-40"/>
        </w:rPr>
        <w:t> </w:t>
      </w:r>
      <w:r>
        <w:rPr/>
        <w:t>incorporates</w:t>
      </w:r>
      <w:r>
        <w:rPr>
          <w:spacing w:val="-32"/>
        </w:rPr>
        <w:t> </w:t>
      </w:r>
      <w:r>
        <w:rPr/>
        <w:t>specific</w:t>
      </w:r>
      <w:r>
        <w:rPr>
          <w:spacing w:val="-39"/>
        </w:rPr>
        <w:t> </w:t>
      </w:r>
      <w:r>
        <w:rPr/>
        <w:t>measures</w:t>
      </w:r>
      <w:r>
        <w:rPr>
          <w:spacing w:val="-38"/>
        </w:rPr>
        <w:t> </w:t>
      </w:r>
      <w:r>
        <w:rPr/>
        <w:t>to</w:t>
      </w:r>
      <w:r>
        <w:rPr>
          <w:spacing w:val="-40"/>
        </w:rPr>
        <w:t> </w:t>
      </w:r>
      <w:r>
        <w:rPr/>
        <w:t>alleviate</w:t>
      </w:r>
      <w:r>
        <w:rPr>
          <w:spacing w:val="-33"/>
        </w:rPr>
        <w:t> </w:t>
      </w:r>
      <w:r>
        <w:rPr/>
        <w:t>Main</w:t>
      </w:r>
      <w:r>
        <w:rPr>
          <w:spacing w:val="-32"/>
        </w:rPr>
        <w:t> </w:t>
      </w:r>
      <w:r>
        <w:rPr/>
        <w:t>River</w:t>
      </w:r>
      <w:r>
        <w:rPr>
          <w:spacing w:val="-38"/>
        </w:rPr>
        <w:t> </w:t>
      </w:r>
      <w:r>
        <w:rPr/>
        <w:t>flooding,</w:t>
      </w:r>
      <w:r>
        <w:rPr>
          <w:spacing w:val="-29"/>
        </w:rPr>
        <w:t> </w:t>
      </w:r>
      <w:r>
        <w:rPr/>
        <w:t>such as Leeds FAS Phase 1 and</w:t>
      </w:r>
      <w:r>
        <w:rPr>
          <w:spacing w:val="4"/>
        </w:rPr>
        <w:t> </w:t>
      </w:r>
      <w:r>
        <w:rPr/>
        <w:t>2.</w:t>
      </w:r>
    </w:p>
    <w:p>
      <w:pPr>
        <w:pStyle w:val="BodyText"/>
        <w:spacing w:line="261" w:lineRule="auto" w:before="123"/>
        <w:ind w:left="1021" w:hanging="1"/>
      </w:pPr>
      <w:r>
        <w:rPr/>
        <w:t>For</w:t>
      </w:r>
      <w:r>
        <w:rPr>
          <w:spacing w:val="-27"/>
        </w:rPr>
        <w:t> </w:t>
      </w:r>
      <w:r>
        <w:rPr/>
        <w:t>further</w:t>
      </w:r>
      <w:r>
        <w:rPr>
          <w:spacing w:val="-26"/>
        </w:rPr>
        <w:t> </w:t>
      </w:r>
      <w:r>
        <w:rPr/>
        <w:t>information</w:t>
      </w:r>
      <w:r>
        <w:rPr>
          <w:spacing w:val="-15"/>
        </w:rPr>
        <w:t> </w:t>
      </w:r>
      <w:r>
        <w:rPr/>
        <w:t>on</w:t>
      </w:r>
      <w:r>
        <w:rPr>
          <w:spacing w:val="-30"/>
        </w:rPr>
        <w:t> </w:t>
      </w:r>
      <w:r>
        <w:rPr/>
        <w:t>how</w:t>
      </w:r>
      <w:r>
        <w:rPr>
          <w:spacing w:val="-24"/>
        </w:rPr>
        <w:t> </w:t>
      </w:r>
      <w:r>
        <w:rPr/>
        <w:t>flood</w:t>
      </w:r>
      <w:r>
        <w:rPr>
          <w:spacing w:val="-23"/>
        </w:rPr>
        <w:t> </w:t>
      </w:r>
      <w:r>
        <w:rPr/>
        <w:t>risk</w:t>
      </w:r>
      <w:r>
        <w:rPr>
          <w:spacing w:val="-25"/>
        </w:rPr>
        <w:t> </w:t>
      </w:r>
      <w:r>
        <w:rPr/>
        <w:t>from</w:t>
      </w:r>
      <w:r>
        <w:rPr>
          <w:spacing w:val="-18"/>
        </w:rPr>
        <w:t> </w:t>
      </w:r>
      <w:r>
        <w:rPr/>
        <w:t>Main</w:t>
      </w:r>
      <w:r>
        <w:rPr>
          <w:spacing w:val="-25"/>
        </w:rPr>
        <w:t> </w:t>
      </w:r>
      <w:r>
        <w:rPr/>
        <w:t>Rivers</w:t>
      </w:r>
      <w:r>
        <w:rPr>
          <w:spacing w:val="-35"/>
        </w:rPr>
        <w:t> </w:t>
      </w:r>
      <w:r>
        <w:rPr/>
        <w:t>is</w:t>
      </w:r>
      <w:r>
        <w:rPr>
          <w:spacing w:val="-33"/>
        </w:rPr>
        <w:t> </w:t>
      </w:r>
      <w:r>
        <w:rPr/>
        <w:t>managed</w:t>
      </w:r>
      <w:r>
        <w:rPr>
          <w:spacing w:val="-22"/>
        </w:rPr>
        <w:t> </w:t>
      </w:r>
      <w:r>
        <w:rPr/>
        <w:t>by</w:t>
      </w:r>
      <w:r>
        <w:rPr>
          <w:spacing w:val="-27"/>
        </w:rPr>
        <w:t> </w:t>
      </w:r>
      <w:r>
        <w:rPr/>
        <w:t>the</w:t>
      </w:r>
      <w:r>
        <w:rPr>
          <w:spacing w:val="-28"/>
        </w:rPr>
        <w:t> </w:t>
      </w:r>
      <w:r>
        <w:rPr/>
        <w:t>EA,</w:t>
      </w:r>
      <w:r>
        <w:rPr>
          <w:spacing w:val="-32"/>
        </w:rPr>
        <w:t> </w:t>
      </w:r>
      <w:r>
        <w:rPr/>
        <w:t>please</w:t>
      </w:r>
      <w:r>
        <w:rPr>
          <w:spacing w:val="-28"/>
        </w:rPr>
        <w:t> </w:t>
      </w:r>
      <w:r>
        <w:rPr/>
        <w:t>refer</w:t>
      </w:r>
      <w:r>
        <w:rPr>
          <w:spacing w:val="-27"/>
        </w:rPr>
        <w:t> </w:t>
      </w:r>
      <w:r>
        <w:rPr/>
        <w:t>to</w:t>
      </w:r>
      <w:r>
        <w:rPr>
          <w:spacing w:val="-32"/>
        </w:rPr>
        <w:t> </w:t>
      </w:r>
      <w:r>
        <w:rPr/>
        <w:t>the Leeds</w:t>
      </w:r>
      <w:r>
        <w:rPr>
          <w:spacing w:val="-34"/>
        </w:rPr>
        <w:t> </w:t>
      </w:r>
      <w:r>
        <w:rPr/>
        <w:t>SFRA,</w:t>
      </w:r>
      <w:r>
        <w:rPr>
          <w:spacing w:val="-31"/>
        </w:rPr>
        <w:t> </w:t>
      </w:r>
      <w:r>
        <w:rPr/>
        <w:t>the</w:t>
      </w:r>
      <w:r>
        <w:rPr>
          <w:spacing w:val="-36"/>
        </w:rPr>
        <w:t> </w:t>
      </w:r>
      <w:r>
        <w:rPr/>
        <w:t>Aire</w:t>
      </w:r>
      <w:r>
        <w:rPr>
          <w:spacing w:val="-34"/>
        </w:rPr>
        <w:t> </w:t>
      </w:r>
      <w:r>
        <w:rPr/>
        <w:t>and</w:t>
      </w:r>
      <w:r>
        <w:rPr>
          <w:spacing w:val="-35"/>
        </w:rPr>
        <w:t> </w:t>
      </w:r>
      <w:r>
        <w:rPr/>
        <w:t>Ouse</w:t>
      </w:r>
      <w:r>
        <w:rPr>
          <w:spacing w:val="-34"/>
        </w:rPr>
        <w:t> </w:t>
      </w:r>
      <w:r>
        <w:rPr/>
        <w:t>Catchment</w:t>
      </w:r>
      <w:r>
        <w:rPr>
          <w:spacing w:val="-25"/>
        </w:rPr>
        <w:t> </w:t>
      </w:r>
      <w:r>
        <w:rPr/>
        <w:t>Flood</w:t>
      </w:r>
      <w:r>
        <w:rPr>
          <w:spacing w:val="-31"/>
        </w:rPr>
        <w:t> </w:t>
      </w:r>
      <w:r>
        <w:rPr/>
        <w:t>Management</w:t>
      </w:r>
      <w:r>
        <w:rPr>
          <w:spacing w:val="-23"/>
        </w:rPr>
        <w:t> </w:t>
      </w:r>
      <w:r>
        <w:rPr/>
        <w:t>Plans</w:t>
      </w:r>
      <w:r>
        <w:rPr>
          <w:spacing w:val="-35"/>
        </w:rPr>
        <w:t> </w:t>
      </w:r>
      <w:r>
        <w:rPr/>
        <w:t>(CFMP),</w:t>
      </w:r>
      <w:r>
        <w:rPr>
          <w:spacing w:val="-31"/>
        </w:rPr>
        <w:t> </w:t>
      </w:r>
      <w:r>
        <w:rPr/>
        <w:t>the</w:t>
      </w:r>
      <w:r>
        <w:rPr>
          <w:spacing w:val="-36"/>
        </w:rPr>
        <w:t> </w:t>
      </w:r>
      <w:r>
        <w:rPr/>
        <w:t>Humber</w:t>
      </w:r>
      <w:r>
        <w:rPr>
          <w:spacing w:val="-31"/>
        </w:rPr>
        <w:t> </w:t>
      </w:r>
      <w:r>
        <w:rPr/>
        <w:t>RBMP and the EA’s National FCERM Strategy for</w:t>
      </w:r>
      <w:r>
        <w:rPr>
          <w:spacing w:val="25"/>
        </w:rPr>
        <w:t> </w:t>
      </w:r>
      <w:r>
        <w:rPr/>
        <w:t>England.</w:t>
      </w:r>
    </w:p>
    <w:p>
      <w:pPr>
        <w:pStyle w:val="BodyText"/>
        <w:spacing w:before="124"/>
        <w:ind w:left="1024"/>
      </w:pPr>
      <w:r>
        <w:rPr/>
        <w:t>The 5 main sources of flooding in Leeds are outlined below.</w:t>
      </w:r>
    </w:p>
    <w:p>
      <w:pPr>
        <w:pStyle w:val="ListParagraph"/>
        <w:numPr>
          <w:ilvl w:val="2"/>
          <w:numId w:val="4"/>
        </w:numPr>
        <w:tabs>
          <w:tab w:pos="1445" w:val="left" w:leader="none"/>
        </w:tabs>
        <w:spacing w:line="264" w:lineRule="auto" w:before="148" w:after="0"/>
        <w:ind w:left="1437" w:right="401" w:hanging="266"/>
        <w:jc w:val="left"/>
        <w:rPr>
          <w:color w:val="EB3D31"/>
          <w:sz w:val="23"/>
        </w:rPr>
      </w:pPr>
      <w:r>
        <w:rPr>
          <w:sz w:val="23"/>
        </w:rPr>
        <w:t>Main</w:t>
      </w:r>
      <w:r>
        <w:rPr>
          <w:spacing w:val="-24"/>
          <w:sz w:val="23"/>
        </w:rPr>
        <w:t> </w:t>
      </w:r>
      <w:r>
        <w:rPr>
          <w:sz w:val="23"/>
        </w:rPr>
        <w:t>Rivers.</w:t>
      </w:r>
      <w:r>
        <w:rPr>
          <w:spacing w:val="-17"/>
          <w:sz w:val="23"/>
        </w:rPr>
        <w:t> </w:t>
      </w:r>
      <w:r>
        <w:rPr>
          <w:sz w:val="23"/>
        </w:rPr>
        <w:t>This</w:t>
      </w:r>
      <w:r>
        <w:rPr>
          <w:spacing w:val="-28"/>
          <w:sz w:val="23"/>
        </w:rPr>
        <w:t> </w:t>
      </w:r>
      <w:r>
        <w:rPr>
          <w:sz w:val="23"/>
        </w:rPr>
        <w:t>type</w:t>
      </w:r>
      <w:r>
        <w:rPr>
          <w:spacing w:val="-26"/>
          <w:sz w:val="23"/>
        </w:rPr>
        <w:t> </w:t>
      </w:r>
      <w:r>
        <w:rPr>
          <w:sz w:val="23"/>
        </w:rPr>
        <w:t>of</w:t>
      </w:r>
      <w:r>
        <w:rPr>
          <w:spacing w:val="-27"/>
          <w:sz w:val="23"/>
        </w:rPr>
        <w:t> </w:t>
      </w:r>
      <w:r>
        <w:rPr>
          <w:sz w:val="23"/>
        </w:rPr>
        <w:t>flooding</w:t>
      </w:r>
      <w:r>
        <w:rPr>
          <w:spacing w:val="-21"/>
          <w:sz w:val="23"/>
        </w:rPr>
        <w:t> </w:t>
      </w:r>
      <w:r>
        <w:rPr>
          <w:sz w:val="23"/>
        </w:rPr>
        <w:t>typically</w:t>
      </w:r>
      <w:r>
        <w:rPr>
          <w:spacing w:val="-18"/>
          <w:sz w:val="23"/>
        </w:rPr>
        <w:t> </w:t>
      </w:r>
      <w:r>
        <w:rPr>
          <w:sz w:val="23"/>
        </w:rPr>
        <w:t>occurs</w:t>
      </w:r>
      <w:r>
        <w:rPr>
          <w:spacing w:val="-25"/>
          <w:sz w:val="23"/>
        </w:rPr>
        <w:t> </w:t>
      </w:r>
      <w:r>
        <w:rPr>
          <w:sz w:val="23"/>
        </w:rPr>
        <w:t>when</w:t>
      </w:r>
      <w:r>
        <w:rPr>
          <w:spacing w:val="-22"/>
          <w:sz w:val="23"/>
        </w:rPr>
        <w:t> </w:t>
      </w:r>
      <w:r>
        <w:rPr>
          <w:sz w:val="23"/>
        </w:rPr>
        <w:t>a</w:t>
      </w:r>
      <w:r>
        <w:rPr>
          <w:spacing w:val="-30"/>
          <w:sz w:val="23"/>
        </w:rPr>
        <w:t> </w:t>
      </w:r>
      <w:r>
        <w:rPr>
          <w:sz w:val="23"/>
        </w:rPr>
        <w:t>watercourse</w:t>
      </w:r>
      <w:r>
        <w:rPr>
          <w:spacing w:val="-19"/>
          <w:sz w:val="23"/>
        </w:rPr>
        <w:t> </w:t>
      </w:r>
      <w:r>
        <w:rPr>
          <w:sz w:val="23"/>
        </w:rPr>
        <w:t>cannot</w:t>
      </w:r>
      <w:r>
        <w:rPr>
          <w:spacing w:val="-25"/>
          <w:sz w:val="23"/>
        </w:rPr>
        <w:t> </w:t>
      </w:r>
      <w:r>
        <w:rPr>
          <w:sz w:val="23"/>
        </w:rPr>
        <w:t>cope</w:t>
      </w:r>
      <w:r>
        <w:rPr>
          <w:spacing w:val="-28"/>
          <w:sz w:val="23"/>
        </w:rPr>
        <w:t> </w:t>
      </w:r>
      <w:r>
        <w:rPr>
          <w:sz w:val="23"/>
        </w:rPr>
        <w:t>with</w:t>
      </w:r>
      <w:r>
        <w:rPr>
          <w:spacing w:val="-27"/>
          <w:sz w:val="23"/>
        </w:rPr>
        <w:t> </w:t>
      </w:r>
      <w:r>
        <w:rPr>
          <w:sz w:val="23"/>
        </w:rPr>
        <w:t>the water</w:t>
      </w:r>
      <w:r>
        <w:rPr>
          <w:spacing w:val="-31"/>
          <w:sz w:val="23"/>
        </w:rPr>
        <w:t> </w:t>
      </w:r>
      <w:r>
        <w:rPr>
          <w:sz w:val="23"/>
        </w:rPr>
        <w:t>draining</w:t>
      </w:r>
      <w:r>
        <w:rPr>
          <w:spacing w:val="-31"/>
          <w:sz w:val="23"/>
        </w:rPr>
        <w:t> </w:t>
      </w:r>
      <w:r>
        <w:rPr>
          <w:sz w:val="23"/>
        </w:rPr>
        <w:t>into</w:t>
      </w:r>
      <w:r>
        <w:rPr>
          <w:spacing w:val="-37"/>
          <w:sz w:val="23"/>
        </w:rPr>
        <w:t> </w:t>
      </w:r>
      <w:r>
        <w:rPr>
          <w:sz w:val="23"/>
        </w:rPr>
        <w:t>it</w:t>
      </w:r>
      <w:r>
        <w:rPr>
          <w:spacing w:val="-34"/>
          <w:sz w:val="23"/>
        </w:rPr>
        <w:t> </w:t>
      </w:r>
      <w:r>
        <w:rPr>
          <w:sz w:val="23"/>
        </w:rPr>
        <w:t>from</w:t>
      </w:r>
      <w:r>
        <w:rPr>
          <w:spacing w:val="-26"/>
          <w:sz w:val="23"/>
        </w:rPr>
        <w:t> </w:t>
      </w:r>
      <w:r>
        <w:rPr>
          <w:sz w:val="23"/>
        </w:rPr>
        <w:t>surrounding</w:t>
      </w:r>
      <w:r>
        <w:rPr>
          <w:spacing w:val="-27"/>
          <w:sz w:val="23"/>
        </w:rPr>
        <w:t> </w:t>
      </w:r>
      <w:r>
        <w:rPr>
          <w:sz w:val="23"/>
        </w:rPr>
        <w:t>land.</w:t>
      </w:r>
      <w:r>
        <w:rPr>
          <w:spacing w:val="-32"/>
          <w:sz w:val="23"/>
        </w:rPr>
        <w:t> </w:t>
      </w:r>
      <w:r>
        <w:rPr>
          <w:sz w:val="23"/>
        </w:rPr>
        <w:t>Main</w:t>
      </w:r>
      <w:r>
        <w:rPr>
          <w:spacing w:val="-32"/>
          <w:sz w:val="23"/>
        </w:rPr>
        <w:t> </w:t>
      </w:r>
      <w:r>
        <w:rPr>
          <w:sz w:val="23"/>
        </w:rPr>
        <w:t>Rivers</w:t>
      </w:r>
      <w:r>
        <w:rPr>
          <w:spacing w:val="-31"/>
          <w:sz w:val="23"/>
        </w:rPr>
        <w:t> </w:t>
      </w:r>
      <w:r>
        <w:rPr>
          <w:sz w:val="23"/>
        </w:rPr>
        <w:t>are</w:t>
      </w:r>
      <w:r>
        <w:rPr>
          <w:spacing w:val="-37"/>
          <w:sz w:val="23"/>
        </w:rPr>
        <w:t> </w:t>
      </w:r>
      <w:r>
        <w:rPr>
          <w:sz w:val="23"/>
        </w:rPr>
        <w:t>usually</w:t>
      </w:r>
      <w:r>
        <w:rPr>
          <w:spacing w:val="-30"/>
          <w:sz w:val="23"/>
        </w:rPr>
        <w:t> </w:t>
      </w:r>
      <w:r>
        <w:rPr>
          <w:sz w:val="23"/>
        </w:rPr>
        <w:t>larger</w:t>
      </w:r>
      <w:r>
        <w:rPr>
          <w:spacing w:val="-31"/>
          <w:sz w:val="23"/>
        </w:rPr>
        <w:t> </w:t>
      </w:r>
      <w:r>
        <w:rPr>
          <w:sz w:val="23"/>
        </w:rPr>
        <w:t>streams</w:t>
      </w:r>
      <w:r>
        <w:rPr>
          <w:spacing w:val="-30"/>
          <w:sz w:val="23"/>
        </w:rPr>
        <w:t> </w:t>
      </w:r>
      <w:r>
        <w:rPr>
          <w:sz w:val="23"/>
        </w:rPr>
        <w:t>and</w:t>
      </w:r>
      <w:r>
        <w:rPr>
          <w:spacing w:val="-32"/>
          <w:sz w:val="23"/>
        </w:rPr>
        <w:t> </w:t>
      </w:r>
      <w:r>
        <w:rPr>
          <w:sz w:val="23"/>
        </w:rPr>
        <w:t>rivers, but also include smaller watercourses of strategic drainage importance, which are not categorised as ‘ordinary</w:t>
      </w:r>
      <w:r>
        <w:rPr>
          <w:spacing w:val="6"/>
          <w:sz w:val="23"/>
        </w:rPr>
        <w:t> </w:t>
      </w:r>
      <w:r>
        <w:rPr>
          <w:sz w:val="23"/>
        </w:rPr>
        <w:t>watercourses’.</w:t>
      </w:r>
    </w:p>
    <w:p>
      <w:pPr>
        <w:pStyle w:val="ListParagraph"/>
        <w:numPr>
          <w:ilvl w:val="2"/>
          <w:numId w:val="4"/>
        </w:numPr>
        <w:tabs>
          <w:tab w:pos="1442" w:val="left" w:leader="none"/>
        </w:tabs>
        <w:spacing w:line="266" w:lineRule="auto" w:before="0" w:after="0"/>
        <w:ind w:left="1442" w:right="239" w:hanging="271"/>
        <w:jc w:val="left"/>
        <w:rPr>
          <w:color w:val="FF2626"/>
          <w:sz w:val="23"/>
        </w:rPr>
      </w:pPr>
      <w:r>
        <w:rPr>
          <w:sz w:val="23"/>
        </w:rPr>
        <w:t>Ordinary watercourses. This type of flooding includes lakes, ponds or other areas of water which</w:t>
      </w:r>
      <w:r>
        <w:rPr>
          <w:spacing w:val="-35"/>
          <w:sz w:val="23"/>
        </w:rPr>
        <w:t> </w:t>
      </w:r>
      <w:r>
        <w:rPr>
          <w:sz w:val="23"/>
        </w:rPr>
        <w:t>flow</w:t>
      </w:r>
      <w:r>
        <w:rPr>
          <w:spacing w:val="-32"/>
          <w:sz w:val="23"/>
        </w:rPr>
        <w:t> </w:t>
      </w:r>
      <w:r>
        <w:rPr>
          <w:sz w:val="23"/>
        </w:rPr>
        <w:t>into</w:t>
      </w:r>
      <w:r>
        <w:rPr>
          <w:spacing w:val="-31"/>
          <w:sz w:val="23"/>
        </w:rPr>
        <w:t> </w:t>
      </w:r>
      <w:r>
        <w:rPr>
          <w:sz w:val="23"/>
        </w:rPr>
        <w:t>an</w:t>
      </w:r>
      <w:r>
        <w:rPr>
          <w:spacing w:val="-36"/>
          <w:sz w:val="23"/>
        </w:rPr>
        <w:t> </w:t>
      </w:r>
      <w:r>
        <w:rPr>
          <w:sz w:val="23"/>
        </w:rPr>
        <w:t>ordinary</w:t>
      </w:r>
      <w:r>
        <w:rPr>
          <w:spacing w:val="-34"/>
          <w:sz w:val="23"/>
        </w:rPr>
        <w:t> </w:t>
      </w:r>
      <w:r>
        <w:rPr>
          <w:sz w:val="23"/>
        </w:rPr>
        <w:t>watercourse</w:t>
      </w:r>
      <w:r>
        <w:rPr>
          <w:spacing w:val="-33"/>
          <w:sz w:val="23"/>
        </w:rPr>
        <w:t> </w:t>
      </w:r>
      <w:r>
        <w:rPr>
          <w:sz w:val="23"/>
        </w:rPr>
        <w:t>(not</w:t>
      </w:r>
      <w:r>
        <w:rPr>
          <w:spacing w:val="-32"/>
          <w:sz w:val="23"/>
        </w:rPr>
        <w:t> </w:t>
      </w:r>
      <w:r>
        <w:rPr>
          <w:sz w:val="23"/>
        </w:rPr>
        <w:t>Main</w:t>
      </w:r>
      <w:r>
        <w:rPr>
          <w:spacing w:val="-33"/>
          <w:sz w:val="23"/>
        </w:rPr>
        <w:t> </w:t>
      </w:r>
      <w:r>
        <w:rPr>
          <w:sz w:val="23"/>
        </w:rPr>
        <w:t>River).</w:t>
      </w:r>
      <w:r>
        <w:rPr>
          <w:spacing w:val="-31"/>
          <w:sz w:val="23"/>
        </w:rPr>
        <w:t> </w:t>
      </w:r>
      <w:r>
        <w:rPr>
          <w:sz w:val="23"/>
        </w:rPr>
        <w:t>It</w:t>
      </w:r>
      <w:r>
        <w:rPr>
          <w:spacing w:val="-37"/>
          <w:sz w:val="23"/>
        </w:rPr>
        <w:t> </w:t>
      </w:r>
      <w:r>
        <w:rPr>
          <w:sz w:val="23"/>
        </w:rPr>
        <w:t>typically</w:t>
      </w:r>
      <w:r>
        <w:rPr>
          <w:spacing w:val="-29"/>
          <w:sz w:val="23"/>
        </w:rPr>
        <w:t> </w:t>
      </w:r>
      <w:r>
        <w:rPr>
          <w:sz w:val="23"/>
        </w:rPr>
        <w:t>occurs</w:t>
      </w:r>
      <w:r>
        <w:rPr>
          <w:spacing w:val="-33"/>
          <w:sz w:val="23"/>
        </w:rPr>
        <w:t> </w:t>
      </w:r>
      <w:r>
        <w:rPr>
          <w:sz w:val="23"/>
        </w:rPr>
        <w:t>when</w:t>
      </w:r>
      <w:r>
        <w:rPr>
          <w:spacing w:val="-32"/>
          <w:sz w:val="23"/>
        </w:rPr>
        <w:t> </w:t>
      </w:r>
      <w:r>
        <w:rPr>
          <w:sz w:val="23"/>
        </w:rPr>
        <w:t>a</w:t>
      </w:r>
      <w:r>
        <w:rPr>
          <w:spacing w:val="-39"/>
          <w:sz w:val="23"/>
        </w:rPr>
        <w:t> </w:t>
      </w:r>
      <w:r>
        <w:rPr>
          <w:sz w:val="23"/>
        </w:rPr>
        <w:t>watercourse cannot cope with the water draining into it from surrounding</w:t>
      </w:r>
      <w:r>
        <w:rPr>
          <w:spacing w:val="-19"/>
          <w:sz w:val="23"/>
        </w:rPr>
        <w:t> </w:t>
      </w:r>
      <w:r>
        <w:rPr>
          <w:sz w:val="23"/>
        </w:rPr>
        <w:t>land.</w:t>
      </w:r>
    </w:p>
    <w:p>
      <w:pPr>
        <w:pStyle w:val="ListParagraph"/>
        <w:numPr>
          <w:ilvl w:val="2"/>
          <w:numId w:val="4"/>
        </w:numPr>
        <w:tabs>
          <w:tab w:pos="1443" w:val="left" w:leader="none"/>
        </w:tabs>
        <w:spacing w:line="266" w:lineRule="auto" w:before="0" w:after="0"/>
        <w:ind w:left="1437" w:right="549" w:hanging="266"/>
        <w:jc w:val="both"/>
        <w:rPr>
          <w:color w:val="F0522A"/>
          <w:sz w:val="23"/>
        </w:rPr>
      </w:pPr>
      <w:r>
        <w:rPr>
          <w:sz w:val="23"/>
        </w:rPr>
        <w:t>Surface</w:t>
      </w:r>
      <w:r>
        <w:rPr>
          <w:spacing w:val="-28"/>
          <w:sz w:val="23"/>
        </w:rPr>
        <w:t> </w:t>
      </w:r>
      <w:r>
        <w:rPr>
          <w:sz w:val="23"/>
        </w:rPr>
        <w:t>water.</w:t>
      </w:r>
      <w:r>
        <w:rPr>
          <w:spacing w:val="-28"/>
          <w:sz w:val="23"/>
        </w:rPr>
        <w:t> </w:t>
      </w:r>
      <w:r>
        <w:rPr>
          <w:sz w:val="23"/>
        </w:rPr>
        <w:t>This</w:t>
      </w:r>
      <w:r>
        <w:rPr>
          <w:spacing w:val="-32"/>
          <w:sz w:val="23"/>
        </w:rPr>
        <w:t> </w:t>
      </w:r>
      <w:r>
        <w:rPr>
          <w:sz w:val="23"/>
        </w:rPr>
        <w:t>type</w:t>
      </w:r>
      <w:r>
        <w:rPr>
          <w:spacing w:val="-29"/>
          <w:sz w:val="23"/>
        </w:rPr>
        <w:t> </w:t>
      </w:r>
      <w:r>
        <w:rPr>
          <w:sz w:val="23"/>
        </w:rPr>
        <w:t>of</w:t>
      </w:r>
      <w:r>
        <w:rPr>
          <w:spacing w:val="-36"/>
          <w:sz w:val="23"/>
        </w:rPr>
        <w:t> </w:t>
      </w:r>
      <w:r>
        <w:rPr>
          <w:sz w:val="23"/>
        </w:rPr>
        <w:t>flooding</w:t>
      </w:r>
      <w:r>
        <w:rPr>
          <w:spacing w:val="-21"/>
          <w:sz w:val="23"/>
        </w:rPr>
        <w:t> </w:t>
      </w:r>
      <w:r>
        <w:rPr>
          <w:sz w:val="23"/>
        </w:rPr>
        <w:t>occurs</w:t>
      </w:r>
      <w:r>
        <w:rPr>
          <w:spacing w:val="-28"/>
          <w:sz w:val="23"/>
        </w:rPr>
        <w:t> </w:t>
      </w:r>
      <w:r>
        <w:rPr>
          <w:sz w:val="23"/>
        </w:rPr>
        <w:t>when</w:t>
      </w:r>
      <w:r>
        <w:rPr>
          <w:spacing w:val="-30"/>
          <w:sz w:val="23"/>
        </w:rPr>
        <w:t> </w:t>
      </w:r>
      <w:r>
        <w:rPr>
          <w:sz w:val="23"/>
        </w:rPr>
        <w:t>rainwater</w:t>
      </w:r>
      <w:r>
        <w:rPr>
          <w:spacing w:val="-24"/>
          <w:sz w:val="23"/>
        </w:rPr>
        <w:t> </w:t>
      </w:r>
      <w:r>
        <w:rPr>
          <w:sz w:val="23"/>
        </w:rPr>
        <w:t>does</w:t>
      </w:r>
      <w:r>
        <w:rPr>
          <w:spacing w:val="-33"/>
          <w:sz w:val="23"/>
        </w:rPr>
        <w:t> </w:t>
      </w:r>
      <w:r>
        <w:rPr>
          <w:sz w:val="23"/>
        </w:rPr>
        <w:t>not</w:t>
      </w:r>
      <w:r>
        <w:rPr>
          <w:spacing w:val="-26"/>
          <w:sz w:val="23"/>
        </w:rPr>
        <w:t> </w:t>
      </w:r>
      <w:r>
        <w:rPr>
          <w:sz w:val="23"/>
        </w:rPr>
        <w:t>drain</w:t>
      </w:r>
      <w:r>
        <w:rPr>
          <w:spacing w:val="-26"/>
          <w:sz w:val="23"/>
        </w:rPr>
        <w:t> </w:t>
      </w:r>
      <w:r>
        <w:rPr>
          <w:sz w:val="23"/>
        </w:rPr>
        <w:t>away</w:t>
      </w:r>
      <w:r>
        <w:rPr>
          <w:spacing w:val="-28"/>
          <w:sz w:val="23"/>
        </w:rPr>
        <w:t> </w:t>
      </w:r>
      <w:r>
        <w:rPr>
          <w:sz w:val="23"/>
        </w:rPr>
        <w:t>through</w:t>
      </w:r>
      <w:r>
        <w:rPr>
          <w:spacing w:val="-28"/>
          <w:sz w:val="23"/>
        </w:rPr>
        <w:t> </w:t>
      </w:r>
      <w:r>
        <w:rPr>
          <w:sz w:val="23"/>
        </w:rPr>
        <w:t>the normal</w:t>
      </w:r>
      <w:r>
        <w:rPr>
          <w:spacing w:val="-19"/>
          <w:sz w:val="23"/>
        </w:rPr>
        <w:t> </w:t>
      </w:r>
      <w:r>
        <w:rPr>
          <w:sz w:val="23"/>
        </w:rPr>
        <w:t>drainage</w:t>
      </w:r>
      <w:r>
        <w:rPr>
          <w:spacing w:val="-22"/>
          <w:sz w:val="23"/>
        </w:rPr>
        <w:t> </w:t>
      </w:r>
      <w:r>
        <w:rPr>
          <w:sz w:val="23"/>
        </w:rPr>
        <w:t>system</w:t>
      </w:r>
      <w:r>
        <w:rPr>
          <w:spacing w:val="-22"/>
          <w:sz w:val="23"/>
        </w:rPr>
        <w:t> </w:t>
      </w:r>
      <w:r>
        <w:rPr>
          <w:sz w:val="23"/>
        </w:rPr>
        <w:t>or</w:t>
      </w:r>
      <w:r>
        <w:rPr>
          <w:spacing w:val="-29"/>
          <w:sz w:val="23"/>
        </w:rPr>
        <w:t> </w:t>
      </w:r>
      <w:r>
        <w:rPr>
          <w:sz w:val="23"/>
        </w:rPr>
        <w:t>soak</w:t>
      </w:r>
      <w:r>
        <w:rPr>
          <w:spacing w:val="-27"/>
          <w:sz w:val="23"/>
        </w:rPr>
        <w:t> </w:t>
      </w:r>
      <w:r>
        <w:rPr>
          <w:sz w:val="23"/>
        </w:rPr>
        <w:t>into</w:t>
      </w:r>
      <w:r>
        <w:rPr>
          <w:spacing w:val="-31"/>
          <w:sz w:val="23"/>
        </w:rPr>
        <w:t> </w:t>
      </w:r>
      <w:r>
        <w:rPr>
          <w:sz w:val="23"/>
        </w:rPr>
        <w:t>the</w:t>
      </w:r>
      <w:r>
        <w:rPr>
          <w:spacing w:val="-29"/>
          <w:sz w:val="23"/>
        </w:rPr>
        <w:t> </w:t>
      </w:r>
      <w:r>
        <w:rPr>
          <w:sz w:val="23"/>
        </w:rPr>
        <w:t>ground,</w:t>
      </w:r>
      <w:r>
        <w:rPr>
          <w:spacing w:val="-30"/>
          <w:sz w:val="23"/>
        </w:rPr>
        <w:t> </w:t>
      </w:r>
      <w:r>
        <w:rPr>
          <w:sz w:val="23"/>
        </w:rPr>
        <w:t>but</w:t>
      </w:r>
      <w:r>
        <w:rPr>
          <w:spacing w:val="-29"/>
          <w:sz w:val="23"/>
        </w:rPr>
        <w:t> </w:t>
      </w:r>
      <w:r>
        <w:rPr>
          <w:sz w:val="23"/>
        </w:rPr>
        <w:t>lies</w:t>
      </w:r>
      <w:r>
        <w:rPr>
          <w:spacing w:val="-34"/>
          <w:sz w:val="23"/>
        </w:rPr>
        <w:t> </w:t>
      </w:r>
      <w:r>
        <w:rPr>
          <w:sz w:val="23"/>
        </w:rPr>
        <w:t>on</w:t>
      </w:r>
      <w:r>
        <w:rPr>
          <w:spacing w:val="-28"/>
          <w:sz w:val="23"/>
        </w:rPr>
        <w:t> </w:t>
      </w:r>
      <w:r>
        <w:rPr>
          <w:sz w:val="23"/>
        </w:rPr>
        <w:t>or</w:t>
      </w:r>
      <w:r>
        <w:rPr>
          <w:spacing w:val="-31"/>
          <w:sz w:val="23"/>
        </w:rPr>
        <w:t> </w:t>
      </w:r>
      <w:r>
        <w:rPr>
          <w:sz w:val="23"/>
        </w:rPr>
        <w:t>flows</w:t>
      </w:r>
      <w:r>
        <w:rPr>
          <w:spacing w:val="-26"/>
          <w:sz w:val="23"/>
        </w:rPr>
        <w:t> </w:t>
      </w:r>
      <w:r>
        <w:rPr>
          <w:sz w:val="23"/>
        </w:rPr>
        <w:t>over</w:t>
      </w:r>
      <w:r>
        <w:rPr>
          <w:spacing w:val="-29"/>
          <w:sz w:val="23"/>
        </w:rPr>
        <w:t> </w:t>
      </w:r>
      <w:r>
        <w:rPr>
          <w:sz w:val="23"/>
        </w:rPr>
        <w:t>the</w:t>
      </w:r>
      <w:r>
        <w:rPr>
          <w:spacing w:val="-29"/>
          <w:sz w:val="23"/>
        </w:rPr>
        <w:t> </w:t>
      </w:r>
      <w:r>
        <w:rPr>
          <w:sz w:val="23"/>
        </w:rPr>
        <w:t>ground</w:t>
      </w:r>
      <w:r>
        <w:rPr>
          <w:spacing w:val="-24"/>
          <w:sz w:val="23"/>
        </w:rPr>
        <w:t> </w:t>
      </w:r>
      <w:r>
        <w:rPr>
          <w:sz w:val="23"/>
        </w:rPr>
        <w:t>surface instead.</w:t>
      </w:r>
    </w:p>
    <w:p>
      <w:pPr>
        <w:pStyle w:val="ListParagraph"/>
        <w:numPr>
          <w:ilvl w:val="2"/>
          <w:numId w:val="4"/>
        </w:numPr>
        <w:tabs>
          <w:tab w:pos="1443" w:val="left" w:leader="none"/>
        </w:tabs>
        <w:spacing w:line="264" w:lineRule="auto" w:before="0" w:after="0"/>
        <w:ind w:left="1437" w:right="349" w:hanging="266"/>
        <w:jc w:val="left"/>
        <w:rPr>
          <w:color w:val="E2421C"/>
          <w:sz w:val="23"/>
        </w:rPr>
      </w:pPr>
      <w:r>
        <w:rPr>
          <w:sz w:val="23"/>
        </w:rPr>
        <w:t>Sewers. This strategy only covers sewer flooding where it is wholly or partially caused by rainwater.</w:t>
      </w:r>
      <w:r>
        <w:rPr>
          <w:spacing w:val="-25"/>
          <w:sz w:val="23"/>
        </w:rPr>
        <w:t> </w:t>
      </w:r>
      <w:r>
        <w:rPr>
          <w:sz w:val="23"/>
        </w:rPr>
        <w:t>This</w:t>
      </w:r>
      <w:r>
        <w:rPr>
          <w:spacing w:val="-34"/>
          <w:sz w:val="23"/>
        </w:rPr>
        <w:t> </w:t>
      </w:r>
      <w:r>
        <w:rPr>
          <w:sz w:val="23"/>
        </w:rPr>
        <w:t>type</w:t>
      </w:r>
      <w:r>
        <w:rPr>
          <w:spacing w:val="-29"/>
          <w:sz w:val="23"/>
        </w:rPr>
        <w:t> </w:t>
      </w:r>
      <w:r>
        <w:rPr>
          <w:sz w:val="23"/>
        </w:rPr>
        <w:t>of</w:t>
      </w:r>
      <w:r>
        <w:rPr>
          <w:spacing w:val="-36"/>
          <w:sz w:val="23"/>
        </w:rPr>
        <w:t> </w:t>
      </w:r>
      <w:r>
        <w:rPr>
          <w:sz w:val="23"/>
        </w:rPr>
        <w:t>flooding</w:t>
      </w:r>
      <w:r>
        <w:rPr>
          <w:spacing w:val="-26"/>
          <w:sz w:val="23"/>
        </w:rPr>
        <w:t> </w:t>
      </w:r>
      <w:r>
        <w:rPr>
          <w:sz w:val="23"/>
        </w:rPr>
        <w:t>occurs</w:t>
      </w:r>
      <w:r>
        <w:rPr>
          <w:spacing w:val="-32"/>
          <w:sz w:val="23"/>
        </w:rPr>
        <w:t> </w:t>
      </w:r>
      <w:r>
        <w:rPr>
          <w:sz w:val="23"/>
        </w:rPr>
        <w:t>when</w:t>
      </w:r>
      <w:r>
        <w:rPr>
          <w:spacing w:val="-29"/>
          <w:sz w:val="23"/>
        </w:rPr>
        <w:t> </w:t>
      </w:r>
      <w:r>
        <w:rPr>
          <w:sz w:val="23"/>
        </w:rPr>
        <w:t>sewers</w:t>
      </w:r>
      <w:r>
        <w:rPr>
          <w:spacing w:val="-31"/>
          <w:sz w:val="23"/>
        </w:rPr>
        <w:t> </w:t>
      </w:r>
      <w:r>
        <w:rPr>
          <w:sz w:val="23"/>
        </w:rPr>
        <w:t>are</w:t>
      </w:r>
      <w:r>
        <w:rPr>
          <w:spacing w:val="-34"/>
          <w:sz w:val="23"/>
        </w:rPr>
        <w:t> </w:t>
      </w:r>
      <w:r>
        <w:rPr>
          <w:sz w:val="23"/>
        </w:rPr>
        <w:t>overwhelmed</w:t>
      </w:r>
      <w:r>
        <w:rPr>
          <w:spacing w:val="-29"/>
          <w:sz w:val="23"/>
        </w:rPr>
        <w:t> </w:t>
      </w:r>
      <w:r>
        <w:rPr>
          <w:sz w:val="23"/>
        </w:rPr>
        <w:t>by</w:t>
      </w:r>
      <w:r>
        <w:rPr>
          <w:spacing w:val="-34"/>
          <w:sz w:val="23"/>
        </w:rPr>
        <w:t> </w:t>
      </w:r>
      <w:r>
        <w:rPr>
          <w:sz w:val="23"/>
        </w:rPr>
        <w:t>heavy</w:t>
      </w:r>
      <w:r>
        <w:rPr>
          <w:spacing w:val="-32"/>
          <w:sz w:val="23"/>
        </w:rPr>
        <w:t> </w:t>
      </w:r>
      <w:r>
        <w:rPr>
          <w:sz w:val="23"/>
        </w:rPr>
        <w:t>rainfall</w:t>
      </w:r>
      <w:r>
        <w:rPr>
          <w:spacing w:val="-30"/>
          <w:sz w:val="23"/>
        </w:rPr>
        <w:t> </w:t>
      </w:r>
      <w:r>
        <w:rPr>
          <w:sz w:val="23"/>
        </w:rPr>
        <w:t>or</w:t>
      </w:r>
      <w:r>
        <w:rPr>
          <w:spacing w:val="-36"/>
          <w:sz w:val="23"/>
        </w:rPr>
        <w:t> </w:t>
      </w:r>
      <w:r>
        <w:rPr>
          <w:sz w:val="23"/>
        </w:rPr>
        <w:t>they become</w:t>
      </w:r>
      <w:r>
        <w:rPr>
          <w:spacing w:val="-26"/>
          <w:sz w:val="23"/>
        </w:rPr>
        <w:t> </w:t>
      </w:r>
      <w:r>
        <w:rPr>
          <w:sz w:val="23"/>
        </w:rPr>
        <w:t>blocked.</w:t>
      </w:r>
      <w:r>
        <w:rPr>
          <w:spacing w:val="-14"/>
          <w:sz w:val="23"/>
        </w:rPr>
        <w:t> </w:t>
      </w:r>
      <w:r>
        <w:rPr>
          <w:sz w:val="23"/>
        </w:rPr>
        <w:t>The</w:t>
      </w:r>
      <w:r>
        <w:rPr>
          <w:spacing w:val="-26"/>
          <w:sz w:val="23"/>
        </w:rPr>
        <w:t> </w:t>
      </w:r>
      <w:r>
        <w:rPr>
          <w:sz w:val="23"/>
        </w:rPr>
        <w:t>chance</w:t>
      </w:r>
      <w:r>
        <w:rPr>
          <w:spacing w:val="-23"/>
          <w:sz w:val="23"/>
        </w:rPr>
        <w:t> </w:t>
      </w:r>
      <w:r>
        <w:rPr>
          <w:sz w:val="23"/>
        </w:rPr>
        <w:t>of</w:t>
      </w:r>
      <w:r>
        <w:rPr>
          <w:spacing w:val="-25"/>
          <w:sz w:val="23"/>
        </w:rPr>
        <w:t> </w:t>
      </w:r>
      <w:r>
        <w:rPr>
          <w:sz w:val="23"/>
        </w:rPr>
        <w:t>flooding</w:t>
      </w:r>
      <w:r>
        <w:rPr>
          <w:spacing w:val="-18"/>
          <w:sz w:val="23"/>
        </w:rPr>
        <w:t> </w:t>
      </w:r>
      <w:r>
        <w:rPr>
          <w:sz w:val="23"/>
        </w:rPr>
        <w:t>depends</w:t>
      </w:r>
      <w:r>
        <w:rPr>
          <w:spacing w:val="-22"/>
          <w:sz w:val="23"/>
        </w:rPr>
        <w:t> </w:t>
      </w:r>
      <w:r>
        <w:rPr>
          <w:sz w:val="23"/>
        </w:rPr>
        <w:t>on</w:t>
      </w:r>
      <w:r>
        <w:rPr>
          <w:spacing w:val="-30"/>
          <w:sz w:val="23"/>
        </w:rPr>
        <w:t> </w:t>
      </w:r>
      <w:r>
        <w:rPr>
          <w:sz w:val="23"/>
        </w:rPr>
        <w:t>the</w:t>
      </w:r>
      <w:r>
        <w:rPr>
          <w:spacing w:val="-26"/>
          <w:sz w:val="23"/>
        </w:rPr>
        <w:t> </w:t>
      </w:r>
      <w:r>
        <w:rPr>
          <w:sz w:val="23"/>
        </w:rPr>
        <w:t>capacity</w:t>
      </w:r>
      <w:r>
        <w:rPr>
          <w:spacing w:val="-18"/>
          <w:sz w:val="23"/>
        </w:rPr>
        <w:t> </w:t>
      </w:r>
      <w:r>
        <w:rPr>
          <w:sz w:val="23"/>
        </w:rPr>
        <w:t>of</w:t>
      </w:r>
      <w:r>
        <w:rPr>
          <w:spacing w:val="-27"/>
          <w:sz w:val="23"/>
        </w:rPr>
        <w:t> </w:t>
      </w:r>
      <w:r>
        <w:rPr>
          <w:sz w:val="23"/>
        </w:rPr>
        <w:t>the</w:t>
      </w:r>
      <w:r>
        <w:rPr>
          <w:spacing w:val="-29"/>
          <w:sz w:val="23"/>
        </w:rPr>
        <w:t> </w:t>
      </w:r>
      <w:r>
        <w:rPr>
          <w:sz w:val="23"/>
        </w:rPr>
        <w:t>local</w:t>
      </w:r>
      <w:r>
        <w:rPr>
          <w:spacing w:val="-23"/>
          <w:sz w:val="23"/>
        </w:rPr>
        <w:t> </w:t>
      </w:r>
      <w:r>
        <w:rPr>
          <w:sz w:val="23"/>
        </w:rPr>
        <w:t>sewer</w:t>
      </w:r>
      <w:r>
        <w:rPr>
          <w:spacing w:val="-21"/>
          <w:sz w:val="23"/>
        </w:rPr>
        <w:t> </w:t>
      </w:r>
      <w:r>
        <w:rPr>
          <w:sz w:val="23"/>
        </w:rPr>
        <w:t>system and amount of rain that</w:t>
      </w:r>
      <w:r>
        <w:rPr>
          <w:spacing w:val="9"/>
          <w:sz w:val="23"/>
        </w:rPr>
        <w:t> </w:t>
      </w:r>
      <w:r>
        <w:rPr>
          <w:sz w:val="23"/>
        </w:rPr>
        <w:t>falls.</w:t>
      </w:r>
    </w:p>
    <w:p>
      <w:pPr>
        <w:pStyle w:val="ListParagraph"/>
        <w:numPr>
          <w:ilvl w:val="2"/>
          <w:numId w:val="4"/>
        </w:numPr>
        <w:tabs>
          <w:tab w:pos="1441" w:val="left" w:leader="none"/>
        </w:tabs>
        <w:spacing w:line="266" w:lineRule="auto" w:before="0" w:after="0"/>
        <w:ind w:left="1442" w:right="605" w:hanging="271"/>
        <w:jc w:val="both"/>
        <w:rPr>
          <w:color w:val="FF362F"/>
          <w:sz w:val="23"/>
        </w:rPr>
      </w:pPr>
      <w:r>
        <w:rPr>
          <w:sz w:val="23"/>
        </w:rPr>
        <w:t>Groundwater.</w:t>
      </w:r>
      <w:r>
        <w:rPr>
          <w:spacing w:val="-18"/>
          <w:sz w:val="23"/>
        </w:rPr>
        <w:t> </w:t>
      </w:r>
      <w:r>
        <w:rPr>
          <w:sz w:val="23"/>
        </w:rPr>
        <w:t>This</w:t>
      </w:r>
      <w:r>
        <w:rPr>
          <w:spacing w:val="-32"/>
          <w:sz w:val="23"/>
        </w:rPr>
        <w:t> </w:t>
      </w:r>
      <w:r>
        <w:rPr>
          <w:sz w:val="23"/>
        </w:rPr>
        <w:t>type</w:t>
      </w:r>
      <w:r>
        <w:rPr>
          <w:spacing w:val="-28"/>
          <w:sz w:val="23"/>
        </w:rPr>
        <w:t> </w:t>
      </w:r>
      <w:r>
        <w:rPr>
          <w:sz w:val="23"/>
        </w:rPr>
        <w:t>of</w:t>
      </w:r>
      <w:r>
        <w:rPr>
          <w:spacing w:val="-34"/>
          <w:sz w:val="23"/>
        </w:rPr>
        <w:t> </w:t>
      </w:r>
      <w:r>
        <w:rPr>
          <w:sz w:val="23"/>
        </w:rPr>
        <w:t>flooding</w:t>
      </w:r>
      <w:r>
        <w:rPr>
          <w:spacing w:val="-22"/>
          <w:sz w:val="23"/>
        </w:rPr>
        <w:t> </w:t>
      </w:r>
      <w:r>
        <w:rPr>
          <w:sz w:val="23"/>
        </w:rPr>
        <w:t>occurs</w:t>
      </w:r>
      <w:r>
        <w:rPr>
          <w:spacing w:val="-27"/>
          <w:sz w:val="23"/>
        </w:rPr>
        <w:t> </w:t>
      </w:r>
      <w:r>
        <w:rPr>
          <w:sz w:val="23"/>
        </w:rPr>
        <w:t>when</w:t>
      </w:r>
      <w:r>
        <w:rPr>
          <w:spacing w:val="-29"/>
          <w:sz w:val="23"/>
        </w:rPr>
        <w:t> </w:t>
      </w:r>
      <w:r>
        <w:rPr>
          <w:sz w:val="23"/>
        </w:rPr>
        <w:t>levels</w:t>
      </w:r>
      <w:r>
        <w:rPr>
          <w:spacing w:val="-27"/>
          <w:sz w:val="23"/>
        </w:rPr>
        <w:t> </w:t>
      </w:r>
      <w:r>
        <w:rPr>
          <w:sz w:val="23"/>
        </w:rPr>
        <w:t>of</w:t>
      </w:r>
      <w:r>
        <w:rPr>
          <w:spacing w:val="-29"/>
          <w:sz w:val="23"/>
        </w:rPr>
        <w:t> </w:t>
      </w:r>
      <w:r>
        <w:rPr>
          <w:sz w:val="23"/>
        </w:rPr>
        <w:t>water</w:t>
      </w:r>
      <w:r>
        <w:rPr>
          <w:spacing w:val="-30"/>
          <w:sz w:val="23"/>
        </w:rPr>
        <w:t> </w:t>
      </w:r>
      <w:r>
        <w:rPr>
          <w:sz w:val="23"/>
        </w:rPr>
        <w:t>in</w:t>
      </w:r>
      <w:r>
        <w:rPr>
          <w:spacing w:val="-33"/>
          <w:sz w:val="23"/>
        </w:rPr>
        <w:t> </w:t>
      </w:r>
      <w:r>
        <w:rPr>
          <w:sz w:val="23"/>
        </w:rPr>
        <w:t>the</w:t>
      </w:r>
      <w:r>
        <w:rPr>
          <w:spacing w:val="-30"/>
          <w:sz w:val="23"/>
        </w:rPr>
        <w:t> </w:t>
      </w:r>
      <w:r>
        <w:rPr>
          <w:sz w:val="23"/>
        </w:rPr>
        <w:t>ground</w:t>
      </w:r>
      <w:r>
        <w:rPr>
          <w:spacing w:val="-28"/>
          <w:sz w:val="23"/>
        </w:rPr>
        <w:t> </w:t>
      </w:r>
      <w:r>
        <w:rPr>
          <w:sz w:val="23"/>
        </w:rPr>
        <w:t>rise</w:t>
      </w:r>
      <w:r>
        <w:rPr>
          <w:spacing w:val="-31"/>
          <w:sz w:val="23"/>
        </w:rPr>
        <w:t> </w:t>
      </w:r>
      <w:r>
        <w:rPr>
          <w:sz w:val="23"/>
        </w:rPr>
        <w:t>above</w:t>
      </w:r>
      <w:r>
        <w:rPr>
          <w:spacing w:val="-32"/>
          <w:sz w:val="23"/>
        </w:rPr>
        <w:t> </w:t>
      </w:r>
      <w:r>
        <w:rPr>
          <w:sz w:val="23"/>
        </w:rPr>
        <w:t>the surface.</w:t>
      </w:r>
      <w:r>
        <w:rPr>
          <w:spacing w:val="-24"/>
          <w:sz w:val="23"/>
        </w:rPr>
        <w:t> </w:t>
      </w:r>
      <w:r>
        <w:rPr>
          <w:sz w:val="23"/>
        </w:rPr>
        <w:t>It</w:t>
      </w:r>
      <w:r>
        <w:rPr>
          <w:spacing w:val="-34"/>
          <w:sz w:val="23"/>
        </w:rPr>
        <w:t> </w:t>
      </w:r>
      <w:r>
        <w:rPr>
          <w:sz w:val="23"/>
        </w:rPr>
        <w:t>is</w:t>
      </w:r>
      <w:r>
        <w:rPr>
          <w:spacing w:val="-35"/>
          <w:sz w:val="23"/>
        </w:rPr>
        <w:t> </w:t>
      </w:r>
      <w:r>
        <w:rPr>
          <w:sz w:val="23"/>
        </w:rPr>
        <w:t>most</w:t>
      </w:r>
      <w:r>
        <w:rPr>
          <w:spacing w:val="-29"/>
          <w:sz w:val="23"/>
        </w:rPr>
        <w:t> </w:t>
      </w:r>
      <w:r>
        <w:rPr>
          <w:sz w:val="23"/>
        </w:rPr>
        <w:t>likely</w:t>
      </w:r>
      <w:r>
        <w:rPr>
          <w:spacing w:val="-33"/>
          <w:sz w:val="23"/>
        </w:rPr>
        <w:t> </w:t>
      </w:r>
      <w:r>
        <w:rPr>
          <w:sz w:val="23"/>
        </w:rPr>
        <w:t>to</w:t>
      </w:r>
      <w:r>
        <w:rPr>
          <w:spacing w:val="-35"/>
          <w:sz w:val="23"/>
        </w:rPr>
        <w:t> </w:t>
      </w:r>
      <w:r>
        <w:rPr>
          <w:sz w:val="23"/>
        </w:rPr>
        <w:t>happen</w:t>
      </w:r>
      <w:r>
        <w:rPr>
          <w:spacing w:val="-26"/>
          <w:sz w:val="23"/>
        </w:rPr>
        <w:t> </w:t>
      </w:r>
      <w:r>
        <w:rPr>
          <w:sz w:val="23"/>
        </w:rPr>
        <w:t>in</w:t>
      </w:r>
      <w:r>
        <w:rPr>
          <w:spacing w:val="-30"/>
          <w:sz w:val="23"/>
        </w:rPr>
        <w:t> </w:t>
      </w:r>
      <w:r>
        <w:rPr>
          <w:sz w:val="23"/>
        </w:rPr>
        <w:t>areas</w:t>
      </w:r>
      <w:r>
        <w:rPr>
          <w:spacing w:val="-27"/>
          <w:sz w:val="23"/>
        </w:rPr>
        <w:t> </w:t>
      </w:r>
      <w:r>
        <w:rPr>
          <w:sz w:val="23"/>
        </w:rPr>
        <w:t>where</w:t>
      </w:r>
      <w:r>
        <w:rPr>
          <w:spacing w:val="-25"/>
          <w:sz w:val="23"/>
        </w:rPr>
        <w:t> </w:t>
      </w:r>
      <w:r>
        <w:rPr>
          <w:sz w:val="23"/>
        </w:rPr>
        <w:t>the</w:t>
      </w:r>
      <w:r>
        <w:rPr>
          <w:spacing w:val="-30"/>
          <w:sz w:val="23"/>
        </w:rPr>
        <w:t> </w:t>
      </w:r>
      <w:r>
        <w:rPr>
          <w:sz w:val="23"/>
        </w:rPr>
        <w:t>ground</w:t>
      </w:r>
      <w:r>
        <w:rPr>
          <w:spacing w:val="-24"/>
          <w:sz w:val="23"/>
        </w:rPr>
        <w:t> </w:t>
      </w:r>
      <w:r>
        <w:rPr>
          <w:sz w:val="23"/>
        </w:rPr>
        <w:t>contains</w:t>
      </w:r>
      <w:r>
        <w:rPr>
          <w:spacing w:val="-28"/>
          <w:sz w:val="23"/>
        </w:rPr>
        <w:t> </w:t>
      </w:r>
      <w:r>
        <w:rPr>
          <w:sz w:val="23"/>
        </w:rPr>
        <w:t>permeable</w:t>
      </w:r>
      <w:r>
        <w:rPr>
          <w:spacing w:val="-27"/>
          <w:sz w:val="23"/>
        </w:rPr>
        <w:t> </w:t>
      </w:r>
      <w:r>
        <w:rPr>
          <w:sz w:val="23"/>
        </w:rPr>
        <w:t>rocks</w:t>
      </w:r>
      <w:r>
        <w:rPr>
          <w:spacing w:val="-30"/>
          <w:sz w:val="23"/>
        </w:rPr>
        <w:t> </w:t>
      </w:r>
      <w:r>
        <w:rPr>
          <w:sz w:val="23"/>
        </w:rPr>
        <w:t>that water can soak into or pass through</w:t>
      </w:r>
      <w:r>
        <w:rPr>
          <w:spacing w:val="18"/>
          <w:sz w:val="23"/>
        </w:rPr>
        <w:t> </w:t>
      </w:r>
      <w:r>
        <w:rPr>
          <w:sz w:val="23"/>
        </w:rPr>
        <w:t>easily.</w:t>
      </w:r>
    </w:p>
    <w:p>
      <w:pPr>
        <w:pStyle w:val="ListParagraph"/>
        <w:numPr>
          <w:ilvl w:val="1"/>
          <w:numId w:val="4"/>
        </w:numPr>
        <w:tabs>
          <w:tab w:pos="1016" w:val="left" w:leader="none"/>
          <w:tab w:pos="1017" w:val="left" w:leader="none"/>
        </w:tabs>
        <w:spacing w:line="240" w:lineRule="auto" w:before="110" w:after="0"/>
        <w:ind w:left="1016" w:right="0" w:hanging="848"/>
        <w:jc w:val="left"/>
        <w:rPr>
          <w:sz w:val="28"/>
        </w:rPr>
      </w:pPr>
      <w:r>
        <w:rPr>
          <w:sz w:val="28"/>
        </w:rPr>
        <w:t>FLOODING</w:t>
      </w:r>
      <w:r>
        <w:rPr>
          <w:spacing w:val="27"/>
          <w:sz w:val="28"/>
        </w:rPr>
        <w:t> </w:t>
      </w:r>
      <w:r>
        <w:rPr>
          <w:sz w:val="28"/>
        </w:rPr>
        <w:t>ISSUES</w:t>
      </w:r>
    </w:p>
    <w:p>
      <w:pPr>
        <w:pStyle w:val="ListParagraph"/>
        <w:numPr>
          <w:ilvl w:val="2"/>
          <w:numId w:val="8"/>
        </w:numPr>
        <w:tabs>
          <w:tab w:pos="1022" w:val="left" w:leader="none"/>
          <w:tab w:pos="1023" w:val="left" w:leader="none"/>
        </w:tabs>
        <w:spacing w:line="240" w:lineRule="auto" w:before="176" w:after="0"/>
        <w:ind w:left="1022" w:right="0" w:hanging="853"/>
        <w:jc w:val="left"/>
        <w:rPr>
          <w:sz w:val="23"/>
        </w:rPr>
      </w:pPr>
      <w:r>
        <w:rPr>
          <w:w w:val="105"/>
          <w:sz w:val="23"/>
        </w:rPr>
        <w:t>PREVIOUSLY</w:t>
      </w:r>
      <w:r>
        <w:rPr>
          <w:spacing w:val="31"/>
          <w:w w:val="105"/>
          <w:sz w:val="23"/>
        </w:rPr>
        <w:t> </w:t>
      </w:r>
      <w:r>
        <w:rPr>
          <w:w w:val="105"/>
          <w:sz w:val="23"/>
        </w:rPr>
        <w:t>REPORTED</w:t>
      </w:r>
    </w:p>
    <w:p>
      <w:pPr>
        <w:pStyle w:val="BodyText"/>
        <w:spacing w:line="261" w:lineRule="auto" w:before="158"/>
        <w:ind w:left="1015" w:right="307" w:firstLine="7"/>
      </w:pPr>
      <w:r>
        <w:rPr/>
        <w:t>Leeds district is susceptible to flooding from a variety of sources and every year this area experiences flooding incidents that affect residential and business properties and city-wide infrastructure.</w:t>
      </w:r>
      <w:r>
        <w:rPr>
          <w:spacing w:val="-39"/>
        </w:rPr>
        <w:t> </w:t>
      </w:r>
      <w:r>
        <w:rPr/>
        <w:t>These</w:t>
      </w:r>
      <w:r>
        <w:rPr>
          <w:spacing w:val="-37"/>
        </w:rPr>
        <w:t> </w:t>
      </w:r>
      <w:r>
        <w:rPr/>
        <w:t>result</w:t>
      </w:r>
      <w:r>
        <w:rPr>
          <w:spacing w:val="-34"/>
        </w:rPr>
        <w:t> </w:t>
      </w:r>
      <w:r>
        <w:rPr/>
        <w:t>from</w:t>
      </w:r>
      <w:r>
        <w:rPr>
          <w:spacing w:val="-33"/>
        </w:rPr>
        <w:t> </w:t>
      </w:r>
      <w:r>
        <w:rPr/>
        <w:t>severe</w:t>
      </w:r>
      <w:r>
        <w:rPr>
          <w:spacing w:val="-36"/>
        </w:rPr>
        <w:t> </w:t>
      </w:r>
      <w:r>
        <w:rPr/>
        <w:t>weather</w:t>
      </w:r>
      <w:r>
        <w:rPr>
          <w:spacing w:val="-33"/>
        </w:rPr>
        <w:t> </w:t>
      </w:r>
      <w:r>
        <w:rPr/>
        <w:t>and</w:t>
      </w:r>
      <w:r>
        <w:rPr>
          <w:spacing w:val="-36"/>
        </w:rPr>
        <w:t> </w:t>
      </w:r>
      <w:r>
        <w:rPr/>
        <w:t>from</w:t>
      </w:r>
      <w:r>
        <w:rPr>
          <w:spacing w:val="-37"/>
        </w:rPr>
        <w:t> </w:t>
      </w:r>
      <w:r>
        <w:rPr/>
        <w:t>issues</w:t>
      </w:r>
      <w:r>
        <w:rPr>
          <w:spacing w:val="-35"/>
        </w:rPr>
        <w:t> </w:t>
      </w:r>
      <w:r>
        <w:rPr/>
        <w:t>with</w:t>
      </w:r>
      <w:r>
        <w:rPr>
          <w:spacing w:val="-37"/>
        </w:rPr>
        <w:t> </w:t>
      </w:r>
      <w:r>
        <w:rPr/>
        <w:t>the</w:t>
      </w:r>
      <w:r>
        <w:rPr>
          <w:spacing w:val="-37"/>
        </w:rPr>
        <w:t> </w:t>
      </w:r>
      <w:r>
        <w:rPr/>
        <w:t>design</w:t>
      </w:r>
      <w:r>
        <w:rPr>
          <w:spacing w:val="-31"/>
        </w:rPr>
        <w:t> </w:t>
      </w:r>
      <w:r>
        <w:rPr/>
        <w:t>and</w:t>
      </w:r>
      <w:r>
        <w:rPr>
          <w:spacing w:val="-40"/>
        </w:rPr>
        <w:t> </w:t>
      </w:r>
      <w:r>
        <w:rPr/>
        <w:t>maintenance of the built</w:t>
      </w:r>
      <w:r>
        <w:rPr>
          <w:spacing w:val="-10"/>
        </w:rPr>
        <w:t> </w:t>
      </w:r>
      <w:r>
        <w:rPr/>
        <w:t>environment.</w:t>
      </w:r>
    </w:p>
    <w:p>
      <w:pPr>
        <w:pStyle w:val="BodyText"/>
        <w:spacing w:before="123"/>
        <w:ind w:left="1021"/>
      </w:pPr>
      <w:r>
        <w:rPr/>
        <w:t>A list of significant flood events in the Leeds district are shown below.</w:t>
      </w:r>
    </w:p>
    <w:p>
      <w:pPr>
        <w:pStyle w:val="ListParagraph"/>
        <w:numPr>
          <w:ilvl w:val="3"/>
          <w:numId w:val="8"/>
        </w:numPr>
        <w:tabs>
          <w:tab w:pos="1445" w:val="left" w:leader="none"/>
        </w:tabs>
        <w:spacing w:line="240" w:lineRule="auto" w:before="149" w:after="0"/>
        <w:ind w:left="1444" w:right="0" w:hanging="273"/>
        <w:jc w:val="left"/>
        <w:rPr>
          <w:color w:val="EF2F26"/>
          <w:sz w:val="23"/>
        </w:rPr>
      </w:pPr>
      <w:r>
        <w:rPr>
          <w:sz w:val="23"/>
        </w:rPr>
        <w:t>River</w:t>
      </w:r>
      <w:r>
        <w:rPr>
          <w:spacing w:val="-11"/>
          <w:sz w:val="23"/>
        </w:rPr>
        <w:t> </w:t>
      </w:r>
      <w:r>
        <w:rPr>
          <w:sz w:val="23"/>
        </w:rPr>
        <w:t>Aire.</w:t>
      </w:r>
      <w:r>
        <w:rPr>
          <w:spacing w:val="-4"/>
          <w:sz w:val="23"/>
        </w:rPr>
        <w:t> </w:t>
      </w:r>
      <w:r>
        <w:rPr>
          <w:sz w:val="23"/>
        </w:rPr>
        <w:t>Major</w:t>
      </w:r>
      <w:r>
        <w:rPr>
          <w:spacing w:val="-12"/>
          <w:sz w:val="23"/>
        </w:rPr>
        <w:t> </w:t>
      </w:r>
      <w:r>
        <w:rPr>
          <w:sz w:val="23"/>
        </w:rPr>
        <w:t>floods</w:t>
      </w:r>
      <w:r>
        <w:rPr>
          <w:spacing w:val="-14"/>
          <w:sz w:val="23"/>
        </w:rPr>
        <w:t> </w:t>
      </w:r>
      <w:r>
        <w:rPr>
          <w:sz w:val="23"/>
        </w:rPr>
        <w:t>in</w:t>
      </w:r>
      <w:r>
        <w:rPr>
          <w:spacing w:val="-12"/>
          <w:sz w:val="23"/>
        </w:rPr>
        <w:t> </w:t>
      </w:r>
      <w:r>
        <w:rPr>
          <w:sz w:val="23"/>
        </w:rPr>
        <w:t>1775,</w:t>
      </w:r>
      <w:r>
        <w:rPr>
          <w:spacing w:val="-1"/>
          <w:sz w:val="23"/>
        </w:rPr>
        <w:t> </w:t>
      </w:r>
      <w:r>
        <w:rPr>
          <w:sz w:val="23"/>
        </w:rPr>
        <w:t>1866</w:t>
      </w:r>
      <w:r>
        <w:rPr>
          <w:spacing w:val="-13"/>
          <w:sz w:val="23"/>
        </w:rPr>
        <w:t> </w:t>
      </w:r>
      <w:r>
        <w:rPr>
          <w:sz w:val="23"/>
        </w:rPr>
        <w:t>and</w:t>
      </w:r>
      <w:r>
        <w:rPr>
          <w:spacing w:val="-9"/>
          <w:sz w:val="23"/>
        </w:rPr>
        <w:t> </w:t>
      </w:r>
      <w:r>
        <w:rPr>
          <w:sz w:val="23"/>
        </w:rPr>
        <w:t>1946;</w:t>
      </w:r>
      <w:r>
        <w:rPr>
          <w:spacing w:val="-9"/>
          <w:sz w:val="23"/>
        </w:rPr>
        <w:t> </w:t>
      </w:r>
      <w:r>
        <w:rPr>
          <w:sz w:val="23"/>
        </w:rPr>
        <w:t>minor</w:t>
      </w:r>
      <w:r>
        <w:rPr>
          <w:spacing w:val="-10"/>
          <w:sz w:val="23"/>
        </w:rPr>
        <w:t> </w:t>
      </w:r>
      <w:r>
        <w:rPr>
          <w:sz w:val="23"/>
        </w:rPr>
        <w:t>floods</w:t>
      </w:r>
      <w:r>
        <w:rPr>
          <w:spacing w:val="-14"/>
          <w:sz w:val="23"/>
        </w:rPr>
        <w:t> </w:t>
      </w:r>
      <w:r>
        <w:rPr>
          <w:sz w:val="23"/>
        </w:rPr>
        <w:t>in</w:t>
      </w:r>
      <w:r>
        <w:rPr>
          <w:spacing w:val="-12"/>
          <w:sz w:val="23"/>
        </w:rPr>
        <w:t> </w:t>
      </w:r>
      <w:r>
        <w:rPr>
          <w:sz w:val="23"/>
        </w:rPr>
        <w:t>2000,</w:t>
      </w:r>
      <w:r>
        <w:rPr>
          <w:spacing w:val="-5"/>
          <w:sz w:val="23"/>
        </w:rPr>
        <w:t> </w:t>
      </w:r>
      <w:r>
        <w:rPr>
          <w:sz w:val="23"/>
        </w:rPr>
        <w:t>2002</w:t>
      </w:r>
      <w:r>
        <w:rPr>
          <w:spacing w:val="-12"/>
          <w:sz w:val="23"/>
        </w:rPr>
        <w:t> </w:t>
      </w:r>
      <w:r>
        <w:rPr>
          <w:sz w:val="23"/>
        </w:rPr>
        <w:t>and</w:t>
      </w:r>
      <w:r>
        <w:rPr>
          <w:spacing w:val="-10"/>
          <w:sz w:val="23"/>
        </w:rPr>
        <w:t> </w:t>
      </w:r>
      <w:r>
        <w:rPr>
          <w:sz w:val="23"/>
        </w:rPr>
        <w:t>2007.</w:t>
      </w:r>
    </w:p>
    <w:p>
      <w:pPr>
        <w:pStyle w:val="ListParagraph"/>
        <w:numPr>
          <w:ilvl w:val="3"/>
          <w:numId w:val="8"/>
        </w:numPr>
        <w:tabs>
          <w:tab w:pos="1445" w:val="left" w:leader="none"/>
        </w:tabs>
        <w:spacing w:line="240" w:lineRule="auto" w:before="23" w:after="0"/>
        <w:ind w:left="1444" w:right="0" w:hanging="273"/>
        <w:jc w:val="left"/>
        <w:rPr>
          <w:color w:val="E2421C"/>
          <w:sz w:val="23"/>
        </w:rPr>
      </w:pPr>
      <w:r>
        <w:rPr>
          <w:sz w:val="23"/>
        </w:rPr>
        <w:t>River Wharfe at Otley in 1935, 1965, 1975, 1982, and a near miss in</w:t>
      </w:r>
      <w:r>
        <w:rPr>
          <w:spacing w:val="-41"/>
          <w:sz w:val="23"/>
        </w:rPr>
        <w:t> </w:t>
      </w:r>
      <w:r>
        <w:rPr>
          <w:sz w:val="23"/>
        </w:rPr>
        <w:t>2000.</w:t>
      </w:r>
    </w:p>
    <w:p>
      <w:pPr>
        <w:pStyle w:val="ListParagraph"/>
        <w:numPr>
          <w:ilvl w:val="3"/>
          <w:numId w:val="8"/>
        </w:numPr>
        <w:tabs>
          <w:tab w:pos="1445" w:val="left" w:leader="none"/>
        </w:tabs>
        <w:spacing w:line="240" w:lineRule="auto" w:before="33" w:after="0"/>
        <w:ind w:left="1444" w:right="0" w:hanging="273"/>
        <w:jc w:val="left"/>
        <w:rPr>
          <w:color w:val="DD4B26"/>
          <w:sz w:val="23"/>
        </w:rPr>
      </w:pPr>
      <w:r>
        <w:rPr>
          <w:sz w:val="23"/>
        </w:rPr>
        <w:t>River Calder at Methley in 1960 (homes up to 13 feet</w:t>
      </w:r>
      <w:r>
        <w:rPr>
          <w:spacing w:val="-47"/>
          <w:sz w:val="23"/>
        </w:rPr>
        <w:t> </w:t>
      </w:r>
      <w:r>
        <w:rPr>
          <w:sz w:val="23"/>
        </w:rPr>
        <w:t>underwater).</w:t>
      </w:r>
    </w:p>
    <w:p>
      <w:pPr>
        <w:pStyle w:val="ListParagraph"/>
        <w:numPr>
          <w:ilvl w:val="3"/>
          <w:numId w:val="8"/>
        </w:numPr>
        <w:tabs>
          <w:tab w:pos="1441" w:val="left" w:leader="none"/>
        </w:tabs>
        <w:spacing w:line="240" w:lineRule="auto" w:before="24" w:after="0"/>
        <w:ind w:left="1440" w:right="0" w:hanging="269"/>
        <w:jc w:val="left"/>
        <w:rPr>
          <w:color w:val="FF3F3A"/>
          <w:sz w:val="23"/>
        </w:rPr>
      </w:pPr>
      <w:r>
        <w:rPr>
          <w:sz w:val="23"/>
        </w:rPr>
        <w:t>Wyke Beck in 2004, 2005 and 2007 (70 residential properties</w:t>
      </w:r>
      <w:r>
        <w:rPr>
          <w:spacing w:val="-15"/>
          <w:sz w:val="23"/>
        </w:rPr>
        <w:t> </w:t>
      </w:r>
      <w:r>
        <w:rPr>
          <w:sz w:val="23"/>
        </w:rPr>
        <w:t>flooded).</w:t>
      </w:r>
    </w:p>
    <w:p>
      <w:pPr>
        <w:pStyle w:val="ListParagraph"/>
        <w:numPr>
          <w:ilvl w:val="3"/>
          <w:numId w:val="8"/>
        </w:numPr>
        <w:tabs>
          <w:tab w:pos="1441" w:val="left" w:leader="none"/>
        </w:tabs>
        <w:spacing w:line="240" w:lineRule="auto" w:before="23" w:after="0"/>
        <w:ind w:left="1440" w:right="0" w:hanging="269"/>
        <w:jc w:val="left"/>
        <w:rPr>
          <w:color w:val="FF2626"/>
          <w:sz w:val="23"/>
        </w:rPr>
      </w:pPr>
      <w:r>
        <w:rPr>
          <w:sz w:val="23"/>
        </w:rPr>
        <w:t>Wortley Beck in 1946, 2002, 2005 and</w:t>
      </w:r>
      <w:r>
        <w:rPr>
          <w:spacing w:val="62"/>
          <w:sz w:val="23"/>
        </w:rPr>
        <w:t> </w:t>
      </w:r>
      <w:r>
        <w:rPr>
          <w:sz w:val="23"/>
        </w:rPr>
        <w:t>2007.</w:t>
      </w:r>
    </w:p>
    <w:p>
      <w:pPr>
        <w:pStyle w:val="ListParagraph"/>
        <w:numPr>
          <w:ilvl w:val="3"/>
          <w:numId w:val="8"/>
        </w:numPr>
        <w:tabs>
          <w:tab w:pos="1444" w:val="left" w:leader="none"/>
        </w:tabs>
        <w:spacing w:line="240" w:lineRule="auto" w:before="33" w:after="0"/>
        <w:ind w:left="1443" w:right="0" w:hanging="272"/>
        <w:jc w:val="left"/>
        <w:rPr>
          <w:color w:val="FF2626"/>
          <w:sz w:val="23"/>
        </w:rPr>
      </w:pPr>
      <w:r>
        <w:rPr>
          <w:sz w:val="23"/>
        </w:rPr>
        <w:t>Highway drainage at Armley</w:t>
      </w:r>
      <w:r>
        <w:rPr>
          <w:spacing w:val="38"/>
          <w:sz w:val="23"/>
        </w:rPr>
        <w:t> </w:t>
      </w:r>
      <w:r>
        <w:rPr>
          <w:sz w:val="23"/>
        </w:rPr>
        <w:t>Gyratory.</w:t>
      </w:r>
    </w:p>
    <w:p>
      <w:pPr>
        <w:pStyle w:val="ListParagraph"/>
        <w:numPr>
          <w:ilvl w:val="3"/>
          <w:numId w:val="8"/>
        </w:numPr>
        <w:tabs>
          <w:tab w:pos="1447" w:val="left" w:leader="none"/>
        </w:tabs>
        <w:spacing w:line="261" w:lineRule="auto" w:before="24" w:after="0"/>
        <w:ind w:left="1444" w:right="1051" w:hanging="273"/>
        <w:jc w:val="left"/>
        <w:rPr>
          <w:color w:val="FF2F2A"/>
          <w:sz w:val="23"/>
        </w:rPr>
      </w:pPr>
      <w:r>
        <w:rPr>
          <w:sz w:val="23"/>
        </w:rPr>
        <w:t>14-15</w:t>
      </w:r>
      <w:r>
        <w:rPr>
          <w:spacing w:val="-33"/>
          <w:sz w:val="23"/>
        </w:rPr>
        <w:t> </w:t>
      </w:r>
      <w:r>
        <w:rPr>
          <w:sz w:val="23"/>
        </w:rPr>
        <w:t>June</w:t>
      </w:r>
      <w:r>
        <w:rPr>
          <w:spacing w:val="-34"/>
          <w:sz w:val="23"/>
        </w:rPr>
        <w:t> </w:t>
      </w:r>
      <w:r>
        <w:rPr>
          <w:sz w:val="23"/>
        </w:rPr>
        <w:t>2007.</w:t>
      </w:r>
      <w:r>
        <w:rPr>
          <w:spacing w:val="-28"/>
          <w:sz w:val="23"/>
        </w:rPr>
        <w:t> </w:t>
      </w:r>
      <w:r>
        <w:rPr>
          <w:sz w:val="23"/>
        </w:rPr>
        <w:t>100mm</w:t>
      </w:r>
      <w:r>
        <w:rPr>
          <w:spacing w:val="-31"/>
          <w:sz w:val="23"/>
        </w:rPr>
        <w:t> </w:t>
      </w:r>
      <w:r>
        <w:rPr>
          <w:sz w:val="23"/>
        </w:rPr>
        <w:t>rainfall</w:t>
      </w:r>
      <w:r>
        <w:rPr>
          <w:spacing w:val="-31"/>
          <w:sz w:val="23"/>
        </w:rPr>
        <w:t> </w:t>
      </w:r>
      <w:r>
        <w:rPr>
          <w:sz w:val="23"/>
        </w:rPr>
        <w:t>in</w:t>
      </w:r>
      <w:r>
        <w:rPr>
          <w:spacing w:val="-34"/>
          <w:sz w:val="23"/>
        </w:rPr>
        <w:t> </w:t>
      </w:r>
      <w:r>
        <w:rPr>
          <w:sz w:val="23"/>
        </w:rPr>
        <w:t>48</w:t>
      </w:r>
      <w:r>
        <w:rPr>
          <w:spacing w:val="-39"/>
          <w:sz w:val="23"/>
        </w:rPr>
        <w:t> </w:t>
      </w:r>
      <w:r>
        <w:rPr>
          <w:sz w:val="23"/>
        </w:rPr>
        <w:t>hours</w:t>
      </w:r>
      <w:r>
        <w:rPr>
          <w:spacing w:val="-40"/>
          <w:sz w:val="23"/>
        </w:rPr>
        <w:t> </w:t>
      </w:r>
      <w:r>
        <w:rPr>
          <w:sz w:val="23"/>
        </w:rPr>
        <w:t>caused</w:t>
      </w:r>
      <w:r>
        <w:rPr>
          <w:spacing w:val="-28"/>
          <w:sz w:val="23"/>
        </w:rPr>
        <w:t> </w:t>
      </w:r>
      <w:r>
        <w:rPr>
          <w:sz w:val="23"/>
        </w:rPr>
        <w:t>flooding</w:t>
      </w:r>
      <w:r>
        <w:rPr>
          <w:spacing w:val="-34"/>
          <w:sz w:val="23"/>
        </w:rPr>
        <w:t> </w:t>
      </w:r>
      <w:r>
        <w:rPr>
          <w:sz w:val="23"/>
        </w:rPr>
        <w:t>in</w:t>
      </w:r>
      <w:r>
        <w:rPr>
          <w:spacing w:val="-38"/>
          <w:sz w:val="23"/>
        </w:rPr>
        <w:t> </w:t>
      </w:r>
      <w:r>
        <w:rPr>
          <w:sz w:val="23"/>
        </w:rPr>
        <w:t>City,</w:t>
      </w:r>
      <w:r>
        <w:rPr>
          <w:spacing w:val="-33"/>
          <w:sz w:val="23"/>
        </w:rPr>
        <w:t> </w:t>
      </w:r>
      <w:r>
        <w:rPr>
          <w:sz w:val="23"/>
        </w:rPr>
        <w:t>Wortley,</w:t>
      </w:r>
      <w:r>
        <w:rPr>
          <w:spacing w:val="-28"/>
          <w:sz w:val="23"/>
        </w:rPr>
        <w:t> </w:t>
      </w:r>
      <w:r>
        <w:rPr>
          <w:sz w:val="23"/>
        </w:rPr>
        <w:t>Beeston, Pudsey, Swillington, Methley and</w:t>
      </w:r>
      <w:r>
        <w:rPr>
          <w:spacing w:val="-16"/>
          <w:sz w:val="23"/>
        </w:rPr>
        <w:t> </w:t>
      </w:r>
      <w:r>
        <w:rPr>
          <w:sz w:val="23"/>
        </w:rPr>
        <w:t>Guiseley.</w:t>
      </w:r>
    </w:p>
    <w:p>
      <w:pPr>
        <w:pStyle w:val="ListParagraph"/>
        <w:numPr>
          <w:ilvl w:val="3"/>
          <w:numId w:val="8"/>
        </w:numPr>
        <w:tabs>
          <w:tab w:pos="1447" w:val="left" w:leader="none"/>
        </w:tabs>
        <w:spacing w:line="240" w:lineRule="auto" w:before="9" w:after="0"/>
        <w:ind w:left="1447" w:right="0" w:hanging="276"/>
        <w:jc w:val="left"/>
        <w:rPr>
          <w:color w:val="F0522A"/>
          <w:sz w:val="23"/>
        </w:rPr>
      </w:pPr>
      <w:r>
        <w:rPr>
          <w:sz w:val="23"/>
        </w:rPr>
        <w:t>19-20</w:t>
      </w:r>
      <w:r>
        <w:rPr>
          <w:spacing w:val="-22"/>
          <w:sz w:val="23"/>
        </w:rPr>
        <w:t> </w:t>
      </w:r>
      <w:r>
        <w:rPr>
          <w:sz w:val="23"/>
        </w:rPr>
        <w:t>June</w:t>
      </w:r>
      <w:r>
        <w:rPr>
          <w:spacing w:val="-20"/>
          <w:sz w:val="23"/>
        </w:rPr>
        <w:t> </w:t>
      </w:r>
      <w:r>
        <w:rPr>
          <w:sz w:val="23"/>
        </w:rPr>
        <w:t>2007.</w:t>
      </w:r>
      <w:r>
        <w:rPr>
          <w:spacing w:val="-17"/>
          <w:sz w:val="23"/>
        </w:rPr>
        <w:t> </w:t>
      </w:r>
      <w:r>
        <w:rPr>
          <w:sz w:val="23"/>
        </w:rPr>
        <w:t>Intense</w:t>
      </w:r>
      <w:r>
        <w:rPr>
          <w:spacing w:val="-24"/>
          <w:sz w:val="23"/>
        </w:rPr>
        <w:t> </w:t>
      </w:r>
      <w:r>
        <w:rPr>
          <w:sz w:val="23"/>
        </w:rPr>
        <w:t>rainfall</w:t>
      </w:r>
      <w:r>
        <w:rPr>
          <w:spacing w:val="-21"/>
          <w:sz w:val="23"/>
        </w:rPr>
        <w:t> </w:t>
      </w:r>
      <w:r>
        <w:rPr>
          <w:sz w:val="23"/>
        </w:rPr>
        <w:t>caused</w:t>
      </w:r>
      <w:r>
        <w:rPr>
          <w:spacing w:val="-21"/>
          <w:sz w:val="23"/>
        </w:rPr>
        <w:t> </w:t>
      </w:r>
      <w:r>
        <w:rPr>
          <w:sz w:val="23"/>
        </w:rPr>
        <w:t>flooding</w:t>
      </w:r>
      <w:r>
        <w:rPr>
          <w:spacing w:val="-21"/>
          <w:sz w:val="23"/>
        </w:rPr>
        <w:t> </w:t>
      </w:r>
      <w:r>
        <w:rPr>
          <w:sz w:val="23"/>
        </w:rPr>
        <w:t>in</w:t>
      </w:r>
      <w:r>
        <w:rPr>
          <w:spacing w:val="-18"/>
          <w:sz w:val="23"/>
        </w:rPr>
        <w:t> </w:t>
      </w:r>
      <w:r>
        <w:rPr>
          <w:sz w:val="23"/>
        </w:rPr>
        <w:t>city</w:t>
      </w:r>
      <w:r>
        <w:rPr>
          <w:spacing w:val="-21"/>
          <w:sz w:val="23"/>
        </w:rPr>
        <w:t> </w:t>
      </w:r>
      <w:r>
        <w:rPr>
          <w:sz w:val="23"/>
        </w:rPr>
        <w:t>centre,</w:t>
      </w:r>
      <w:r>
        <w:rPr>
          <w:spacing w:val="-17"/>
          <w:sz w:val="23"/>
        </w:rPr>
        <w:t> </w:t>
      </w:r>
      <w:r>
        <w:rPr>
          <w:sz w:val="23"/>
        </w:rPr>
        <w:t>Halton,</w:t>
      </w:r>
      <w:r>
        <w:rPr>
          <w:spacing w:val="-15"/>
          <w:sz w:val="23"/>
        </w:rPr>
        <w:t> </w:t>
      </w:r>
      <w:r>
        <w:rPr>
          <w:sz w:val="23"/>
        </w:rPr>
        <w:t>Pudsey</w:t>
      </w:r>
      <w:r>
        <w:rPr>
          <w:spacing w:val="-13"/>
          <w:sz w:val="23"/>
        </w:rPr>
        <w:t> </w:t>
      </w:r>
      <w:r>
        <w:rPr>
          <w:sz w:val="23"/>
        </w:rPr>
        <w:t>and</w:t>
      </w:r>
      <w:r>
        <w:rPr>
          <w:spacing w:val="-23"/>
          <w:sz w:val="23"/>
        </w:rPr>
        <w:t> </w:t>
      </w:r>
      <w:r>
        <w:rPr>
          <w:sz w:val="23"/>
        </w:rPr>
        <w:t>Methley.</w:t>
      </w:r>
    </w:p>
    <w:p>
      <w:pPr>
        <w:spacing w:after="0" w:line="240" w:lineRule="auto"/>
        <w:jc w:val="left"/>
        <w:rPr>
          <w:sz w:val="23"/>
        </w:rPr>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ListParagraph"/>
        <w:numPr>
          <w:ilvl w:val="3"/>
          <w:numId w:val="8"/>
        </w:numPr>
        <w:tabs>
          <w:tab w:pos="1447" w:val="left" w:leader="none"/>
        </w:tabs>
        <w:spacing w:line="261" w:lineRule="auto" w:before="92" w:after="0"/>
        <w:ind w:left="1438" w:right="479" w:hanging="267"/>
        <w:jc w:val="left"/>
        <w:rPr>
          <w:color w:val="FF362F"/>
          <w:sz w:val="23"/>
        </w:rPr>
      </w:pPr>
      <w:r>
        <w:rPr/>
        <w:pict>
          <v:group style="position:absolute;margin-left:537.554504pt;margin-top:-50.127747pt;width:5.8pt;height:34.6pt;mso-position-horizontal-relative:page;mso-position-vertical-relative:paragraph;z-index:2080" coordorigin="10751,-1003" coordsize="116,692">
            <v:shape style="position:absolute;left:10751;top:-1003;width:116;height:39" type="#_x0000_t75" stroked="false">
              <v:imagedata r:id="rId27" o:title=""/>
            </v:shape>
            <v:shape style="position:absolute;left:10827;top:-389;width:39;height:77" type="#_x0000_t75" stroked="false">
              <v:imagedata r:id="rId28" o:title=""/>
            </v:shape>
            <v:line style="position:absolute" from="10804,-1003" to="10804,-321" stroked="true" strokeweight="5.279551pt" strokecolor="#d85970">
              <v:stroke dashstyle="solid"/>
            </v:line>
            <w10:wrap type="none"/>
          </v:group>
        </w:pict>
      </w:r>
      <w:bookmarkStart w:name="Leeds LFRMS 2018 Update_Page_22" w:id="27"/>
      <w:bookmarkEnd w:id="27"/>
      <w:r>
        <w:rPr/>
      </w:r>
      <w:bookmarkStart w:name="Leeds LFRMS 2018 Update_Page_22" w:id="28"/>
      <w:bookmarkEnd w:id="28"/>
      <w:r>
        <w:rPr>
          <w:sz w:val="23"/>
        </w:rPr>
        <w:t>2</w:t>
      </w:r>
      <w:r>
        <w:rPr>
          <w:sz w:val="23"/>
        </w:rPr>
        <w:t>5</w:t>
      </w:r>
      <w:r>
        <w:rPr>
          <w:spacing w:val="-31"/>
          <w:sz w:val="23"/>
        </w:rPr>
        <w:t> </w:t>
      </w:r>
      <w:r>
        <w:rPr>
          <w:sz w:val="23"/>
        </w:rPr>
        <w:t>June</w:t>
      </w:r>
      <w:r>
        <w:rPr>
          <w:spacing w:val="-28"/>
          <w:sz w:val="23"/>
        </w:rPr>
        <w:t> </w:t>
      </w:r>
      <w:r>
        <w:rPr>
          <w:sz w:val="23"/>
        </w:rPr>
        <w:t>2007.</w:t>
      </w:r>
      <w:r>
        <w:rPr>
          <w:spacing w:val="-25"/>
          <w:sz w:val="23"/>
        </w:rPr>
        <w:t> </w:t>
      </w:r>
      <w:r>
        <w:rPr>
          <w:sz w:val="23"/>
        </w:rPr>
        <w:t>Over</w:t>
      </w:r>
      <w:r>
        <w:rPr>
          <w:spacing w:val="-27"/>
          <w:sz w:val="23"/>
        </w:rPr>
        <w:t> </w:t>
      </w:r>
      <w:r>
        <w:rPr>
          <w:sz w:val="23"/>
        </w:rPr>
        <w:t>100mm</w:t>
      </w:r>
      <w:r>
        <w:rPr>
          <w:spacing w:val="-19"/>
          <w:sz w:val="23"/>
        </w:rPr>
        <w:t> </w:t>
      </w:r>
      <w:r>
        <w:rPr>
          <w:sz w:val="23"/>
        </w:rPr>
        <w:t>of</w:t>
      </w:r>
      <w:r>
        <w:rPr>
          <w:spacing w:val="-35"/>
          <w:sz w:val="23"/>
        </w:rPr>
        <w:t> </w:t>
      </w:r>
      <w:r>
        <w:rPr>
          <w:sz w:val="23"/>
        </w:rPr>
        <w:t>rainfall</w:t>
      </w:r>
      <w:r>
        <w:rPr>
          <w:spacing w:val="-31"/>
          <w:sz w:val="23"/>
        </w:rPr>
        <w:t> </w:t>
      </w:r>
      <w:r>
        <w:rPr>
          <w:sz w:val="23"/>
        </w:rPr>
        <w:t>in</w:t>
      </w:r>
      <w:r>
        <w:rPr>
          <w:spacing w:val="-25"/>
          <w:sz w:val="23"/>
        </w:rPr>
        <w:t> </w:t>
      </w:r>
      <w:r>
        <w:rPr>
          <w:sz w:val="23"/>
        </w:rPr>
        <w:t>24</w:t>
      </w:r>
      <w:r>
        <w:rPr>
          <w:spacing w:val="-38"/>
          <w:sz w:val="23"/>
        </w:rPr>
        <w:t> </w:t>
      </w:r>
      <w:r>
        <w:rPr>
          <w:sz w:val="23"/>
        </w:rPr>
        <w:t>hours</w:t>
      </w:r>
      <w:r>
        <w:rPr>
          <w:spacing w:val="-32"/>
          <w:sz w:val="23"/>
        </w:rPr>
        <w:t> </w:t>
      </w:r>
      <w:r>
        <w:rPr>
          <w:sz w:val="23"/>
        </w:rPr>
        <w:t>flooded</w:t>
      </w:r>
      <w:r>
        <w:rPr>
          <w:spacing w:val="-30"/>
          <w:sz w:val="23"/>
        </w:rPr>
        <w:t> </w:t>
      </w:r>
      <w:r>
        <w:rPr>
          <w:sz w:val="23"/>
        </w:rPr>
        <w:t>more</w:t>
      </w:r>
      <w:r>
        <w:rPr>
          <w:spacing w:val="-31"/>
          <w:sz w:val="23"/>
        </w:rPr>
        <w:t> </w:t>
      </w:r>
      <w:r>
        <w:rPr>
          <w:sz w:val="23"/>
        </w:rPr>
        <w:t>than</w:t>
      </w:r>
      <w:r>
        <w:rPr>
          <w:spacing w:val="-27"/>
          <w:sz w:val="23"/>
        </w:rPr>
        <w:t> </w:t>
      </w:r>
      <w:r>
        <w:rPr>
          <w:sz w:val="23"/>
        </w:rPr>
        <w:t>250</w:t>
      </w:r>
      <w:r>
        <w:rPr>
          <w:spacing w:val="-35"/>
          <w:sz w:val="23"/>
        </w:rPr>
        <w:t> </w:t>
      </w:r>
      <w:r>
        <w:rPr>
          <w:sz w:val="23"/>
        </w:rPr>
        <w:t>properties</w:t>
      </w:r>
      <w:r>
        <w:rPr>
          <w:spacing w:val="-24"/>
          <w:sz w:val="23"/>
        </w:rPr>
        <w:t> </w:t>
      </w:r>
      <w:r>
        <w:rPr>
          <w:sz w:val="23"/>
        </w:rPr>
        <w:t>city-wide (Halton, Collingham, Wortley, Rothwell, Mabgates, Meanwood, Kippax et</w:t>
      </w:r>
      <w:r>
        <w:rPr>
          <w:spacing w:val="2"/>
          <w:sz w:val="23"/>
        </w:rPr>
        <w:t> </w:t>
      </w:r>
      <w:r>
        <w:rPr>
          <w:sz w:val="23"/>
        </w:rPr>
        <w:t>at.)</w:t>
      </w:r>
    </w:p>
    <w:p>
      <w:pPr>
        <w:pStyle w:val="ListParagraph"/>
        <w:numPr>
          <w:ilvl w:val="2"/>
          <w:numId w:val="8"/>
        </w:numPr>
        <w:tabs>
          <w:tab w:pos="1018" w:val="left" w:leader="none"/>
          <w:tab w:pos="1019" w:val="left" w:leader="none"/>
        </w:tabs>
        <w:spacing w:line="240" w:lineRule="auto" w:before="87" w:after="0"/>
        <w:ind w:left="1018" w:right="0" w:hanging="850"/>
        <w:jc w:val="left"/>
        <w:rPr>
          <w:sz w:val="29"/>
        </w:rPr>
      </w:pPr>
      <w:r>
        <w:rPr>
          <w:w w:val="105"/>
          <w:sz w:val="23"/>
        </w:rPr>
        <w:t>IDENTlFlED SINCE</w:t>
      </w:r>
      <w:r>
        <w:rPr>
          <w:spacing w:val="-44"/>
          <w:w w:val="105"/>
          <w:sz w:val="23"/>
        </w:rPr>
        <w:t> </w:t>
      </w:r>
      <w:r>
        <w:rPr>
          <w:w w:val="105"/>
          <w:sz w:val="23"/>
        </w:rPr>
        <w:t>2011</w:t>
      </w:r>
    </w:p>
    <w:p>
      <w:pPr>
        <w:pStyle w:val="ListParagraph"/>
        <w:numPr>
          <w:ilvl w:val="3"/>
          <w:numId w:val="8"/>
        </w:numPr>
        <w:tabs>
          <w:tab w:pos="1447" w:val="left" w:leader="none"/>
        </w:tabs>
        <w:spacing w:line="261" w:lineRule="auto" w:before="146" w:after="0"/>
        <w:ind w:left="1437" w:right="324" w:hanging="266"/>
        <w:jc w:val="left"/>
        <w:rPr>
          <w:color w:val="E2421C"/>
          <w:sz w:val="23"/>
        </w:rPr>
      </w:pPr>
      <w:r>
        <w:rPr>
          <w:sz w:val="23"/>
        </w:rPr>
        <w:t>10-11</w:t>
      </w:r>
      <w:r>
        <w:rPr>
          <w:spacing w:val="-33"/>
          <w:sz w:val="23"/>
        </w:rPr>
        <w:t> </w:t>
      </w:r>
      <w:r>
        <w:rPr>
          <w:sz w:val="23"/>
        </w:rPr>
        <w:t>June</w:t>
      </w:r>
      <w:r>
        <w:rPr>
          <w:spacing w:val="-31"/>
          <w:sz w:val="23"/>
        </w:rPr>
        <w:t> </w:t>
      </w:r>
      <w:r>
        <w:rPr>
          <w:sz w:val="23"/>
        </w:rPr>
        <w:t>2012.</w:t>
      </w:r>
      <w:r>
        <w:rPr>
          <w:spacing w:val="-27"/>
          <w:sz w:val="23"/>
        </w:rPr>
        <w:t> </w:t>
      </w:r>
      <w:r>
        <w:rPr>
          <w:sz w:val="23"/>
        </w:rPr>
        <w:t>Short</w:t>
      </w:r>
      <w:r>
        <w:rPr>
          <w:spacing w:val="-29"/>
          <w:sz w:val="23"/>
        </w:rPr>
        <w:t> </w:t>
      </w:r>
      <w:r>
        <w:rPr>
          <w:sz w:val="23"/>
        </w:rPr>
        <w:t>duration,</w:t>
      </w:r>
      <w:r>
        <w:rPr>
          <w:spacing w:val="-27"/>
          <w:sz w:val="23"/>
        </w:rPr>
        <w:t> </w:t>
      </w:r>
      <w:r>
        <w:rPr>
          <w:sz w:val="23"/>
        </w:rPr>
        <w:t>high</w:t>
      </w:r>
      <w:r>
        <w:rPr>
          <w:spacing w:val="-35"/>
          <w:sz w:val="23"/>
        </w:rPr>
        <w:t> </w:t>
      </w:r>
      <w:r>
        <w:rPr>
          <w:sz w:val="23"/>
        </w:rPr>
        <w:t>intensity</w:t>
      </w:r>
      <w:r>
        <w:rPr>
          <w:spacing w:val="-27"/>
          <w:sz w:val="23"/>
        </w:rPr>
        <w:t> </w:t>
      </w:r>
      <w:r>
        <w:rPr>
          <w:sz w:val="23"/>
        </w:rPr>
        <w:t>rainfall</w:t>
      </w:r>
      <w:r>
        <w:rPr>
          <w:spacing w:val="-25"/>
          <w:sz w:val="23"/>
        </w:rPr>
        <w:t> </w:t>
      </w:r>
      <w:r>
        <w:rPr>
          <w:sz w:val="23"/>
        </w:rPr>
        <w:t>caused</w:t>
      </w:r>
      <w:r>
        <w:rPr>
          <w:spacing w:val="-28"/>
          <w:sz w:val="23"/>
        </w:rPr>
        <w:t> </w:t>
      </w:r>
      <w:r>
        <w:rPr>
          <w:sz w:val="23"/>
        </w:rPr>
        <w:t>surface</w:t>
      </w:r>
      <w:r>
        <w:rPr>
          <w:spacing w:val="-27"/>
          <w:sz w:val="23"/>
        </w:rPr>
        <w:t> </w:t>
      </w:r>
      <w:r>
        <w:rPr>
          <w:sz w:val="23"/>
        </w:rPr>
        <w:t>water</w:t>
      </w:r>
      <w:r>
        <w:rPr>
          <w:spacing w:val="-32"/>
          <w:sz w:val="23"/>
        </w:rPr>
        <w:t> </w:t>
      </w:r>
      <w:r>
        <w:rPr>
          <w:sz w:val="23"/>
        </w:rPr>
        <w:t>flooding</w:t>
      </w:r>
      <w:r>
        <w:rPr>
          <w:spacing w:val="-29"/>
          <w:sz w:val="23"/>
        </w:rPr>
        <w:t> </w:t>
      </w:r>
      <w:r>
        <w:rPr>
          <w:sz w:val="23"/>
        </w:rPr>
        <w:t>to</w:t>
      </w:r>
      <w:r>
        <w:rPr>
          <w:spacing w:val="-34"/>
          <w:sz w:val="23"/>
        </w:rPr>
        <w:t> </w:t>
      </w:r>
      <w:r>
        <w:rPr>
          <w:sz w:val="23"/>
        </w:rPr>
        <w:t>south </w:t>
      </w:r>
      <w:r>
        <w:rPr>
          <w:w w:val="95"/>
          <w:sz w:val="23"/>
        </w:rPr>
        <w:t>east Leeds. Kippax, Austhorpe, Garforth, Swillington, Woodlesford and Whitkirk were impacted </w:t>
      </w:r>
      <w:r>
        <w:rPr>
          <w:sz w:val="23"/>
        </w:rPr>
        <w:t>most. 11mm of rainfall was recorded on the first day of the flood</w:t>
      </w:r>
      <w:r>
        <w:rPr>
          <w:spacing w:val="-40"/>
          <w:sz w:val="23"/>
        </w:rPr>
        <w:t> </w:t>
      </w:r>
      <w:r>
        <w:rPr>
          <w:sz w:val="23"/>
        </w:rPr>
        <w:t>event.</w:t>
      </w:r>
    </w:p>
    <w:p>
      <w:pPr>
        <w:pStyle w:val="ListParagraph"/>
        <w:numPr>
          <w:ilvl w:val="3"/>
          <w:numId w:val="8"/>
        </w:numPr>
        <w:tabs>
          <w:tab w:pos="1447" w:val="left" w:leader="none"/>
        </w:tabs>
        <w:spacing w:line="266" w:lineRule="auto" w:before="0" w:after="0"/>
        <w:ind w:left="1437" w:right="727" w:hanging="266"/>
        <w:jc w:val="left"/>
        <w:rPr>
          <w:color w:val="FF2626"/>
          <w:sz w:val="23"/>
        </w:rPr>
      </w:pPr>
      <w:r>
        <w:rPr>
          <w:sz w:val="23"/>
        </w:rPr>
        <w:t>21-23</w:t>
      </w:r>
      <w:r>
        <w:rPr>
          <w:spacing w:val="-26"/>
          <w:sz w:val="23"/>
        </w:rPr>
        <w:t> </w:t>
      </w:r>
      <w:r>
        <w:rPr>
          <w:sz w:val="23"/>
        </w:rPr>
        <w:t>June</w:t>
      </w:r>
      <w:r>
        <w:rPr>
          <w:spacing w:val="-24"/>
          <w:sz w:val="23"/>
        </w:rPr>
        <w:t> </w:t>
      </w:r>
      <w:r>
        <w:rPr>
          <w:sz w:val="23"/>
        </w:rPr>
        <w:t>2012.</w:t>
      </w:r>
      <w:r>
        <w:rPr>
          <w:spacing w:val="-20"/>
          <w:sz w:val="23"/>
        </w:rPr>
        <w:t> </w:t>
      </w:r>
      <w:r>
        <w:rPr>
          <w:sz w:val="23"/>
        </w:rPr>
        <w:t>Steady</w:t>
      </w:r>
      <w:r>
        <w:rPr>
          <w:spacing w:val="-25"/>
          <w:sz w:val="23"/>
        </w:rPr>
        <w:t> </w:t>
      </w:r>
      <w:r>
        <w:rPr>
          <w:sz w:val="23"/>
        </w:rPr>
        <w:t>rainfall</w:t>
      </w:r>
      <w:r>
        <w:rPr>
          <w:spacing w:val="-17"/>
          <w:sz w:val="23"/>
        </w:rPr>
        <w:t> </w:t>
      </w:r>
      <w:r>
        <w:rPr>
          <w:sz w:val="23"/>
        </w:rPr>
        <w:t>across</w:t>
      </w:r>
      <w:r>
        <w:rPr>
          <w:spacing w:val="-33"/>
          <w:sz w:val="23"/>
        </w:rPr>
        <w:t> </w:t>
      </w:r>
      <w:r>
        <w:rPr>
          <w:sz w:val="23"/>
        </w:rPr>
        <w:t>this</w:t>
      </w:r>
      <w:r>
        <w:rPr>
          <w:spacing w:val="-32"/>
          <w:sz w:val="23"/>
        </w:rPr>
        <w:t> </w:t>
      </w:r>
      <w:r>
        <w:rPr>
          <w:sz w:val="23"/>
        </w:rPr>
        <w:t>period</w:t>
      </w:r>
      <w:r>
        <w:rPr>
          <w:spacing w:val="-21"/>
          <w:sz w:val="23"/>
        </w:rPr>
        <w:t> </w:t>
      </w:r>
      <w:r>
        <w:rPr>
          <w:sz w:val="23"/>
        </w:rPr>
        <w:t>caused</w:t>
      </w:r>
      <w:r>
        <w:rPr>
          <w:spacing w:val="-23"/>
          <w:sz w:val="23"/>
        </w:rPr>
        <w:t> </w:t>
      </w:r>
      <w:r>
        <w:rPr>
          <w:sz w:val="23"/>
        </w:rPr>
        <w:t>flooding</w:t>
      </w:r>
      <w:r>
        <w:rPr>
          <w:spacing w:val="-24"/>
          <w:sz w:val="23"/>
        </w:rPr>
        <w:t> </w:t>
      </w:r>
      <w:r>
        <w:rPr>
          <w:sz w:val="23"/>
        </w:rPr>
        <w:t>in</w:t>
      </w:r>
      <w:r>
        <w:rPr>
          <w:spacing w:val="-28"/>
          <w:sz w:val="23"/>
        </w:rPr>
        <w:t> </w:t>
      </w:r>
      <w:r>
        <w:rPr>
          <w:sz w:val="23"/>
        </w:rPr>
        <w:t>Allerton</w:t>
      </w:r>
      <w:r>
        <w:rPr>
          <w:spacing w:val="-22"/>
          <w:sz w:val="23"/>
        </w:rPr>
        <w:t> </w:t>
      </w:r>
      <w:r>
        <w:rPr>
          <w:sz w:val="23"/>
        </w:rPr>
        <w:t>Bywater, </w:t>
      </w:r>
      <w:r>
        <w:rPr>
          <w:w w:val="95"/>
          <w:sz w:val="23"/>
        </w:rPr>
        <w:t>Seacroft and Gipton, Bardsey, Collingham, Garforth, Wetherby and Woodlesford. 14mm of </w:t>
      </w:r>
      <w:r>
        <w:rPr>
          <w:sz w:val="23"/>
        </w:rPr>
        <w:t>rainfall was recorded on the first day of the flood</w:t>
      </w:r>
      <w:r>
        <w:rPr>
          <w:spacing w:val="-8"/>
          <w:sz w:val="23"/>
        </w:rPr>
        <w:t> </w:t>
      </w:r>
      <w:r>
        <w:rPr>
          <w:sz w:val="23"/>
        </w:rPr>
        <w:t>event.</w:t>
      </w:r>
    </w:p>
    <w:p>
      <w:pPr>
        <w:pStyle w:val="ListParagraph"/>
        <w:numPr>
          <w:ilvl w:val="3"/>
          <w:numId w:val="8"/>
        </w:numPr>
        <w:tabs>
          <w:tab w:pos="1447" w:val="left" w:leader="none"/>
        </w:tabs>
        <w:spacing w:line="271" w:lineRule="auto" w:before="0" w:after="0"/>
        <w:ind w:left="1441" w:right="507" w:hanging="270"/>
        <w:jc w:val="left"/>
        <w:rPr>
          <w:color w:val="F0522A"/>
          <w:sz w:val="23"/>
        </w:rPr>
      </w:pPr>
      <w:r>
        <w:rPr>
          <w:sz w:val="23"/>
        </w:rPr>
        <w:t>25-27</w:t>
      </w:r>
      <w:r>
        <w:rPr>
          <w:spacing w:val="-40"/>
          <w:sz w:val="23"/>
        </w:rPr>
        <w:t> </w:t>
      </w:r>
      <w:r>
        <w:rPr>
          <w:sz w:val="23"/>
        </w:rPr>
        <w:t>October</w:t>
      </w:r>
      <w:r>
        <w:rPr>
          <w:spacing w:val="-34"/>
          <w:sz w:val="23"/>
        </w:rPr>
        <w:t> </w:t>
      </w:r>
      <w:r>
        <w:rPr>
          <w:sz w:val="23"/>
        </w:rPr>
        <w:t>2013.</w:t>
      </w:r>
      <w:r>
        <w:rPr>
          <w:spacing w:val="-34"/>
          <w:sz w:val="23"/>
        </w:rPr>
        <w:t> </w:t>
      </w:r>
      <w:r>
        <w:rPr>
          <w:sz w:val="23"/>
        </w:rPr>
        <w:t>Several</w:t>
      </w:r>
      <w:r>
        <w:rPr>
          <w:spacing w:val="-34"/>
          <w:sz w:val="23"/>
        </w:rPr>
        <w:t> </w:t>
      </w:r>
      <w:r>
        <w:rPr>
          <w:sz w:val="23"/>
        </w:rPr>
        <w:t>high</w:t>
      </w:r>
      <w:r>
        <w:rPr>
          <w:spacing w:val="-40"/>
          <w:sz w:val="23"/>
        </w:rPr>
        <w:t> </w:t>
      </w:r>
      <w:r>
        <w:rPr>
          <w:sz w:val="23"/>
        </w:rPr>
        <w:t>intensity</w:t>
      </w:r>
      <w:r>
        <w:rPr>
          <w:spacing w:val="-36"/>
          <w:sz w:val="23"/>
        </w:rPr>
        <w:t> </w:t>
      </w:r>
      <w:r>
        <w:rPr>
          <w:sz w:val="23"/>
        </w:rPr>
        <w:t>rainfall</w:t>
      </w:r>
      <w:r>
        <w:rPr>
          <w:spacing w:val="-36"/>
          <w:sz w:val="23"/>
        </w:rPr>
        <w:t> </w:t>
      </w:r>
      <w:r>
        <w:rPr>
          <w:sz w:val="23"/>
        </w:rPr>
        <w:t>events</w:t>
      </w:r>
      <w:r>
        <w:rPr>
          <w:spacing w:val="-40"/>
          <w:sz w:val="23"/>
        </w:rPr>
        <w:t> </w:t>
      </w:r>
      <w:r>
        <w:rPr>
          <w:sz w:val="23"/>
        </w:rPr>
        <w:t>produced</w:t>
      </w:r>
      <w:r>
        <w:rPr>
          <w:spacing w:val="-32"/>
          <w:sz w:val="23"/>
        </w:rPr>
        <w:t> </w:t>
      </w:r>
      <w:r>
        <w:rPr>
          <w:sz w:val="23"/>
        </w:rPr>
        <w:t>surface</w:t>
      </w:r>
      <w:r>
        <w:rPr>
          <w:spacing w:val="-37"/>
          <w:sz w:val="23"/>
        </w:rPr>
        <w:t> </w:t>
      </w:r>
      <w:r>
        <w:rPr>
          <w:sz w:val="23"/>
        </w:rPr>
        <w:t>water</w:t>
      </w:r>
      <w:r>
        <w:rPr>
          <w:spacing w:val="-39"/>
          <w:sz w:val="23"/>
        </w:rPr>
        <w:t> </w:t>
      </w:r>
      <w:r>
        <w:rPr>
          <w:sz w:val="23"/>
        </w:rPr>
        <w:t>flooding</w:t>
      </w:r>
      <w:r>
        <w:rPr>
          <w:spacing w:val="-33"/>
          <w:sz w:val="23"/>
        </w:rPr>
        <w:t> </w:t>
      </w:r>
      <w:r>
        <w:rPr>
          <w:sz w:val="23"/>
        </w:rPr>
        <w:t>at Otley,</w:t>
      </w:r>
      <w:r>
        <w:rPr>
          <w:spacing w:val="-21"/>
          <w:sz w:val="23"/>
        </w:rPr>
        <w:t> </w:t>
      </w:r>
      <w:r>
        <w:rPr>
          <w:sz w:val="23"/>
        </w:rPr>
        <w:t>Yeadon</w:t>
      </w:r>
      <w:r>
        <w:rPr>
          <w:spacing w:val="-13"/>
          <w:sz w:val="23"/>
        </w:rPr>
        <w:t> </w:t>
      </w:r>
      <w:r>
        <w:rPr>
          <w:sz w:val="23"/>
        </w:rPr>
        <w:t>and</w:t>
      </w:r>
      <w:r>
        <w:rPr>
          <w:spacing w:val="-25"/>
          <w:sz w:val="23"/>
        </w:rPr>
        <w:t> </w:t>
      </w:r>
      <w:r>
        <w:rPr>
          <w:sz w:val="23"/>
        </w:rPr>
        <w:t>Guisley.</w:t>
      </w:r>
      <w:r>
        <w:rPr>
          <w:spacing w:val="-8"/>
          <w:sz w:val="23"/>
        </w:rPr>
        <w:t> </w:t>
      </w:r>
      <w:r>
        <w:rPr>
          <w:sz w:val="23"/>
        </w:rPr>
        <w:t>22mm</w:t>
      </w:r>
      <w:r>
        <w:rPr>
          <w:spacing w:val="-9"/>
          <w:sz w:val="23"/>
        </w:rPr>
        <w:t> </w:t>
      </w:r>
      <w:r>
        <w:rPr>
          <w:sz w:val="23"/>
        </w:rPr>
        <w:t>of</w:t>
      </w:r>
      <w:r>
        <w:rPr>
          <w:spacing w:val="-28"/>
          <w:sz w:val="23"/>
        </w:rPr>
        <w:t> </w:t>
      </w:r>
      <w:r>
        <w:rPr>
          <w:sz w:val="23"/>
        </w:rPr>
        <w:t>rain</w:t>
      </w:r>
      <w:r>
        <w:rPr>
          <w:spacing w:val="-23"/>
          <w:sz w:val="23"/>
        </w:rPr>
        <w:t> </w:t>
      </w:r>
      <w:r>
        <w:rPr>
          <w:sz w:val="23"/>
        </w:rPr>
        <w:t>was</w:t>
      </w:r>
      <w:r>
        <w:rPr>
          <w:spacing w:val="-25"/>
          <w:sz w:val="23"/>
        </w:rPr>
        <w:t> </w:t>
      </w:r>
      <w:r>
        <w:rPr>
          <w:sz w:val="23"/>
        </w:rPr>
        <w:t>recorded</w:t>
      </w:r>
      <w:r>
        <w:rPr>
          <w:spacing w:val="-12"/>
          <w:sz w:val="23"/>
        </w:rPr>
        <w:t> </w:t>
      </w:r>
      <w:r>
        <w:rPr>
          <w:sz w:val="23"/>
        </w:rPr>
        <w:t>on</w:t>
      </w:r>
      <w:r>
        <w:rPr>
          <w:spacing w:val="-26"/>
          <w:sz w:val="23"/>
        </w:rPr>
        <w:t> </w:t>
      </w:r>
      <w:r>
        <w:rPr>
          <w:sz w:val="23"/>
        </w:rPr>
        <w:t>the</w:t>
      </w:r>
      <w:r>
        <w:rPr>
          <w:spacing w:val="-25"/>
          <w:sz w:val="23"/>
        </w:rPr>
        <w:t> </w:t>
      </w:r>
      <w:r>
        <w:rPr>
          <w:sz w:val="23"/>
        </w:rPr>
        <w:t>first</w:t>
      </w:r>
      <w:r>
        <w:rPr>
          <w:spacing w:val="-18"/>
          <w:sz w:val="23"/>
        </w:rPr>
        <w:t> </w:t>
      </w:r>
      <w:r>
        <w:rPr>
          <w:sz w:val="23"/>
        </w:rPr>
        <w:t>day</w:t>
      </w:r>
      <w:r>
        <w:rPr>
          <w:spacing w:val="-18"/>
          <w:sz w:val="23"/>
        </w:rPr>
        <w:t> </w:t>
      </w:r>
      <w:r>
        <w:rPr>
          <w:sz w:val="23"/>
        </w:rPr>
        <w:t>of</w:t>
      </w:r>
      <w:r>
        <w:rPr>
          <w:spacing w:val="-27"/>
          <w:sz w:val="23"/>
        </w:rPr>
        <w:t> </w:t>
      </w:r>
      <w:r>
        <w:rPr>
          <w:sz w:val="23"/>
        </w:rPr>
        <w:t>the</w:t>
      </w:r>
      <w:r>
        <w:rPr>
          <w:spacing w:val="-26"/>
          <w:sz w:val="23"/>
        </w:rPr>
        <w:t> </w:t>
      </w:r>
      <w:r>
        <w:rPr>
          <w:sz w:val="23"/>
        </w:rPr>
        <w:t>flood</w:t>
      </w:r>
      <w:r>
        <w:rPr>
          <w:spacing w:val="-19"/>
          <w:sz w:val="23"/>
        </w:rPr>
        <w:t> </w:t>
      </w:r>
      <w:r>
        <w:rPr>
          <w:sz w:val="23"/>
        </w:rPr>
        <w:t>event.</w:t>
      </w:r>
    </w:p>
    <w:p>
      <w:pPr>
        <w:pStyle w:val="ListParagraph"/>
        <w:numPr>
          <w:ilvl w:val="3"/>
          <w:numId w:val="8"/>
        </w:numPr>
        <w:tabs>
          <w:tab w:pos="1444" w:val="left" w:leader="none"/>
        </w:tabs>
        <w:spacing w:line="264" w:lineRule="auto" w:before="0" w:after="0"/>
        <w:ind w:left="1439" w:right="173" w:hanging="268"/>
        <w:jc w:val="left"/>
        <w:rPr>
          <w:color w:val="EF2F26"/>
          <w:sz w:val="23"/>
        </w:rPr>
      </w:pPr>
      <w:r>
        <w:rPr>
          <w:sz w:val="23"/>
        </w:rPr>
        <w:t>8-10 August 2014. Short duration, high intensity rainfall caused surface water flooding in Allerton</w:t>
      </w:r>
      <w:r>
        <w:rPr>
          <w:spacing w:val="-24"/>
          <w:sz w:val="23"/>
        </w:rPr>
        <w:t> </w:t>
      </w:r>
      <w:r>
        <w:rPr>
          <w:sz w:val="23"/>
        </w:rPr>
        <w:t>Bywater,</w:t>
      </w:r>
      <w:r>
        <w:rPr>
          <w:spacing w:val="-18"/>
          <w:sz w:val="23"/>
        </w:rPr>
        <w:t> </w:t>
      </w:r>
      <w:r>
        <w:rPr>
          <w:sz w:val="23"/>
        </w:rPr>
        <w:t>Garforth</w:t>
      </w:r>
      <w:r>
        <w:rPr>
          <w:spacing w:val="-20"/>
          <w:sz w:val="23"/>
        </w:rPr>
        <w:t> </w:t>
      </w:r>
      <w:r>
        <w:rPr>
          <w:sz w:val="23"/>
        </w:rPr>
        <w:t>and</w:t>
      </w:r>
      <w:r>
        <w:rPr>
          <w:spacing w:val="-25"/>
          <w:sz w:val="23"/>
        </w:rPr>
        <w:t> </w:t>
      </w:r>
      <w:r>
        <w:rPr>
          <w:sz w:val="23"/>
        </w:rPr>
        <w:t>Kippax.</w:t>
      </w:r>
      <w:r>
        <w:rPr>
          <w:spacing w:val="-21"/>
          <w:sz w:val="23"/>
        </w:rPr>
        <w:t> </w:t>
      </w:r>
      <w:r>
        <w:rPr>
          <w:sz w:val="23"/>
        </w:rPr>
        <w:t>An</w:t>
      </w:r>
      <w:r>
        <w:rPr>
          <w:spacing w:val="-28"/>
          <w:sz w:val="23"/>
        </w:rPr>
        <w:t> </w:t>
      </w:r>
      <w:r>
        <w:rPr>
          <w:sz w:val="23"/>
        </w:rPr>
        <w:t>estimated</w:t>
      </w:r>
      <w:r>
        <w:rPr>
          <w:spacing w:val="-22"/>
          <w:sz w:val="23"/>
        </w:rPr>
        <w:t> </w:t>
      </w:r>
      <w:r>
        <w:rPr>
          <w:sz w:val="23"/>
        </w:rPr>
        <w:t>80mm</w:t>
      </w:r>
      <w:r>
        <w:rPr>
          <w:spacing w:val="-22"/>
          <w:sz w:val="23"/>
        </w:rPr>
        <w:t> </w:t>
      </w:r>
      <w:r>
        <w:rPr>
          <w:sz w:val="23"/>
        </w:rPr>
        <w:t>of</w:t>
      </w:r>
      <w:r>
        <w:rPr>
          <w:spacing w:val="-31"/>
          <w:sz w:val="23"/>
        </w:rPr>
        <w:t> </w:t>
      </w:r>
      <w:r>
        <w:rPr>
          <w:sz w:val="23"/>
        </w:rPr>
        <w:t>rain</w:t>
      </w:r>
      <w:r>
        <w:rPr>
          <w:spacing w:val="-27"/>
          <w:sz w:val="23"/>
        </w:rPr>
        <w:t> </w:t>
      </w:r>
      <w:r>
        <w:rPr>
          <w:sz w:val="23"/>
        </w:rPr>
        <w:t>fell</w:t>
      </w:r>
      <w:r>
        <w:rPr>
          <w:spacing w:val="-24"/>
          <w:sz w:val="23"/>
        </w:rPr>
        <w:t> </w:t>
      </w:r>
      <w:r>
        <w:rPr>
          <w:sz w:val="23"/>
        </w:rPr>
        <w:t>within</w:t>
      </w:r>
      <w:r>
        <w:rPr>
          <w:spacing w:val="-25"/>
          <w:sz w:val="23"/>
        </w:rPr>
        <w:t> </w:t>
      </w:r>
      <w:r>
        <w:rPr>
          <w:sz w:val="23"/>
        </w:rPr>
        <w:t>a</w:t>
      </w:r>
      <w:r>
        <w:rPr>
          <w:spacing w:val="-32"/>
          <w:sz w:val="23"/>
        </w:rPr>
        <w:t> </w:t>
      </w:r>
      <w:r>
        <w:rPr>
          <w:sz w:val="23"/>
        </w:rPr>
        <w:t>5</w:t>
      </w:r>
      <w:r>
        <w:rPr>
          <w:spacing w:val="-35"/>
          <w:sz w:val="23"/>
        </w:rPr>
        <w:t> </w:t>
      </w:r>
      <w:r>
        <w:rPr>
          <w:sz w:val="23"/>
        </w:rPr>
        <w:t>hour</w:t>
      </w:r>
      <w:r>
        <w:rPr>
          <w:spacing w:val="-29"/>
          <w:sz w:val="23"/>
        </w:rPr>
        <w:t> </w:t>
      </w:r>
      <w:r>
        <w:rPr>
          <w:sz w:val="23"/>
        </w:rPr>
        <w:t>period</w:t>
      </w:r>
      <w:r>
        <w:rPr>
          <w:spacing w:val="-23"/>
          <w:sz w:val="23"/>
        </w:rPr>
        <w:t> </w:t>
      </w:r>
      <w:r>
        <w:rPr>
          <w:sz w:val="23"/>
        </w:rPr>
        <w:t>on the</w:t>
      </w:r>
      <w:r>
        <w:rPr>
          <w:spacing w:val="-32"/>
          <w:sz w:val="23"/>
        </w:rPr>
        <w:t> </w:t>
      </w:r>
      <w:r>
        <w:rPr>
          <w:sz w:val="23"/>
        </w:rPr>
        <w:t>first</w:t>
      </w:r>
      <w:r>
        <w:rPr>
          <w:spacing w:val="-25"/>
          <w:sz w:val="23"/>
        </w:rPr>
        <w:t> </w:t>
      </w:r>
      <w:r>
        <w:rPr>
          <w:sz w:val="23"/>
        </w:rPr>
        <w:t>day</w:t>
      </w:r>
      <w:r>
        <w:rPr>
          <w:spacing w:val="-26"/>
          <w:sz w:val="23"/>
        </w:rPr>
        <w:t> </w:t>
      </w:r>
      <w:r>
        <w:rPr>
          <w:sz w:val="23"/>
        </w:rPr>
        <w:t>of</w:t>
      </w:r>
      <w:r>
        <w:rPr>
          <w:spacing w:val="-31"/>
          <w:sz w:val="23"/>
        </w:rPr>
        <w:t> </w:t>
      </w:r>
      <w:r>
        <w:rPr>
          <w:sz w:val="23"/>
        </w:rPr>
        <w:t>the</w:t>
      </w:r>
      <w:r>
        <w:rPr>
          <w:spacing w:val="-30"/>
          <w:sz w:val="23"/>
        </w:rPr>
        <w:t> </w:t>
      </w:r>
      <w:r>
        <w:rPr>
          <w:sz w:val="23"/>
        </w:rPr>
        <w:t>event.</w:t>
      </w:r>
      <w:r>
        <w:rPr>
          <w:spacing w:val="-22"/>
          <w:sz w:val="23"/>
        </w:rPr>
        <w:t> </w:t>
      </w:r>
      <w:r>
        <w:rPr>
          <w:sz w:val="23"/>
        </w:rPr>
        <w:t>102</w:t>
      </w:r>
      <w:r>
        <w:rPr>
          <w:spacing w:val="-34"/>
          <w:sz w:val="23"/>
        </w:rPr>
        <w:t> </w:t>
      </w:r>
      <w:r>
        <w:rPr>
          <w:sz w:val="23"/>
        </w:rPr>
        <w:t>properties</w:t>
      </w:r>
      <w:r>
        <w:rPr>
          <w:spacing w:val="-23"/>
          <w:sz w:val="23"/>
        </w:rPr>
        <w:t> </w:t>
      </w:r>
      <w:r>
        <w:rPr>
          <w:sz w:val="23"/>
        </w:rPr>
        <w:t>were</w:t>
      </w:r>
      <w:r>
        <w:rPr>
          <w:spacing w:val="-31"/>
          <w:sz w:val="23"/>
        </w:rPr>
        <w:t> </w:t>
      </w:r>
      <w:r>
        <w:rPr>
          <w:sz w:val="23"/>
        </w:rPr>
        <w:t>recorded</w:t>
      </w:r>
      <w:r>
        <w:rPr>
          <w:spacing w:val="-20"/>
          <w:sz w:val="23"/>
        </w:rPr>
        <w:t> </w:t>
      </w:r>
      <w:r>
        <w:rPr>
          <w:sz w:val="23"/>
        </w:rPr>
        <w:t>as</w:t>
      </w:r>
      <w:r>
        <w:rPr>
          <w:spacing w:val="-36"/>
          <w:sz w:val="23"/>
        </w:rPr>
        <w:t> </w:t>
      </w:r>
      <w:r>
        <w:rPr>
          <w:sz w:val="23"/>
        </w:rPr>
        <w:t>internally</w:t>
      </w:r>
      <w:r>
        <w:rPr>
          <w:spacing w:val="-28"/>
          <w:sz w:val="23"/>
        </w:rPr>
        <w:t> </w:t>
      </w:r>
      <w:r>
        <w:rPr>
          <w:sz w:val="23"/>
        </w:rPr>
        <w:t>flooded.</w:t>
      </w:r>
      <w:r>
        <w:rPr>
          <w:spacing w:val="-26"/>
          <w:sz w:val="23"/>
        </w:rPr>
        <w:t> </w:t>
      </w:r>
      <w:r>
        <w:rPr>
          <w:sz w:val="23"/>
        </w:rPr>
        <w:t>It</w:t>
      </w:r>
      <w:r>
        <w:rPr>
          <w:spacing w:val="-30"/>
          <w:sz w:val="23"/>
        </w:rPr>
        <w:t> </w:t>
      </w:r>
      <w:r>
        <w:rPr>
          <w:sz w:val="23"/>
        </w:rPr>
        <w:t>was</w:t>
      </w:r>
      <w:r>
        <w:rPr>
          <w:spacing w:val="-29"/>
          <w:sz w:val="23"/>
        </w:rPr>
        <w:t> </w:t>
      </w:r>
      <w:r>
        <w:rPr>
          <w:sz w:val="23"/>
        </w:rPr>
        <w:t>assessed</w:t>
      </w:r>
      <w:r>
        <w:rPr>
          <w:spacing w:val="-21"/>
          <w:sz w:val="23"/>
        </w:rPr>
        <w:t> </w:t>
      </w:r>
      <w:r>
        <w:rPr>
          <w:sz w:val="23"/>
        </w:rPr>
        <w:t>as a 1 in 200 year return period</w:t>
      </w:r>
      <w:r>
        <w:rPr>
          <w:spacing w:val="7"/>
          <w:sz w:val="23"/>
        </w:rPr>
        <w:t> </w:t>
      </w:r>
      <w:r>
        <w:rPr>
          <w:sz w:val="23"/>
        </w:rPr>
        <w:t>event.</w:t>
      </w:r>
    </w:p>
    <w:p>
      <w:pPr>
        <w:pStyle w:val="ListParagraph"/>
        <w:numPr>
          <w:ilvl w:val="3"/>
          <w:numId w:val="8"/>
        </w:numPr>
        <w:tabs>
          <w:tab w:pos="1447" w:val="left" w:leader="none"/>
        </w:tabs>
        <w:spacing w:line="266" w:lineRule="auto" w:before="0" w:after="0"/>
        <w:ind w:left="1437" w:right="269" w:hanging="266"/>
        <w:jc w:val="both"/>
        <w:rPr>
          <w:color w:val="FF2626"/>
          <w:sz w:val="23"/>
        </w:rPr>
      </w:pPr>
      <w:r>
        <w:rPr>
          <w:sz w:val="23"/>
        </w:rPr>
        <w:t>13-16</w:t>
      </w:r>
      <w:r>
        <w:rPr>
          <w:spacing w:val="-35"/>
          <w:sz w:val="23"/>
        </w:rPr>
        <w:t> </w:t>
      </w:r>
      <w:r>
        <w:rPr>
          <w:sz w:val="23"/>
        </w:rPr>
        <w:t>November</w:t>
      </w:r>
      <w:r>
        <w:rPr>
          <w:spacing w:val="-27"/>
          <w:sz w:val="23"/>
        </w:rPr>
        <w:t> </w:t>
      </w:r>
      <w:r>
        <w:rPr>
          <w:sz w:val="23"/>
        </w:rPr>
        <w:t>2015.</w:t>
      </w:r>
      <w:r>
        <w:rPr>
          <w:spacing w:val="-31"/>
          <w:sz w:val="23"/>
        </w:rPr>
        <w:t> </w:t>
      </w:r>
      <w:r>
        <w:rPr>
          <w:sz w:val="23"/>
        </w:rPr>
        <w:t>Many</w:t>
      </w:r>
      <w:r>
        <w:rPr>
          <w:spacing w:val="-34"/>
          <w:sz w:val="23"/>
        </w:rPr>
        <w:t> </w:t>
      </w:r>
      <w:r>
        <w:rPr>
          <w:sz w:val="23"/>
        </w:rPr>
        <w:t>high</w:t>
      </w:r>
      <w:r>
        <w:rPr>
          <w:spacing w:val="-37"/>
          <w:sz w:val="23"/>
        </w:rPr>
        <w:t> </w:t>
      </w:r>
      <w:r>
        <w:rPr>
          <w:sz w:val="23"/>
        </w:rPr>
        <w:t>intensity,</w:t>
      </w:r>
      <w:r>
        <w:rPr>
          <w:spacing w:val="-33"/>
          <w:sz w:val="23"/>
        </w:rPr>
        <w:t> </w:t>
      </w:r>
      <w:r>
        <w:rPr>
          <w:sz w:val="23"/>
        </w:rPr>
        <w:t>long</w:t>
      </w:r>
      <w:r>
        <w:rPr>
          <w:spacing w:val="-34"/>
          <w:sz w:val="23"/>
        </w:rPr>
        <w:t> </w:t>
      </w:r>
      <w:r>
        <w:rPr>
          <w:sz w:val="23"/>
        </w:rPr>
        <w:t>duration</w:t>
      </w:r>
      <w:r>
        <w:rPr>
          <w:spacing w:val="-35"/>
          <w:sz w:val="23"/>
        </w:rPr>
        <w:t> </w:t>
      </w:r>
      <w:r>
        <w:rPr>
          <w:sz w:val="23"/>
        </w:rPr>
        <w:t>rainfall</w:t>
      </w:r>
      <w:r>
        <w:rPr>
          <w:spacing w:val="-37"/>
          <w:sz w:val="23"/>
        </w:rPr>
        <w:t> </w:t>
      </w:r>
      <w:r>
        <w:rPr>
          <w:sz w:val="23"/>
        </w:rPr>
        <w:t>resulted</w:t>
      </w:r>
      <w:r>
        <w:rPr>
          <w:spacing w:val="-34"/>
          <w:sz w:val="23"/>
        </w:rPr>
        <w:t> </w:t>
      </w:r>
      <w:r>
        <w:rPr>
          <w:sz w:val="23"/>
        </w:rPr>
        <w:t>in</w:t>
      </w:r>
      <w:r>
        <w:rPr>
          <w:spacing w:val="-38"/>
          <w:sz w:val="23"/>
        </w:rPr>
        <w:t> </w:t>
      </w:r>
      <w:r>
        <w:rPr>
          <w:sz w:val="23"/>
        </w:rPr>
        <w:t>fluvial</w:t>
      </w:r>
      <w:r>
        <w:rPr>
          <w:spacing w:val="-35"/>
          <w:sz w:val="23"/>
        </w:rPr>
        <w:t> </w:t>
      </w:r>
      <w:r>
        <w:rPr>
          <w:sz w:val="23"/>
        </w:rPr>
        <w:t>flooding</w:t>
      </w:r>
      <w:r>
        <w:rPr>
          <w:spacing w:val="-34"/>
          <w:sz w:val="23"/>
        </w:rPr>
        <w:t> </w:t>
      </w:r>
      <w:r>
        <w:rPr>
          <w:sz w:val="23"/>
        </w:rPr>
        <w:t>that was</w:t>
      </w:r>
      <w:r>
        <w:rPr>
          <w:spacing w:val="-32"/>
          <w:sz w:val="23"/>
        </w:rPr>
        <w:t> </w:t>
      </w:r>
      <w:r>
        <w:rPr>
          <w:sz w:val="23"/>
        </w:rPr>
        <w:t>focused</w:t>
      </w:r>
      <w:r>
        <w:rPr>
          <w:spacing w:val="-24"/>
          <w:sz w:val="23"/>
        </w:rPr>
        <w:t> </w:t>
      </w:r>
      <w:r>
        <w:rPr>
          <w:sz w:val="23"/>
        </w:rPr>
        <w:t>at</w:t>
      </w:r>
      <w:r>
        <w:rPr>
          <w:spacing w:val="-35"/>
          <w:sz w:val="23"/>
        </w:rPr>
        <w:t> </w:t>
      </w:r>
      <w:r>
        <w:rPr>
          <w:sz w:val="23"/>
        </w:rPr>
        <w:t>Otley,</w:t>
      </w:r>
      <w:r>
        <w:rPr>
          <w:spacing w:val="-27"/>
          <w:sz w:val="23"/>
        </w:rPr>
        <w:t> </w:t>
      </w:r>
      <w:r>
        <w:rPr>
          <w:sz w:val="23"/>
        </w:rPr>
        <w:t>but</w:t>
      </w:r>
      <w:r>
        <w:rPr>
          <w:spacing w:val="-27"/>
          <w:sz w:val="23"/>
        </w:rPr>
        <w:t> </w:t>
      </w:r>
      <w:r>
        <w:rPr>
          <w:sz w:val="23"/>
        </w:rPr>
        <w:t>also</w:t>
      </w:r>
      <w:r>
        <w:rPr>
          <w:spacing w:val="-31"/>
          <w:sz w:val="23"/>
        </w:rPr>
        <w:t> </w:t>
      </w:r>
      <w:r>
        <w:rPr>
          <w:sz w:val="23"/>
        </w:rPr>
        <w:t>affected</w:t>
      </w:r>
      <w:r>
        <w:rPr>
          <w:spacing w:val="-26"/>
          <w:sz w:val="23"/>
        </w:rPr>
        <w:t> </w:t>
      </w:r>
      <w:r>
        <w:rPr>
          <w:sz w:val="23"/>
        </w:rPr>
        <w:t>areas</w:t>
      </w:r>
      <w:r>
        <w:rPr>
          <w:spacing w:val="-28"/>
          <w:sz w:val="23"/>
        </w:rPr>
        <w:t> </w:t>
      </w:r>
      <w:r>
        <w:rPr>
          <w:sz w:val="23"/>
        </w:rPr>
        <w:t>such</w:t>
      </w:r>
      <w:r>
        <w:rPr>
          <w:spacing w:val="-22"/>
          <w:sz w:val="23"/>
        </w:rPr>
        <w:t> </w:t>
      </w:r>
      <w:r>
        <w:rPr>
          <w:sz w:val="23"/>
        </w:rPr>
        <w:t>as</w:t>
      </w:r>
      <w:r>
        <w:rPr>
          <w:spacing w:val="-33"/>
          <w:sz w:val="23"/>
        </w:rPr>
        <w:t> </w:t>
      </w:r>
      <w:r>
        <w:rPr>
          <w:sz w:val="23"/>
        </w:rPr>
        <w:t>Leeds</w:t>
      </w:r>
      <w:r>
        <w:rPr>
          <w:spacing w:val="-28"/>
          <w:sz w:val="23"/>
        </w:rPr>
        <w:t> </w:t>
      </w:r>
      <w:r>
        <w:rPr>
          <w:sz w:val="23"/>
        </w:rPr>
        <w:t>city</w:t>
      </w:r>
      <w:r>
        <w:rPr>
          <w:spacing w:val="-29"/>
          <w:sz w:val="23"/>
        </w:rPr>
        <w:t> </w:t>
      </w:r>
      <w:r>
        <w:rPr>
          <w:sz w:val="23"/>
        </w:rPr>
        <w:t>centre.</w:t>
      </w:r>
      <w:r>
        <w:rPr>
          <w:spacing w:val="-28"/>
          <w:sz w:val="23"/>
        </w:rPr>
        <w:t> </w:t>
      </w:r>
      <w:r>
        <w:rPr>
          <w:sz w:val="23"/>
        </w:rPr>
        <w:t>An</w:t>
      </w:r>
      <w:r>
        <w:rPr>
          <w:spacing w:val="-31"/>
          <w:sz w:val="23"/>
        </w:rPr>
        <w:t> </w:t>
      </w:r>
      <w:r>
        <w:rPr>
          <w:sz w:val="23"/>
        </w:rPr>
        <w:t>estimated</w:t>
      </w:r>
      <w:r>
        <w:rPr>
          <w:spacing w:val="-25"/>
          <w:sz w:val="23"/>
        </w:rPr>
        <w:t> </w:t>
      </w:r>
      <w:r>
        <w:rPr>
          <w:sz w:val="23"/>
        </w:rPr>
        <w:t>78mm</w:t>
      </w:r>
      <w:r>
        <w:rPr>
          <w:spacing w:val="-19"/>
          <w:sz w:val="23"/>
        </w:rPr>
        <w:t> </w:t>
      </w:r>
      <w:r>
        <w:rPr>
          <w:sz w:val="23"/>
        </w:rPr>
        <w:t>of rain</w:t>
      </w:r>
      <w:r>
        <w:rPr>
          <w:spacing w:val="-23"/>
          <w:sz w:val="23"/>
        </w:rPr>
        <w:t> </w:t>
      </w:r>
      <w:r>
        <w:rPr>
          <w:sz w:val="23"/>
        </w:rPr>
        <w:t>fell</w:t>
      </w:r>
      <w:r>
        <w:rPr>
          <w:spacing w:val="-22"/>
          <w:sz w:val="23"/>
        </w:rPr>
        <w:t> </w:t>
      </w:r>
      <w:r>
        <w:rPr>
          <w:sz w:val="23"/>
        </w:rPr>
        <w:t>during</w:t>
      </w:r>
      <w:r>
        <w:rPr>
          <w:spacing w:val="-16"/>
          <w:sz w:val="23"/>
        </w:rPr>
        <w:t> </w:t>
      </w:r>
      <w:r>
        <w:rPr>
          <w:sz w:val="23"/>
        </w:rPr>
        <w:t>this</w:t>
      </w:r>
      <w:r>
        <w:rPr>
          <w:spacing w:val="-26"/>
          <w:sz w:val="23"/>
        </w:rPr>
        <w:t> </w:t>
      </w:r>
      <w:r>
        <w:rPr>
          <w:sz w:val="23"/>
        </w:rPr>
        <w:t>period.</w:t>
      </w:r>
      <w:r>
        <w:rPr>
          <w:spacing w:val="-17"/>
          <w:sz w:val="23"/>
        </w:rPr>
        <w:t> </w:t>
      </w:r>
      <w:r>
        <w:rPr>
          <w:sz w:val="23"/>
        </w:rPr>
        <w:t>73</w:t>
      </w:r>
      <w:r>
        <w:rPr>
          <w:spacing w:val="-29"/>
          <w:sz w:val="23"/>
        </w:rPr>
        <w:t> </w:t>
      </w:r>
      <w:r>
        <w:rPr>
          <w:sz w:val="23"/>
        </w:rPr>
        <w:t>residential</w:t>
      </w:r>
      <w:r>
        <w:rPr>
          <w:spacing w:val="-9"/>
          <w:sz w:val="23"/>
        </w:rPr>
        <w:t> </w:t>
      </w:r>
      <w:r>
        <w:rPr>
          <w:sz w:val="23"/>
        </w:rPr>
        <w:t>properties</w:t>
      </w:r>
      <w:r>
        <w:rPr>
          <w:spacing w:val="-15"/>
          <w:sz w:val="23"/>
        </w:rPr>
        <w:t> </w:t>
      </w:r>
      <w:r>
        <w:rPr>
          <w:sz w:val="23"/>
        </w:rPr>
        <w:t>were</w:t>
      </w:r>
      <w:r>
        <w:rPr>
          <w:spacing w:val="-23"/>
          <w:sz w:val="23"/>
        </w:rPr>
        <w:t> </w:t>
      </w:r>
      <w:r>
        <w:rPr>
          <w:sz w:val="23"/>
        </w:rPr>
        <w:t>flooded,</w:t>
      </w:r>
      <w:r>
        <w:rPr>
          <w:spacing w:val="-9"/>
          <w:sz w:val="23"/>
        </w:rPr>
        <w:t> </w:t>
      </w:r>
      <w:r>
        <w:rPr>
          <w:sz w:val="23"/>
        </w:rPr>
        <w:t>of</w:t>
      </w:r>
      <w:r>
        <w:rPr>
          <w:spacing w:val="-23"/>
          <w:sz w:val="23"/>
        </w:rPr>
        <w:t> </w:t>
      </w:r>
      <w:r>
        <w:rPr>
          <w:sz w:val="23"/>
        </w:rPr>
        <w:t>which</w:t>
      </w:r>
      <w:r>
        <w:rPr>
          <w:spacing w:val="-20"/>
          <w:sz w:val="23"/>
        </w:rPr>
        <w:t> </w:t>
      </w:r>
      <w:r>
        <w:rPr>
          <w:sz w:val="23"/>
        </w:rPr>
        <w:t>62</w:t>
      </w:r>
      <w:r>
        <w:rPr>
          <w:spacing w:val="-21"/>
          <w:sz w:val="23"/>
        </w:rPr>
        <w:t> </w:t>
      </w:r>
      <w:r>
        <w:rPr>
          <w:sz w:val="23"/>
        </w:rPr>
        <w:t>were</w:t>
      </w:r>
      <w:r>
        <w:rPr>
          <w:spacing w:val="-26"/>
          <w:sz w:val="23"/>
        </w:rPr>
        <w:t> </w:t>
      </w:r>
      <w:r>
        <w:rPr>
          <w:sz w:val="23"/>
        </w:rPr>
        <w:t>in</w:t>
      </w:r>
      <w:r>
        <w:rPr>
          <w:spacing w:val="-24"/>
          <w:sz w:val="23"/>
        </w:rPr>
        <w:t> </w:t>
      </w:r>
      <w:r>
        <w:rPr>
          <w:sz w:val="23"/>
        </w:rPr>
        <w:t>Otley.</w:t>
      </w:r>
    </w:p>
    <w:p>
      <w:pPr>
        <w:pStyle w:val="ListParagraph"/>
        <w:numPr>
          <w:ilvl w:val="3"/>
          <w:numId w:val="8"/>
        </w:numPr>
        <w:tabs>
          <w:tab w:pos="1447" w:val="left" w:leader="none"/>
        </w:tabs>
        <w:spacing w:line="266" w:lineRule="auto" w:before="0" w:after="0"/>
        <w:ind w:left="1444" w:right="265" w:hanging="273"/>
        <w:jc w:val="left"/>
        <w:rPr>
          <w:color w:val="DD4B26"/>
          <w:sz w:val="23"/>
        </w:rPr>
      </w:pPr>
      <w:r>
        <w:rPr>
          <w:sz w:val="23"/>
        </w:rPr>
        <w:t>25-29</w:t>
      </w:r>
      <w:r>
        <w:rPr>
          <w:spacing w:val="-34"/>
          <w:sz w:val="23"/>
        </w:rPr>
        <w:t> </w:t>
      </w:r>
      <w:r>
        <w:rPr>
          <w:sz w:val="23"/>
        </w:rPr>
        <w:t>December</w:t>
      </w:r>
      <w:r>
        <w:rPr>
          <w:spacing w:val="-23"/>
          <w:sz w:val="23"/>
        </w:rPr>
        <w:t> </w:t>
      </w:r>
      <w:r>
        <w:rPr>
          <w:sz w:val="23"/>
        </w:rPr>
        <w:t>2015.</w:t>
      </w:r>
      <w:r>
        <w:rPr>
          <w:spacing w:val="-29"/>
          <w:sz w:val="23"/>
        </w:rPr>
        <w:t> </w:t>
      </w:r>
      <w:r>
        <w:rPr>
          <w:sz w:val="23"/>
        </w:rPr>
        <w:t>One</w:t>
      </w:r>
      <w:r>
        <w:rPr>
          <w:spacing w:val="-33"/>
          <w:sz w:val="23"/>
        </w:rPr>
        <w:t> </w:t>
      </w:r>
      <w:r>
        <w:rPr>
          <w:sz w:val="23"/>
        </w:rPr>
        <w:t>of</w:t>
      </w:r>
      <w:r>
        <w:rPr>
          <w:spacing w:val="-37"/>
          <w:sz w:val="23"/>
        </w:rPr>
        <w:t> </w:t>
      </w:r>
      <w:r>
        <w:rPr>
          <w:sz w:val="23"/>
        </w:rPr>
        <w:t>the</w:t>
      </w:r>
      <w:r>
        <w:rPr>
          <w:spacing w:val="-35"/>
          <w:sz w:val="23"/>
        </w:rPr>
        <w:t> </w:t>
      </w:r>
      <w:r>
        <w:rPr>
          <w:sz w:val="23"/>
        </w:rPr>
        <w:t>wettest</w:t>
      </w:r>
      <w:r>
        <w:rPr>
          <w:spacing w:val="-30"/>
          <w:sz w:val="23"/>
        </w:rPr>
        <w:t> </w:t>
      </w:r>
      <w:r>
        <w:rPr>
          <w:sz w:val="23"/>
        </w:rPr>
        <w:t>winters</w:t>
      </w:r>
      <w:r>
        <w:rPr>
          <w:spacing w:val="-30"/>
          <w:sz w:val="23"/>
        </w:rPr>
        <w:t> </w:t>
      </w:r>
      <w:r>
        <w:rPr>
          <w:sz w:val="23"/>
        </w:rPr>
        <w:t>on</w:t>
      </w:r>
      <w:r>
        <w:rPr>
          <w:spacing w:val="-33"/>
          <w:sz w:val="23"/>
        </w:rPr>
        <w:t> </w:t>
      </w:r>
      <w:r>
        <w:rPr>
          <w:sz w:val="23"/>
        </w:rPr>
        <w:t>record;</w:t>
      </w:r>
      <w:r>
        <w:rPr>
          <w:spacing w:val="-32"/>
          <w:sz w:val="23"/>
        </w:rPr>
        <w:t> </w:t>
      </w:r>
      <w:r>
        <w:rPr>
          <w:sz w:val="23"/>
        </w:rPr>
        <w:t>rainfall</w:t>
      </w:r>
      <w:r>
        <w:rPr>
          <w:spacing w:val="-34"/>
          <w:sz w:val="23"/>
        </w:rPr>
        <w:t> </w:t>
      </w:r>
      <w:r>
        <w:rPr>
          <w:sz w:val="23"/>
        </w:rPr>
        <w:t>throughout</w:t>
      </w:r>
      <w:r>
        <w:rPr>
          <w:spacing w:val="-28"/>
          <w:sz w:val="23"/>
        </w:rPr>
        <w:t> </w:t>
      </w:r>
      <w:r>
        <w:rPr>
          <w:sz w:val="23"/>
        </w:rPr>
        <w:t>this</w:t>
      </w:r>
      <w:r>
        <w:rPr>
          <w:spacing w:val="-37"/>
          <w:sz w:val="23"/>
        </w:rPr>
        <w:t> </w:t>
      </w:r>
      <w:r>
        <w:rPr>
          <w:sz w:val="23"/>
        </w:rPr>
        <w:t>period</w:t>
      </w:r>
      <w:r>
        <w:rPr>
          <w:spacing w:val="-30"/>
          <w:sz w:val="23"/>
        </w:rPr>
        <w:t> </w:t>
      </w:r>
      <w:r>
        <w:rPr>
          <w:sz w:val="23"/>
        </w:rPr>
        <w:t>was assessed</w:t>
      </w:r>
      <w:r>
        <w:rPr>
          <w:spacing w:val="-24"/>
          <w:sz w:val="23"/>
        </w:rPr>
        <w:t> </w:t>
      </w:r>
      <w:r>
        <w:rPr>
          <w:sz w:val="23"/>
        </w:rPr>
        <w:t>as</w:t>
      </w:r>
      <w:r>
        <w:rPr>
          <w:spacing w:val="-33"/>
          <w:sz w:val="23"/>
        </w:rPr>
        <w:t> </w:t>
      </w:r>
      <w:r>
        <w:rPr>
          <w:sz w:val="23"/>
        </w:rPr>
        <w:t>a</w:t>
      </w:r>
      <w:r>
        <w:rPr>
          <w:spacing w:val="-33"/>
          <w:sz w:val="23"/>
        </w:rPr>
        <w:t> </w:t>
      </w:r>
      <w:r>
        <w:rPr>
          <w:sz w:val="23"/>
        </w:rPr>
        <w:t>1</w:t>
      </w:r>
      <w:r>
        <w:rPr>
          <w:spacing w:val="-38"/>
          <w:sz w:val="23"/>
        </w:rPr>
        <w:t> </w:t>
      </w:r>
      <w:r>
        <w:rPr>
          <w:sz w:val="23"/>
        </w:rPr>
        <w:t>in</w:t>
      </w:r>
      <w:r>
        <w:rPr>
          <w:spacing w:val="-30"/>
          <w:sz w:val="23"/>
        </w:rPr>
        <w:t> </w:t>
      </w:r>
      <w:r>
        <w:rPr>
          <w:sz w:val="23"/>
        </w:rPr>
        <w:t>200</w:t>
      </w:r>
      <w:r>
        <w:rPr>
          <w:spacing w:val="-35"/>
          <w:sz w:val="23"/>
        </w:rPr>
        <w:t> </w:t>
      </w:r>
      <w:r>
        <w:rPr>
          <w:sz w:val="23"/>
        </w:rPr>
        <w:t>year</w:t>
      </w:r>
      <w:r>
        <w:rPr>
          <w:spacing w:val="-33"/>
          <w:sz w:val="23"/>
        </w:rPr>
        <w:t> </w:t>
      </w:r>
      <w:r>
        <w:rPr>
          <w:sz w:val="23"/>
        </w:rPr>
        <w:t>return</w:t>
      </w:r>
      <w:r>
        <w:rPr>
          <w:spacing w:val="-31"/>
          <w:sz w:val="23"/>
        </w:rPr>
        <w:t> </w:t>
      </w:r>
      <w:r>
        <w:rPr>
          <w:sz w:val="23"/>
        </w:rPr>
        <w:t>period</w:t>
      </w:r>
      <w:r>
        <w:rPr>
          <w:spacing w:val="-26"/>
          <w:sz w:val="23"/>
        </w:rPr>
        <w:t> </w:t>
      </w:r>
      <w:r>
        <w:rPr>
          <w:sz w:val="23"/>
        </w:rPr>
        <w:t>event.</w:t>
      </w:r>
      <w:r>
        <w:rPr>
          <w:spacing w:val="-24"/>
          <w:sz w:val="23"/>
        </w:rPr>
        <w:t> </w:t>
      </w:r>
      <w:r>
        <w:rPr>
          <w:sz w:val="23"/>
        </w:rPr>
        <w:t>The</w:t>
      </w:r>
      <w:r>
        <w:rPr>
          <w:spacing w:val="-35"/>
          <w:sz w:val="23"/>
        </w:rPr>
        <w:t> </w:t>
      </w:r>
      <w:r>
        <w:rPr>
          <w:sz w:val="23"/>
        </w:rPr>
        <w:t>highest</w:t>
      </w:r>
      <w:r>
        <w:rPr>
          <w:spacing w:val="-33"/>
          <w:sz w:val="23"/>
        </w:rPr>
        <w:t> </w:t>
      </w:r>
      <w:r>
        <w:rPr>
          <w:sz w:val="23"/>
        </w:rPr>
        <w:t>recorded</w:t>
      </w:r>
      <w:r>
        <w:rPr>
          <w:spacing w:val="-26"/>
          <w:sz w:val="23"/>
        </w:rPr>
        <w:t> </w:t>
      </w:r>
      <w:r>
        <w:rPr>
          <w:sz w:val="23"/>
        </w:rPr>
        <w:t>levels</w:t>
      </w:r>
      <w:r>
        <w:rPr>
          <w:spacing w:val="-30"/>
          <w:sz w:val="23"/>
        </w:rPr>
        <w:t> </w:t>
      </w:r>
      <w:r>
        <w:rPr>
          <w:sz w:val="23"/>
        </w:rPr>
        <w:t>were</w:t>
      </w:r>
      <w:r>
        <w:rPr>
          <w:spacing w:val="-30"/>
          <w:sz w:val="23"/>
        </w:rPr>
        <w:t> </w:t>
      </w:r>
      <w:r>
        <w:rPr>
          <w:sz w:val="23"/>
        </w:rPr>
        <w:t>experienced on the River Aire, Calder and Wharfe. Flooding from these rivers, as well as other sources, affected</w:t>
      </w:r>
      <w:r>
        <w:rPr>
          <w:spacing w:val="-33"/>
          <w:sz w:val="23"/>
        </w:rPr>
        <w:t> </w:t>
      </w:r>
      <w:r>
        <w:rPr>
          <w:sz w:val="23"/>
        </w:rPr>
        <w:t>homes</w:t>
      </w:r>
      <w:r>
        <w:rPr>
          <w:spacing w:val="-32"/>
          <w:sz w:val="23"/>
        </w:rPr>
        <w:t> </w:t>
      </w:r>
      <w:r>
        <w:rPr>
          <w:sz w:val="23"/>
        </w:rPr>
        <w:t>and</w:t>
      </w:r>
      <w:r>
        <w:rPr>
          <w:spacing w:val="-35"/>
          <w:sz w:val="23"/>
        </w:rPr>
        <w:t> </w:t>
      </w:r>
      <w:r>
        <w:rPr>
          <w:sz w:val="23"/>
        </w:rPr>
        <w:t>businesses,</w:t>
      </w:r>
      <w:r>
        <w:rPr>
          <w:spacing w:val="-21"/>
          <w:sz w:val="23"/>
        </w:rPr>
        <w:t> </w:t>
      </w:r>
      <w:r>
        <w:rPr>
          <w:sz w:val="23"/>
        </w:rPr>
        <w:t>as</w:t>
      </w:r>
      <w:r>
        <w:rPr>
          <w:spacing w:val="-36"/>
          <w:sz w:val="23"/>
        </w:rPr>
        <w:t> </w:t>
      </w:r>
      <w:r>
        <w:rPr>
          <w:sz w:val="23"/>
        </w:rPr>
        <w:t>well</w:t>
      </w:r>
      <w:r>
        <w:rPr>
          <w:spacing w:val="-27"/>
          <w:sz w:val="23"/>
        </w:rPr>
        <w:t> </w:t>
      </w:r>
      <w:r>
        <w:rPr>
          <w:sz w:val="23"/>
        </w:rPr>
        <w:t>as</w:t>
      </w:r>
      <w:r>
        <w:rPr>
          <w:spacing w:val="-36"/>
          <w:sz w:val="23"/>
        </w:rPr>
        <w:t> </w:t>
      </w:r>
      <w:r>
        <w:rPr>
          <w:sz w:val="23"/>
        </w:rPr>
        <w:t>critical</w:t>
      </w:r>
      <w:r>
        <w:rPr>
          <w:spacing w:val="-24"/>
          <w:sz w:val="23"/>
        </w:rPr>
        <w:t> </w:t>
      </w:r>
      <w:r>
        <w:rPr>
          <w:sz w:val="23"/>
        </w:rPr>
        <w:t>and</w:t>
      </w:r>
      <w:r>
        <w:rPr>
          <w:spacing w:val="-36"/>
          <w:sz w:val="23"/>
        </w:rPr>
        <w:t> </w:t>
      </w:r>
      <w:r>
        <w:rPr>
          <w:sz w:val="23"/>
        </w:rPr>
        <w:t>local</w:t>
      </w:r>
      <w:r>
        <w:rPr>
          <w:spacing w:val="-31"/>
          <w:sz w:val="23"/>
        </w:rPr>
        <w:t> </w:t>
      </w:r>
      <w:r>
        <w:rPr>
          <w:sz w:val="23"/>
        </w:rPr>
        <w:t>infrastructure.</w:t>
      </w:r>
      <w:r>
        <w:rPr>
          <w:spacing w:val="-31"/>
          <w:sz w:val="23"/>
        </w:rPr>
        <w:t> </w:t>
      </w:r>
      <w:r>
        <w:rPr>
          <w:sz w:val="23"/>
        </w:rPr>
        <w:t>Property</w:t>
      </w:r>
      <w:r>
        <w:rPr>
          <w:spacing w:val="-27"/>
          <w:sz w:val="23"/>
        </w:rPr>
        <w:t> </w:t>
      </w:r>
      <w:r>
        <w:rPr>
          <w:sz w:val="23"/>
        </w:rPr>
        <w:t>flooding</w:t>
      </w:r>
      <w:r>
        <w:rPr>
          <w:spacing w:val="-30"/>
          <w:sz w:val="23"/>
        </w:rPr>
        <w:t> </w:t>
      </w:r>
      <w:r>
        <w:rPr>
          <w:sz w:val="23"/>
        </w:rPr>
        <w:t>in Leeds district totalled</w:t>
      </w:r>
      <w:r>
        <w:rPr>
          <w:spacing w:val="19"/>
          <w:sz w:val="23"/>
        </w:rPr>
        <w:t> </w:t>
      </w:r>
      <w:r>
        <w:rPr>
          <w:sz w:val="23"/>
        </w:rPr>
        <w:t>3368.</w:t>
      </w:r>
    </w:p>
    <w:p>
      <w:pPr>
        <w:pStyle w:val="BodyText"/>
        <w:spacing w:before="8"/>
        <w:rPr>
          <w:sz w:val="21"/>
        </w:rPr>
      </w:pPr>
    </w:p>
    <w:p>
      <w:pPr>
        <w:pStyle w:val="BodyText"/>
        <w:spacing w:line="264" w:lineRule="auto"/>
        <w:ind w:left="1015" w:firstLine="3"/>
      </w:pPr>
      <w:r>
        <w:rPr/>
        <w:t>It</w:t>
      </w:r>
      <w:r>
        <w:rPr>
          <w:spacing w:val="-34"/>
        </w:rPr>
        <w:t> </w:t>
      </w:r>
      <w:r>
        <w:rPr/>
        <w:t>is</w:t>
      </w:r>
      <w:r>
        <w:rPr>
          <w:spacing w:val="-30"/>
        </w:rPr>
        <w:t> </w:t>
      </w:r>
      <w:r>
        <w:rPr/>
        <w:t>a</w:t>
      </w:r>
      <w:r>
        <w:rPr>
          <w:spacing w:val="-35"/>
        </w:rPr>
        <w:t> </w:t>
      </w:r>
      <w:r>
        <w:rPr/>
        <w:t>responsibility</w:t>
      </w:r>
      <w:r>
        <w:rPr>
          <w:spacing w:val="-30"/>
        </w:rPr>
        <w:t> </w:t>
      </w:r>
      <w:r>
        <w:rPr/>
        <w:t>of</w:t>
      </w:r>
      <w:r>
        <w:rPr>
          <w:spacing w:val="-26"/>
        </w:rPr>
        <w:t> </w:t>
      </w:r>
      <w:r>
        <w:rPr/>
        <w:t>Risk</w:t>
      </w:r>
      <w:r>
        <w:rPr>
          <w:spacing w:val="-23"/>
        </w:rPr>
        <w:t> </w:t>
      </w:r>
      <w:r>
        <w:rPr/>
        <w:t>Management</w:t>
      </w:r>
      <w:r>
        <w:rPr>
          <w:spacing w:val="-14"/>
        </w:rPr>
        <w:t> </w:t>
      </w:r>
      <w:r>
        <w:rPr/>
        <w:t>Authorities</w:t>
      </w:r>
      <w:r>
        <w:rPr>
          <w:spacing w:val="-21"/>
        </w:rPr>
        <w:t> </w:t>
      </w:r>
      <w:r>
        <w:rPr/>
        <w:t>to</w:t>
      </w:r>
      <w:r>
        <w:rPr>
          <w:spacing w:val="-30"/>
        </w:rPr>
        <w:t> </w:t>
      </w:r>
      <w:r>
        <w:rPr/>
        <w:t>collect,</w:t>
      </w:r>
      <w:r>
        <w:rPr>
          <w:spacing w:val="-24"/>
        </w:rPr>
        <w:t> </w:t>
      </w:r>
      <w:r>
        <w:rPr/>
        <w:t>record</w:t>
      </w:r>
      <w:r>
        <w:rPr>
          <w:spacing w:val="-24"/>
        </w:rPr>
        <w:t> </w:t>
      </w:r>
      <w:r>
        <w:rPr/>
        <w:t>and</w:t>
      </w:r>
      <w:r>
        <w:rPr>
          <w:spacing w:val="-25"/>
        </w:rPr>
        <w:t> </w:t>
      </w:r>
      <w:r>
        <w:rPr/>
        <w:t>share</w:t>
      </w:r>
      <w:r>
        <w:rPr>
          <w:spacing w:val="-30"/>
        </w:rPr>
        <w:t> </w:t>
      </w:r>
      <w:r>
        <w:rPr/>
        <w:t>flood</w:t>
      </w:r>
      <w:r>
        <w:rPr>
          <w:spacing w:val="-24"/>
        </w:rPr>
        <w:t> </w:t>
      </w:r>
      <w:r>
        <w:rPr/>
        <w:t>risk</w:t>
      </w:r>
      <w:r>
        <w:rPr>
          <w:spacing w:val="-25"/>
        </w:rPr>
        <w:t> </w:t>
      </w:r>
      <w:r>
        <w:rPr/>
        <w:t>data</w:t>
      </w:r>
      <w:r>
        <w:rPr>
          <w:spacing w:val="-30"/>
        </w:rPr>
        <w:t> </w:t>
      </w:r>
      <w:r>
        <w:rPr/>
        <w:t>for Leeds</w:t>
      </w:r>
      <w:r>
        <w:rPr>
          <w:spacing w:val="-25"/>
        </w:rPr>
        <w:t> </w:t>
      </w:r>
      <w:r>
        <w:rPr/>
        <w:t>district.</w:t>
      </w:r>
      <w:r>
        <w:rPr>
          <w:spacing w:val="-23"/>
        </w:rPr>
        <w:t> </w:t>
      </w:r>
      <w:r>
        <w:rPr/>
        <w:t>In</w:t>
      </w:r>
      <w:r>
        <w:rPr>
          <w:spacing w:val="-27"/>
        </w:rPr>
        <w:t> </w:t>
      </w:r>
      <w:r>
        <w:rPr/>
        <w:t>2017</w:t>
      </w:r>
      <w:r>
        <w:rPr>
          <w:spacing w:val="-27"/>
        </w:rPr>
        <w:t> </w:t>
      </w:r>
      <w:r>
        <w:rPr/>
        <w:t>an</w:t>
      </w:r>
      <w:r>
        <w:rPr>
          <w:spacing w:val="-27"/>
        </w:rPr>
        <w:t> </w:t>
      </w:r>
      <w:r>
        <w:rPr/>
        <w:t>assessment</w:t>
      </w:r>
      <w:r>
        <w:rPr>
          <w:spacing w:val="-11"/>
        </w:rPr>
        <w:t> </w:t>
      </w:r>
      <w:r>
        <w:rPr/>
        <w:t>of</w:t>
      </w:r>
      <w:r>
        <w:rPr>
          <w:spacing w:val="-35"/>
        </w:rPr>
        <w:t> </w:t>
      </w:r>
      <w:r>
        <w:rPr/>
        <w:t>this</w:t>
      </w:r>
      <w:r>
        <w:rPr>
          <w:spacing w:val="-32"/>
        </w:rPr>
        <w:t> </w:t>
      </w:r>
      <w:r>
        <w:rPr/>
        <w:t>risk</w:t>
      </w:r>
      <w:r>
        <w:rPr>
          <w:spacing w:val="-24"/>
        </w:rPr>
        <w:t> </w:t>
      </w:r>
      <w:r>
        <w:rPr/>
        <w:t>data</w:t>
      </w:r>
      <w:r>
        <w:rPr>
          <w:spacing w:val="-28"/>
        </w:rPr>
        <w:t> </w:t>
      </w:r>
      <w:r>
        <w:rPr/>
        <w:t>was</w:t>
      </w:r>
      <w:r>
        <w:rPr>
          <w:spacing w:val="-28"/>
        </w:rPr>
        <w:t> </w:t>
      </w:r>
      <w:r>
        <w:rPr/>
        <w:t>carried</w:t>
      </w:r>
      <w:r>
        <w:rPr>
          <w:spacing w:val="-24"/>
        </w:rPr>
        <w:t> </w:t>
      </w:r>
      <w:r>
        <w:rPr/>
        <w:t>out</w:t>
      </w:r>
      <w:r>
        <w:rPr>
          <w:spacing w:val="-29"/>
        </w:rPr>
        <w:t> </w:t>
      </w:r>
      <w:r>
        <w:rPr/>
        <w:t>in</w:t>
      </w:r>
      <w:r>
        <w:rPr>
          <w:spacing w:val="-30"/>
        </w:rPr>
        <w:t> </w:t>
      </w:r>
      <w:r>
        <w:rPr/>
        <w:t>the</w:t>
      </w:r>
      <w:r>
        <w:rPr>
          <w:spacing w:val="-28"/>
        </w:rPr>
        <w:t> </w:t>
      </w:r>
      <w:r>
        <w:rPr/>
        <w:t>LCC</w:t>
      </w:r>
      <w:r>
        <w:rPr>
          <w:spacing w:val="-27"/>
        </w:rPr>
        <w:t> </w:t>
      </w:r>
      <w:r>
        <w:rPr/>
        <w:t>PFRA</w:t>
      </w:r>
      <w:r>
        <w:rPr>
          <w:spacing w:val="-20"/>
        </w:rPr>
        <w:t> </w:t>
      </w:r>
      <w:r>
        <w:rPr/>
        <w:t>Update.</w:t>
      </w:r>
      <w:r>
        <w:rPr>
          <w:spacing w:val="-19"/>
        </w:rPr>
        <w:t> </w:t>
      </w:r>
      <w:r>
        <w:rPr/>
        <w:t>It resulted in the identification of a new Flood Risk Area (FRA), which covers much of the Leeds metropolitan</w:t>
      </w:r>
      <w:r>
        <w:rPr>
          <w:spacing w:val="19"/>
        </w:rPr>
        <w:t> </w:t>
      </w:r>
      <w:r>
        <w:rPr/>
        <w:t>district.</w:t>
      </w:r>
    </w:p>
    <w:p>
      <w:pPr>
        <w:pStyle w:val="BodyText"/>
        <w:spacing w:before="4"/>
        <w:rPr>
          <w:sz w:val="33"/>
        </w:rPr>
      </w:pPr>
    </w:p>
    <w:p>
      <w:pPr>
        <w:pStyle w:val="ListParagraph"/>
        <w:numPr>
          <w:ilvl w:val="1"/>
          <w:numId w:val="8"/>
        </w:numPr>
        <w:tabs>
          <w:tab w:pos="1016" w:val="left" w:leader="none"/>
          <w:tab w:pos="1017" w:val="left" w:leader="none"/>
        </w:tabs>
        <w:spacing w:line="240" w:lineRule="auto" w:before="0" w:after="0"/>
        <w:ind w:left="1016" w:right="0" w:hanging="850"/>
        <w:jc w:val="left"/>
        <w:rPr>
          <w:sz w:val="32"/>
        </w:rPr>
      </w:pPr>
      <w:r>
        <w:rPr>
          <w:sz w:val="28"/>
        </w:rPr>
        <w:t>FLOOD</w:t>
      </w:r>
      <w:r>
        <w:rPr>
          <w:spacing w:val="6"/>
          <w:sz w:val="28"/>
        </w:rPr>
        <w:t> </w:t>
      </w:r>
      <w:r>
        <w:rPr>
          <w:sz w:val="28"/>
        </w:rPr>
        <w:t>MITIGATION</w:t>
      </w:r>
    </w:p>
    <w:p>
      <w:pPr>
        <w:pStyle w:val="BodyText"/>
        <w:spacing w:line="266" w:lineRule="auto" w:before="148"/>
        <w:ind w:left="1015" w:firstLine="9"/>
      </w:pPr>
      <w:r>
        <w:rPr/>
        <w:t>The List of Measures, which is provided in Appendix C, comprises the Schemes and Policies implemented</w:t>
      </w:r>
      <w:r>
        <w:rPr>
          <w:spacing w:val="-19"/>
        </w:rPr>
        <w:t> </w:t>
      </w:r>
      <w:r>
        <w:rPr/>
        <w:t>by</w:t>
      </w:r>
      <w:r>
        <w:rPr>
          <w:spacing w:val="-31"/>
        </w:rPr>
        <w:t> </w:t>
      </w:r>
      <w:r>
        <w:rPr/>
        <w:t>the</w:t>
      </w:r>
      <w:r>
        <w:rPr>
          <w:spacing w:val="-31"/>
        </w:rPr>
        <w:t> </w:t>
      </w:r>
      <w:r>
        <w:rPr/>
        <w:t>Council</w:t>
      </w:r>
      <w:r>
        <w:rPr>
          <w:spacing w:val="-28"/>
        </w:rPr>
        <w:t> </w:t>
      </w:r>
      <w:r>
        <w:rPr/>
        <w:t>to</w:t>
      </w:r>
      <w:r>
        <w:rPr>
          <w:spacing w:val="-35"/>
        </w:rPr>
        <w:t> </w:t>
      </w:r>
      <w:r>
        <w:rPr/>
        <w:t>mitigate</w:t>
      </w:r>
      <w:r>
        <w:rPr>
          <w:spacing w:val="-22"/>
        </w:rPr>
        <w:t> </w:t>
      </w:r>
      <w:r>
        <w:rPr/>
        <w:t>flood</w:t>
      </w:r>
      <w:r>
        <w:rPr>
          <w:spacing w:val="-29"/>
        </w:rPr>
        <w:t> </w:t>
      </w:r>
      <w:r>
        <w:rPr/>
        <w:t>risk</w:t>
      </w:r>
      <w:r>
        <w:rPr>
          <w:spacing w:val="-26"/>
        </w:rPr>
        <w:t> </w:t>
      </w:r>
      <w:r>
        <w:rPr/>
        <w:t>across</w:t>
      </w:r>
      <w:r>
        <w:rPr>
          <w:spacing w:val="-26"/>
        </w:rPr>
        <w:t> </w:t>
      </w:r>
      <w:r>
        <w:rPr/>
        <w:t>Leeds.</w:t>
      </w:r>
      <w:r>
        <w:rPr>
          <w:spacing w:val="-22"/>
        </w:rPr>
        <w:t> </w:t>
      </w:r>
      <w:r>
        <w:rPr/>
        <w:t>It</w:t>
      </w:r>
      <w:r>
        <w:rPr>
          <w:spacing w:val="-34"/>
        </w:rPr>
        <w:t> </w:t>
      </w:r>
      <w:r>
        <w:rPr/>
        <w:t>is</w:t>
      </w:r>
      <w:r>
        <w:rPr>
          <w:spacing w:val="-31"/>
        </w:rPr>
        <w:t> </w:t>
      </w:r>
      <w:r>
        <w:rPr/>
        <w:t>a</w:t>
      </w:r>
      <w:r>
        <w:rPr>
          <w:spacing w:val="-36"/>
        </w:rPr>
        <w:t> </w:t>
      </w:r>
      <w:r>
        <w:rPr/>
        <w:t>live</w:t>
      </w:r>
      <w:r>
        <w:rPr>
          <w:spacing w:val="-29"/>
        </w:rPr>
        <w:t> </w:t>
      </w:r>
      <w:r>
        <w:rPr/>
        <w:t>document</w:t>
      </w:r>
      <w:r>
        <w:rPr>
          <w:spacing w:val="-23"/>
        </w:rPr>
        <w:t> </w:t>
      </w:r>
      <w:r>
        <w:rPr/>
        <w:t>that</w:t>
      </w:r>
      <w:r>
        <w:rPr>
          <w:spacing w:val="-31"/>
        </w:rPr>
        <w:t> </w:t>
      </w:r>
      <w:r>
        <w:rPr/>
        <w:t>is</w:t>
      </w:r>
      <w:r>
        <w:rPr>
          <w:spacing w:val="-35"/>
        </w:rPr>
        <w:t> </w:t>
      </w:r>
      <w:r>
        <w:rPr/>
        <w:t>regularly updated</w:t>
      </w:r>
      <w:r>
        <w:rPr>
          <w:spacing w:val="-16"/>
        </w:rPr>
        <w:t> </w:t>
      </w:r>
      <w:r>
        <w:rPr/>
        <w:t>and</w:t>
      </w:r>
      <w:r>
        <w:rPr>
          <w:spacing w:val="-24"/>
        </w:rPr>
        <w:t> </w:t>
      </w:r>
      <w:r>
        <w:rPr/>
        <w:t>reviewed</w:t>
      </w:r>
      <w:r>
        <w:rPr>
          <w:spacing w:val="-14"/>
        </w:rPr>
        <w:t> </w:t>
      </w:r>
      <w:r>
        <w:rPr/>
        <w:t>ahead</w:t>
      </w:r>
      <w:r>
        <w:rPr>
          <w:spacing w:val="-15"/>
        </w:rPr>
        <w:t> </w:t>
      </w:r>
      <w:r>
        <w:rPr/>
        <w:t>of</w:t>
      </w:r>
      <w:r>
        <w:rPr>
          <w:spacing w:val="-31"/>
        </w:rPr>
        <w:t> </w:t>
      </w:r>
      <w:r>
        <w:rPr/>
        <w:t>the</w:t>
      </w:r>
      <w:r>
        <w:rPr>
          <w:spacing w:val="-23"/>
        </w:rPr>
        <w:t> </w:t>
      </w:r>
      <w:r>
        <w:rPr/>
        <w:t>annual</w:t>
      </w:r>
      <w:r>
        <w:rPr>
          <w:spacing w:val="-10"/>
        </w:rPr>
        <w:t> </w:t>
      </w:r>
      <w:r>
        <w:rPr/>
        <w:t>scrutiny</w:t>
      </w:r>
      <w:r>
        <w:rPr>
          <w:spacing w:val="-17"/>
        </w:rPr>
        <w:t> </w:t>
      </w:r>
      <w:r>
        <w:rPr/>
        <w:t>board</w:t>
      </w:r>
      <w:r>
        <w:rPr>
          <w:spacing w:val="-24"/>
        </w:rPr>
        <w:t> </w:t>
      </w:r>
      <w:r>
        <w:rPr/>
        <w:t>review.</w:t>
      </w:r>
      <w:r>
        <w:rPr>
          <w:spacing w:val="-17"/>
        </w:rPr>
        <w:t> </w:t>
      </w:r>
      <w:r>
        <w:rPr/>
        <w:t>It</w:t>
      </w:r>
      <w:r>
        <w:rPr>
          <w:spacing w:val="-22"/>
        </w:rPr>
        <w:t> </w:t>
      </w:r>
      <w:r>
        <w:rPr/>
        <w:t>contains</w:t>
      </w:r>
      <w:r>
        <w:rPr>
          <w:spacing w:val="-20"/>
        </w:rPr>
        <w:t> </w:t>
      </w:r>
      <w:r>
        <w:rPr/>
        <w:t>more</w:t>
      </w:r>
      <w:r>
        <w:rPr>
          <w:spacing w:val="-14"/>
        </w:rPr>
        <w:t> </w:t>
      </w:r>
      <w:r>
        <w:rPr/>
        <w:t>detail</w:t>
      </w:r>
      <w:r>
        <w:rPr>
          <w:spacing w:val="-16"/>
        </w:rPr>
        <w:t> </w:t>
      </w:r>
      <w:r>
        <w:rPr/>
        <w:t>than</w:t>
      </w:r>
      <w:r>
        <w:rPr>
          <w:spacing w:val="-25"/>
        </w:rPr>
        <w:t> </w:t>
      </w:r>
      <w:r>
        <w:rPr/>
        <w:t>is presented below; such as: project phase, cost and priority for previous, ongoing and future schemes.</w:t>
      </w:r>
    </w:p>
    <w:p>
      <w:pPr>
        <w:pStyle w:val="ListParagraph"/>
        <w:numPr>
          <w:ilvl w:val="2"/>
          <w:numId w:val="8"/>
        </w:numPr>
        <w:tabs>
          <w:tab w:pos="1022" w:val="left" w:leader="none"/>
          <w:tab w:pos="1023" w:val="left" w:leader="none"/>
        </w:tabs>
        <w:spacing w:line="240" w:lineRule="auto" w:before="136" w:after="0"/>
        <w:ind w:left="1022" w:right="0" w:hanging="853"/>
        <w:jc w:val="left"/>
        <w:rPr>
          <w:sz w:val="23"/>
        </w:rPr>
      </w:pPr>
      <w:r>
        <w:rPr>
          <w:w w:val="105"/>
          <w:sz w:val="23"/>
        </w:rPr>
        <w:t>MEASURES COMPLETED SINCE</w:t>
      </w:r>
      <w:r>
        <w:rPr>
          <w:spacing w:val="-1"/>
          <w:w w:val="105"/>
          <w:sz w:val="23"/>
        </w:rPr>
        <w:t> </w:t>
      </w:r>
      <w:r>
        <w:rPr>
          <w:w w:val="105"/>
          <w:sz w:val="23"/>
        </w:rPr>
        <w:t>2011</w:t>
      </w:r>
    </w:p>
    <w:p>
      <w:pPr>
        <w:pStyle w:val="BodyText"/>
        <w:spacing w:line="261" w:lineRule="auto" w:before="148"/>
        <w:ind w:left="1015" w:firstLine="5"/>
      </w:pPr>
      <w:r>
        <w:rPr/>
        <w:t>An</w:t>
      </w:r>
      <w:r>
        <w:rPr>
          <w:spacing w:val="-29"/>
        </w:rPr>
        <w:t> </w:t>
      </w:r>
      <w:r>
        <w:rPr/>
        <w:t>accompanying</w:t>
      </w:r>
      <w:r>
        <w:rPr>
          <w:spacing w:val="-10"/>
        </w:rPr>
        <w:t> </w:t>
      </w:r>
      <w:r>
        <w:rPr/>
        <w:t>map</w:t>
      </w:r>
      <w:r>
        <w:rPr>
          <w:spacing w:val="-27"/>
        </w:rPr>
        <w:t> </w:t>
      </w:r>
      <w:r>
        <w:rPr/>
        <w:t>for</w:t>
      </w:r>
      <w:r>
        <w:rPr>
          <w:spacing w:val="-31"/>
        </w:rPr>
        <w:t> </w:t>
      </w:r>
      <w:r>
        <w:rPr/>
        <w:t>the</w:t>
      </w:r>
      <w:r>
        <w:rPr>
          <w:spacing w:val="-31"/>
        </w:rPr>
        <w:t> </w:t>
      </w:r>
      <w:r>
        <w:rPr/>
        <w:t>following</w:t>
      </w:r>
      <w:r>
        <w:rPr>
          <w:spacing w:val="-24"/>
        </w:rPr>
        <w:t> </w:t>
      </w:r>
      <w:r>
        <w:rPr/>
        <w:t>table</w:t>
      </w:r>
      <w:r>
        <w:rPr>
          <w:spacing w:val="-28"/>
        </w:rPr>
        <w:t> </w:t>
      </w:r>
      <w:r>
        <w:rPr/>
        <w:t>is</w:t>
      </w:r>
      <w:r>
        <w:rPr>
          <w:spacing w:val="-40"/>
        </w:rPr>
        <w:t> </w:t>
      </w:r>
      <w:r>
        <w:rPr/>
        <w:t>provided</w:t>
      </w:r>
      <w:r>
        <w:rPr>
          <w:spacing w:val="-21"/>
        </w:rPr>
        <w:t> </w:t>
      </w:r>
      <w:r>
        <w:rPr/>
        <w:t>as</w:t>
      </w:r>
      <w:r>
        <w:rPr>
          <w:spacing w:val="-31"/>
        </w:rPr>
        <w:t> </w:t>
      </w:r>
      <w:r>
        <w:rPr/>
        <w:t>Appendix</w:t>
      </w:r>
      <w:r>
        <w:rPr>
          <w:spacing w:val="-17"/>
        </w:rPr>
        <w:t> </w:t>
      </w:r>
      <w:r>
        <w:rPr/>
        <w:t>E</w:t>
      </w:r>
      <w:r>
        <w:rPr>
          <w:spacing w:val="-27"/>
        </w:rPr>
        <w:t> </w:t>
      </w:r>
      <w:r>
        <w:rPr/>
        <w:t>of</w:t>
      </w:r>
      <w:r>
        <w:rPr>
          <w:spacing w:val="-31"/>
        </w:rPr>
        <w:t> </w:t>
      </w:r>
      <w:r>
        <w:rPr/>
        <w:t>this</w:t>
      </w:r>
      <w:r>
        <w:rPr>
          <w:spacing w:val="-31"/>
        </w:rPr>
        <w:t> </w:t>
      </w:r>
      <w:r>
        <w:rPr/>
        <w:t>report.</w:t>
      </w:r>
      <w:r>
        <w:rPr>
          <w:spacing w:val="-27"/>
        </w:rPr>
        <w:t> </w:t>
      </w:r>
      <w:r>
        <w:rPr/>
        <w:t>It</w:t>
      </w:r>
      <w:r>
        <w:rPr>
          <w:spacing w:val="-32"/>
        </w:rPr>
        <w:t> </w:t>
      </w:r>
      <w:r>
        <w:rPr/>
        <w:t>shows</w:t>
      </w:r>
      <w:r>
        <w:rPr>
          <w:spacing w:val="-30"/>
        </w:rPr>
        <w:t> </w:t>
      </w:r>
      <w:r>
        <w:rPr/>
        <w:t>the location of the schemes completed since</w:t>
      </w:r>
      <w:r>
        <w:rPr>
          <w:spacing w:val="26"/>
        </w:rPr>
        <w:t> </w:t>
      </w:r>
      <w:r>
        <w:rPr/>
        <w:t>2011.</w:t>
      </w:r>
    </w:p>
    <w:p>
      <w:pPr>
        <w:spacing w:after="0" w:line="261" w:lineRule="auto"/>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93"/>
        <w:ind w:left="1025" w:right="0" w:firstLine="0"/>
        <w:jc w:val="left"/>
        <w:rPr>
          <w:sz w:val="22"/>
        </w:rPr>
      </w:pPr>
      <w:r>
        <w:rPr/>
        <w:pict>
          <v:group style="position:absolute;margin-left:123.349602pt;margin-top:-50.546741pt;width:5.3pt;height:35.050pt;mso-position-horizontal-relative:page;mso-position-vertical-relative:paragraph;z-index:2104" coordorigin="2467,-1011" coordsize="106,701">
            <v:shape style="position:absolute;left:2467;top:-1011;width:106;height:48" type="#_x0000_t75" stroked="false">
              <v:imagedata r:id="rId14" o:title=""/>
            </v:shape>
            <v:shape style="position:absolute;left:2486;top:-349;width:87;height:39" type="#_x0000_t75" stroked="false">
              <v:imagedata r:id="rId15" o:title=""/>
            </v:shape>
            <v:line style="position:absolute" from="2515,-1011" to="2515,-320" stroked="true" strokeweight="4.799592pt" strokecolor="#ff6477">
              <v:stroke dashstyle="solid"/>
            </v:line>
            <w10:wrap type="none"/>
          </v:group>
        </w:pict>
      </w:r>
      <w:bookmarkStart w:name="Leeds LFRMS 2018 Update_Page_23" w:id="29"/>
      <w:bookmarkEnd w:id="29"/>
      <w:r>
        <w:rPr/>
      </w:r>
      <w:r>
        <w:rPr>
          <w:sz w:val="22"/>
        </w:rPr>
        <w:t>Table 1 </w:t>
      </w:r>
      <w:r>
        <w:rPr>
          <w:w w:val="95"/>
          <w:sz w:val="22"/>
        </w:rPr>
        <w:t>— </w:t>
      </w:r>
      <w:r>
        <w:rPr>
          <w:sz w:val="22"/>
        </w:rPr>
        <w:t>LCC schemes completed since 2011</w:t>
      </w:r>
    </w:p>
    <w:p>
      <w:pPr>
        <w:pStyle w:val="BodyText"/>
        <w:spacing w:before="4"/>
        <w:rPr>
          <w:sz w:val="27"/>
        </w:rPr>
      </w:pPr>
    </w:p>
    <w:tbl>
      <w:tblPr>
        <w:tblW w:w="0" w:type="auto"/>
        <w:jc w:val="left"/>
        <w:tblInd w:w="1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5"/>
        <w:gridCol w:w="2509"/>
        <w:gridCol w:w="2501"/>
        <w:gridCol w:w="1863"/>
      </w:tblGrid>
      <w:tr>
        <w:trPr>
          <w:trHeight w:val="701" w:hRule="atLeast"/>
        </w:trPr>
        <w:tc>
          <w:tcPr>
            <w:tcW w:w="2925" w:type="dxa"/>
            <w:tcBorders>
              <w:bottom w:val="single" w:sz="12" w:space="0" w:color="AF5767"/>
            </w:tcBorders>
          </w:tcPr>
          <w:p>
            <w:pPr>
              <w:pStyle w:val="TableParagraph"/>
              <w:spacing w:line="211" w:lineRule="exact"/>
              <w:ind w:left="108"/>
              <w:rPr>
                <w:rFonts w:ascii="Calibri"/>
                <w:sz w:val="20"/>
              </w:rPr>
            </w:pPr>
            <w:r>
              <w:rPr>
                <w:rFonts w:ascii="Calibri"/>
                <w:color w:val="FF3D46"/>
                <w:w w:val="120"/>
                <w:sz w:val="20"/>
              </w:rPr>
              <w:t>Scheme</w:t>
            </w:r>
          </w:p>
        </w:tc>
        <w:tc>
          <w:tcPr>
            <w:tcW w:w="2509" w:type="dxa"/>
            <w:tcBorders>
              <w:bottom w:val="single" w:sz="12" w:space="0" w:color="AF5767"/>
            </w:tcBorders>
          </w:tcPr>
          <w:p>
            <w:pPr>
              <w:pStyle w:val="TableParagraph"/>
              <w:spacing w:line="211" w:lineRule="exact"/>
              <w:ind w:left="139"/>
              <w:rPr>
                <w:rFonts w:ascii="Calibri"/>
                <w:sz w:val="20"/>
              </w:rPr>
            </w:pPr>
            <w:r>
              <w:rPr>
                <w:rFonts w:ascii="Calibri"/>
                <w:color w:val="E83634"/>
                <w:w w:val="120"/>
                <w:sz w:val="20"/>
              </w:rPr>
              <w:t>Location</w:t>
            </w:r>
          </w:p>
        </w:tc>
        <w:tc>
          <w:tcPr>
            <w:tcW w:w="2501" w:type="dxa"/>
            <w:tcBorders>
              <w:bottom w:val="single" w:sz="12" w:space="0" w:color="AF5767"/>
            </w:tcBorders>
          </w:tcPr>
          <w:p>
            <w:pPr>
              <w:pStyle w:val="TableParagraph"/>
              <w:spacing w:line="201" w:lineRule="exact"/>
              <w:ind w:left="163"/>
              <w:rPr>
                <w:rFonts w:ascii="Calibri"/>
                <w:sz w:val="21"/>
              </w:rPr>
            </w:pPr>
            <w:r>
              <w:rPr>
                <w:rFonts w:ascii="Calibri"/>
                <w:color w:val="DF5257"/>
                <w:sz w:val="21"/>
              </w:rPr>
              <w:t>Properties </w:t>
            </w:r>
            <w:r>
              <w:rPr>
                <w:rFonts w:ascii="Calibri"/>
                <w:color w:val="BF4652"/>
                <w:sz w:val="21"/>
              </w:rPr>
              <w:t>/</w:t>
            </w:r>
          </w:p>
          <w:p>
            <w:pPr>
              <w:pStyle w:val="TableParagraph"/>
              <w:spacing w:line="216" w:lineRule="auto" w:before="7"/>
              <w:ind w:left="156" w:right="1025" w:firstLine="2"/>
              <w:rPr>
                <w:rFonts w:ascii="Calibri"/>
                <w:sz w:val="21"/>
              </w:rPr>
            </w:pPr>
            <w:r>
              <w:rPr>
                <w:rFonts w:ascii="Calibri"/>
                <w:color w:val="DF494B"/>
                <w:w w:val="110"/>
                <w:sz w:val="21"/>
              </w:rPr>
              <w:t>infrastructure </w:t>
            </w:r>
            <w:r>
              <w:rPr>
                <w:rFonts w:ascii="Calibri"/>
                <w:color w:val="FB4142"/>
                <w:w w:val="110"/>
                <w:sz w:val="21"/>
              </w:rPr>
              <w:t>protected</w:t>
            </w:r>
          </w:p>
        </w:tc>
        <w:tc>
          <w:tcPr>
            <w:tcW w:w="1863" w:type="dxa"/>
            <w:tcBorders>
              <w:bottom w:val="single" w:sz="12" w:space="0" w:color="AF5767"/>
            </w:tcBorders>
          </w:tcPr>
          <w:p>
            <w:pPr>
              <w:pStyle w:val="TableParagraph"/>
              <w:spacing w:line="211" w:lineRule="exact"/>
              <w:ind w:left="101"/>
              <w:rPr>
                <w:rFonts w:ascii="Calibri"/>
                <w:sz w:val="20"/>
              </w:rPr>
            </w:pPr>
            <w:r>
              <w:rPr>
                <w:rFonts w:ascii="Calibri"/>
                <w:color w:val="FF4442"/>
                <w:w w:val="115"/>
                <w:sz w:val="20"/>
              </w:rPr>
              <w:t>Date </w:t>
            </w:r>
            <w:r>
              <w:rPr>
                <w:rFonts w:ascii="Calibri"/>
                <w:color w:val="F06041"/>
                <w:w w:val="115"/>
                <w:sz w:val="20"/>
              </w:rPr>
              <w:t>completed</w:t>
            </w:r>
          </w:p>
        </w:tc>
      </w:tr>
      <w:tr>
        <w:trPr>
          <w:trHeight w:val="462" w:hRule="atLeast"/>
        </w:trPr>
        <w:tc>
          <w:tcPr>
            <w:tcW w:w="2925" w:type="dxa"/>
            <w:tcBorders>
              <w:top w:val="single" w:sz="12" w:space="0" w:color="AF5767"/>
            </w:tcBorders>
          </w:tcPr>
          <w:p>
            <w:pPr>
              <w:pStyle w:val="TableParagraph"/>
              <w:spacing w:line="276" w:lineRule="exact" w:before="166"/>
              <w:ind w:left="105"/>
              <w:rPr>
                <w:rFonts w:ascii="Calibri"/>
                <w:sz w:val="23"/>
              </w:rPr>
            </w:pPr>
            <w:r>
              <w:rPr>
                <w:rFonts w:ascii="Calibri"/>
                <w:sz w:val="23"/>
              </w:rPr>
              <w:t>Leeds</w:t>
            </w:r>
            <w:r>
              <w:rPr>
                <w:rFonts w:ascii="Calibri"/>
                <w:spacing w:val="-29"/>
                <w:sz w:val="23"/>
              </w:rPr>
              <w:t> </w:t>
            </w:r>
            <w:r>
              <w:rPr>
                <w:rFonts w:ascii="Calibri"/>
                <w:sz w:val="23"/>
              </w:rPr>
              <w:t>Road</w:t>
            </w:r>
            <w:r>
              <w:rPr>
                <w:rFonts w:ascii="Calibri"/>
                <w:spacing w:val="-26"/>
                <w:sz w:val="23"/>
              </w:rPr>
              <w:t> </w:t>
            </w:r>
            <w:r>
              <w:rPr>
                <w:rFonts w:ascii="Calibri"/>
                <w:sz w:val="23"/>
              </w:rPr>
              <w:t>(Allerton</w:t>
            </w:r>
            <w:r>
              <w:rPr>
                <w:rFonts w:ascii="Calibri"/>
                <w:spacing w:val="-25"/>
                <w:sz w:val="23"/>
              </w:rPr>
              <w:t> </w:t>
            </w:r>
            <w:r>
              <w:rPr>
                <w:rFonts w:ascii="Calibri"/>
                <w:sz w:val="23"/>
              </w:rPr>
              <w:t>Bywater)</w:t>
            </w:r>
          </w:p>
        </w:tc>
        <w:tc>
          <w:tcPr>
            <w:tcW w:w="2509" w:type="dxa"/>
            <w:tcBorders>
              <w:top w:val="single" w:sz="12" w:space="0" w:color="AF5767"/>
            </w:tcBorders>
          </w:tcPr>
          <w:p>
            <w:pPr>
              <w:pStyle w:val="TableParagraph"/>
              <w:spacing w:line="266" w:lineRule="exact" w:before="176"/>
              <w:ind w:left="133"/>
              <w:rPr>
                <w:rFonts w:ascii="Calibri"/>
                <w:sz w:val="22"/>
              </w:rPr>
            </w:pPr>
            <w:r>
              <w:rPr>
                <w:rFonts w:ascii="Calibri"/>
                <w:sz w:val="22"/>
              </w:rPr>
              <w:t>Allerton Bywater</w:t>
            </w:r>
          </w:p>
        </w:tc>
        <w:tc>
          <w:tcPr>
            <w:tcW w:w="2501" w:type="dxa"/>
            <w:tcBorders>
              <w:top w:val="single" w:sz="12" w:space="0" w:color="AF5767"/>
            </w:tcBorders>
          </w:tcPr>
          <w:p>
            <w:pPr>
              <w:pStyle w:val="TableParagraph"/>
              <w:spacing w:line="276" w:lineRule="exact" w:before="166"/>
              <w:ind w:right="122"/>
              <w:jc w:val="right"/>
              <w:rPr>
                <w:rFonts w:ascii="Calibri"/>
                <w:sz w:val="23"/>
              </w:rPr>
            </w:pPr>
            <w:r>
              <w:rPr>
                <w:rFonts w:ascii="Calibri"/>
                <w:w w:val="95"/>
                <w:sz w:val="23"/>
              </w:rPr>
              <w:t>Leeds Road</w:t>
            </w:r>
          </w:p>
        </w:tc>
        <w:tc>
          <w:tcPr>
            <w:tcW w:w="1863" w:type="dxa"/>
            <w:tcBorders>
              <w:top w:val="single" w:sz="12" w:space="0" w:color="AF5767"/>
            </w:tcBorders>
          </w:tcPr>
          <w:p>
            <w:pPr>
              <w:pStyle w:val="TableParagraph"/>
              <w:spacing w:before="1"/>
              <w:rPr>
                <w:sz w:val="16"/>
              </w:rPr>
            </w:pPr>
          </w:p>
          <w:p>
            <w:pPr>
              <w:pStyle w:val="TableParagraph"/>
              <w:spacing w:before="1"/>
              <w:ind w:right="145"/>
              <w:jc w:val="right"/>
              <w:rPr>
                <w:rFonts w:ascii="Calibri"/>
                <w:sz w:val="21"/>
              </w:rPr>
            </w:pPr>
            <w:r>
              <w:rPr>
                <w:rFonts w:ascii="Calibri"/>
                <w:sz w:val="21"/>
              </w:rPr>
              <w:t>2011</w:t>
            </w:r>
          </w:p>
        </w:tc>
      </w:tr>
      <w:tr>
        <w:trPr>
          <w:trHeight w:val="379" w:hRule="atLeast"/>
        </w:trPr>
        <w:tc>
          <w:tcPr>
            <w:tcW w:w="2925" w:type="dxa"/>
          </w:tcPr>
          <w:p>
            <w:pPr>
              <w:pStyle w:val="TableParagraph"/>
              <w:spacing w:line="254" w:lineRule="exact"/>
              <w:ind w:left="107"/>
              <w:rPr>
                <w:rFonts w:ascii="Calibri"/>
                <w:sz w:val="23"/>
              </w:rPr>
            </w:pPr>
            <w:r>
              <w:rPr>
                <w:rFonts w:ascii="Calibri"/>
                <w:sz w:val="23"/>
              </w:rPr>
              <w:t>pumping station FAS</w:t>
            </w:r>
          </w:p>
        </w:tc>
        <w:tc>
          <w:tcPr>
            <w:tcW w:w="2509" w:type="dxa"/>
          </w:tcPr>
          <w:p>
            <w:pPr>
              <w:pStyle w:val="TableParagraph"/>
              <w:rPr>
                <w:rFonts w:ascii="Times New Roman"/>
                <w:sz w:val="22"/>
              </w:rPr>
            </w:pPr>
          </w:p>
        </w:tc>
        <w:tc>
          <w:tcPr>
            <w:tcW w:w="2501" w:type="dxa"/>
          </w:tcPr>
          <w:p>
            <w:pPr>
              <w:pStyle w:val="TableParagraph"/>
              <w:rPr>
                <w:rFonts w:ascii="Times New Roman"/>
                <w:sz w:val="22"/>
              </w:rPr>
            </w:pPr>
          </w:p>
        </w:tc>
        <w:tc>
          <w:tcPr>
            <w:tcW w:w="1863" w:type="dxa"/>
          </w:tcPr>
          <w:p>
            <w:pPr>
              <w:pStyle w:val="TableParagraph"/>
              <w:rPr>
                <w:rFonts w:ascii="Times New Roman"/>
                <w:sz w:val="22"/>
              </w:rPr>
            </w:pPr>
          </w:p>
        </w:tc>
      </w:tr>
      <w:tr>
        <w:trPr>
          <w:trHeight w:val="669" w:hRule="atLeast"/>
        </w:trPr>
        <w:tc>
          <w:tcPr>
            <w:tcW w:w="2925" w:type="dxa"/>
          </w:tcPr>
          <w:p>
            <w:pPr>
              <w:pStyle w:val="TableParagraph"/>
              <w:spacing w:before="112"/>
              <w:ind w:left="108" w:hanging="3"/>
              <w:rPr>
                <w:rFonts w:ascii="Calibri"/>
                <w:sz w:val="22"/>
              </w:rPr>
            </w:pPr>
            <w:r>
              <w:rPr>
                <w:rFonts w:ascii="Calibri"/>
                <w:sz w:val="22"/>
              </w:rPr>
              <w:t>Newton Road property protection and resilience</w:t>
            </w:r>
          </w:p>
        </w:tc>
        <w:tc>
          <w:tcPr>
            <w:tcW w:w="2509" w:type="dxa"/>
          </w:tcPr>
          <w:p>
            <w:pPr>
              <w:pStyle w:val="TableParagraph"/>
              <w:spacing w:before="112"/>
              <w:ind w:left="137"/>
              <w:rPr>
                <w:rFonts w:ascii="Calibri"/>
                <w:sz w:val="22"/>
              </w:rPr>
            </w:pPr>
            <w:r>
              <w:rPr>
                <w:rFonts w:ascii="Calibri"/>
                <w:sz w:val="22"/>
              </w:rPr>
              <w:t>Newton Road and Potternewton</w:t>
            </w:r>
          </w:p>
        </w:tc>
        <w:tc>
          <w:tcPr>
            <w:tcW w:w="2501" w:type="dxa"/>
          </w:tcPr>
          <w:p>
            <w:pPr>
              <w:pStyle w:val="TableParagraph"/>
              <w:spacing w:before="130"/>
              <w:ind w:right="103"/>
              <w:jc w:val="right"/>
              <w:rPr>
                <w:rFonts w:ascii="Courier New"/>
                <w:sz w:val="23"/>
              </w:rPr>
            </w:pPr>
            <w:r>
              <w:rPr>
                <w:rFonts w:ascii="Courier New"/>
                <w:w w:val="85"/>
                <w:sz w:val="23"/>
              </w:rPr>
              <w:t>10</w:t>
            </w:r>
          </w:p>
        </w:tc>
        <w:tc>
          <w:tcPr>
            <w:tcW w:w="1863" w:type="dxa"/>
          </w:tcPr>
          <w:p>
            <w:pPr>
              <w:pStyle w:val="TableParagraph"/>
              <w:spacing w:before="121"/>
              <w:ind w:right="145"/>
              <w:jc w:val="right"/>
              <w:rPr>
                <w:rFonts w:ascii="Calibri"/>
                <w:sz w:val="21"/>
              </w:rPr>
            </w:pPr>
            <w:r>
              <w:rPr>
                <w:rFonts w:ascii="Calibri"/>
                <w:sz w:val="21"/>
              </w:rPr>
              <w:t>2011</w:t>
            </w:r>
          </w:p>
        </w:tc>
      </w:tr>
      <w:tr>
        <w:trPr>
          <w:trHeight w:val="388" w:hRule="atLeast"/>
        </w:trPr>
        <w:tc>
          <w:tcPr>
            <w:tcW w:w="2925" w:type="dxa"/>
          </w:tcPr>
          <w:p>
            <w:pPr>
              <w:pStyle w:val="TableParagraph"/>
              <w:spacing w:line="248" w:lineRule="exact"/>
              <w:ind w:left="106"/>
              <w:rPr>
                <w:rFonts w:ascii="Calibri"/>
                <w:sz w:val="22"/>
              </w:rPr>
            </w:pPr>
            <w:r>
              <w:rPr>
                <w:rFonts w:ascii="Calibri"/>
                <w:sz w:val="22"/>
              </w:rPr>
              <w:t>scheme</w:t>
            </w:r>
          </w:p>
        </w:tc>
        <w:tc>
          <w:tcPr>
            <w:tcW w:w="2509" w:type="dxa"/>
          </w:tcPr>
          <w:p>
            <w:pPr>
              <w:pStyle w:val="TableParagraph"/>
              <w:rPr>
                <w:rFonts w:ascii="Times New Roman"/>
                <w:sz w:val="22"/>
              </w:rPr>
            </w:pPr>
          </w:p>
        </w:tc>
        <w:tc>
          <w:tcPr>
            <w:tcW w:w="2501" w:type="dxa"/>
          </w:tcPr>
          <w:p>
            <w:pPr>
              <w:pStyle w:val="TableParagraph"/>
              <w:rPr>
                <w:rFonts w:ascii="Times New Roman"/>
                <w:sz w:val="22"/>
              </w:rPr>
            </w:pPr>
          </w:p>
        </w:tc>
        <w:tc>
          <w:tcPr>
            <w:tcW w:w="1863" w:type="dxa"/>
          </w:tcPr>
          <w:p>
            <w:pPr>
              <w:pStyle w:val="TableParagraph"/>
              <w:rPr>
                <w:rFonts w:ascii="Times New Roman"/>
                <w:sz w:val="22"/>
              </w:rPr>
            </w:pPr>
          </w:p>
        </w:tc>
      </w:tr>
      <w:tr>
        <w:trPr>
          <w:trHeight w:val="388" w:hRule="atLeast"/>
        </w:trPr>
        <w:tc>
          <w:tcPr>
            <w:tcW w:w="2925" w:type="dxa"/>
          </w:tcPr>
          <w:p>
            <w:pPr>
              <w:pStyle w:val="TableParagraph"/>
              <w:spacing w:before="100"/>
              <w:ind w:left="106"/>
              <w:rPr>
                <w:rFonts w:ascii="Calibri" w:hAnsi="Calibri"/>
                <w:sz w:val="22"/>
              </w:rPr>
            </w:pPr>
            <w:r>
              <w:rPr>
                <w:rFonts w:ascii="Calibri" w:hAnsi="Calibri"/>
                <w:w w:val="95"/>
                <w:sz w:val="22"/>
              </w:rPr>
              <w:t>Lower Wortley </w:t>
            </w:r>
            <w:r>
              <w:rPr>
                <w:rFonts w:ascii="Calibri" w:hAnsi="Calibri"/>
                <w:color w:val="050505"/>
                <w:w w:val="70"/>
                <w:sz w:val="22"/>
              </w:rPr>
              <w:t>— </w:t>
            </w:r>
            <w:r>
              <w:rPr>
                <w:rFonts w:ascii="Calibri" w:hAnsi="Calibri"/>
                <w:w w:val="95"/>
                <w:sz w:val="22"/>
              </w:rPr>
              <w:t>property</w:t>
            </w:r>
          </w:p>
        </w:tc>
        <w:tc>
          <w:tcPr>
            <w:tcW w:w="2509" w:type="dxa"/>
          </w:tcPr>
          <w:p>
            <w:pPr>
              <w:pStyle w:val="TableParagraph"/>
              <w:spacing w:before="100"/>
              <w:ind w:left="137"/>
              <w:rPr>
                <w:rFonts w:ascii="Calibri"/>
                <w:sz w:val="22"/>
              </w:rPr>
            </w:pPr>
            <w:r>
              <w:rPr>
                <w:rFonts w:ascii="Calibri"/>
                <w:sz w:val="22"/>
              </w:rPr>
              <w:t>Lower Wortley</w:t>
            </w:r>
          </w:p>
        </w:tc>
        <w:tc>
          <w:tcPr>
            <w:tcW w:w="2501" w:type="dxa"/>
          </w:tcPr>
          <w:p>
            <w:pPr>
              <w:pStyle w:val="TableParagraph"/>
              <w:spacing w:before="109"/>
              <w:ind w:right="120"/>
              <w:jc w:val="right"/>
              <w:rPr>
                <w:rFonts w:ascii="Calibri"/>
                <w:sz w:val="21"/>
              </w:rPr>
            </w:pPr>
            <w:r>
              <w:rPr>
                <w:rFonts w:ascii="Calibri"/>
                <w:color w:val="000811"/>
                <w:w w:val="95"/>
                <w:sz w:val="21"/>
              </w:rPr>
              <w:t>2</w:t>
            </w:r>
            <w:r>
              <w:rPr>
                <w:rFonts w:ascii="Calibri"/>
                <w:w w:val="95"/>
                <w:sz w:val="21"/>
              </w:rPr>
              <w:t>1</w:t>
            </w:r>
          </w:p>
        </w:tc>
        <w:tc>
          <w:tcPr>
            <w:tcW w:w="1863" w:type="dxa"/>
          </w:tcPr>
          <w:p>
            <w:pPr>
              <w:pStyle w:val="TableParagraph"/>
              <w:spacing w:before="109"/>
              <w:ind w:right="145"/>
              <w:jc w:val="right"/>
              <w:rPr>
                <w:rFonts w:ascii="Calibri"/>
                <w:sz w:val="21"/>
              </w:rPr>
            </w:pPr>
            <w:r>
              <w:rPr>
                <w:rFonts w:ascii="Calibri"/>
                <w:sz w:val="21"/>
              </w:rPr>
              <w:t>2011</w:t>
            </w:r>
          </w:p>
        </w:tc>
      </w:tr>
      <w:tr>
        <w:trPr>
          <w:trHeight w:val="268" w:hRule="atLeast"/>
        </w:trPr>
        <w:tc>
          <w:tcPr>
            <w:tcW w:w="2925" w:type="dxa"/>
          </w:tcPr>
          <w:p>
            <w:pPr>
              <w:pStyle w:val="TableParagraph"/>
              <w:spacing w:line="248" w:lineRule="exact"/>
              <w:ind w:left="108"/>
              <w:rPr>
                <w:rFonts w:ascii="Calibri"/>
                <w:sz w:val="22"/>
              </w:rPr>
            </w:pPr>
            <w:r>
              <w:rPr>
                <w:rFonts w:ascii="Calibri"/>
                <w:sz w:val="22"/>
              </w:rPr>
              <w:t>protection and resilience</w:t>
            </w:r>
          </w:p>
        </w:tc>
        <w:tc>
          <w:tcPr>
            <w:tcW w:w="2509" w:type="dxa"/>
          </w:tcPr>
          <w:p>
            <w:pPr>
              <w:pStyle w:val="TableParagraph"/>
              <w:rPr>
                <w:rFonts w:ascii="Times New Roman"/>
                <w:sz w:val="18"/>
              </w:rPr>
            </w:pPr>
          </w:p>
        </w:tc>
        <w:tc>
          <w:tcPr>
            <w:tcW w:w="2501" w:type="dxa"/>
          </w:tcPr>
          <w:p>
            <w:pPr>
              <w:pStyle w:val="TableParagraph"/>
              <w:rPr>
                <w:rFonts w:ascii="Times New Roman"/>
                <w:sz w:val="18"/>
              </w:rPr>
            </w:pPr>
          </w:p>
        </w:tc>
        <w:tc>
          <w:tcPr>
            <w:tcW w:w="1863" w:type="dxa"/>
          </w:tcPr>
          <w:p>
            <w:pPr>
              <w:pStyle w:val="TableParagraph"/>
              <w:rPr>
                <w:rFonts w:ascii="Times New Roman"/>
                <w:sz w:val="18"/>
              </w:rPr>
            </w:pPr>
          </w:p>
        </w:tc>
      </w:tr>
      <w:tr>
        <w:trPr>
          <w:trHeight w:val="389" w:hRule="atLeast"/>
        </w:trPr>
        <w:tc>
          <w:tcPr>
            <w:tcW w:w="2925" w:type="dxa"/>
          </w:tcPr>
          <w:p>
            <w:pPr>
              <w:pStyle w:val="TableParagraph"/>
              <w:spacing w:line="248" w:lineRule="exact"/>
              <w:ind w:left="106"/>
              <w:rPr>
                <w:rFonts w:ascii="Calibri"/>
                <w:sz w:val="22"/>
              </w:rPr>
            </w:pPr>
            <w:r>
              <w:rPr>
                <w:rFonts w:ascii="Calibri"/>
                <w:sz w:val="22"/>
              </w:rPr>
              <w:t>scheme</w:t>
            </w:r>
          </w:p>
        </w:tc>
        <w:tc>
          <w:tcPr>
            <w:tcW w:w="2509" w:type="dxa"/>
          </w:tcPr>
          <w:p>
            <w:pPr>
              <w:pStyle w:val="TableParagraph"/>
              <w:rPr>
                <w:rFonts w:ascii="Times New Roman"/>
                <w:sz w:val="22"/>
              </w:rPr>
            </w:pPr>
          </w:p>
        </w:tc>
        <w:tc>
          <w:tcPr>
            <w:tcW w:w="2501" w:type="dxa"/>
          </w:tcPr>
          <w:p>
            <w:pPr>
              <w:pStyle w:val="TableParagraph"/>
              <w:rPr>
                <w:rFonts w:ascii="Times New Roman"/>
                <w:sz w:val="22"/>
              </w:rPr>
            </w:pPr>
          </w:p>
        </w:tc>
        <w:tc>
          <w:tcPr>
            <w:tcW w:w="1863" w:type="dxa"/>
          </w:tcPr>
          <w:p>
            <w:pPr>
              <w:pStyle w:val="TableParagraph"/>
              <w:rPr>
                <w:rFonts w:ascii="Times New Roman"/>
                <w:sz w:val="22"/>
              </w:rPr>
            </w:pPr>
          </w:p>
        </w:tc>
      </w:tr>
      <w:tr>
        <w:trPr>
          <w:trHeight w:val="399" w:hRule="atLeast"/>
        </w:trPr>
        <w:tc>
          <w:tcPr>
            <w:tcW w:w="2925" w:type="dxa"/>
          </w:tcPr>
          <w:p>
            <w:pPr>
              <w:pStyle w:val="TableParagraph"/>
              <w:spacing w:before="108"/>
              <w:ind w:left="104"/>
              <w:rPr>
                <w:rFonts w:ascii="Calibri" w:hAnsi="Calibri"/>
                <w:sz w:val="22"/>
              </w:rPr>
            </w:pPr>
            <w:r>
              <w:rPr>
                <w:rFonts w:ascii="Calibri" w:hAnsi="Calibri"/>
                <w:w w:val="95"/>
                <w:sz w:val="22"/>
              </w:rPr>
              <w:t>Church Lane, Bardsey </w:t>
            </w:r>
            <w:r>
              <w:rPr>
                <w:rFonts w:ascii="Calibri" w:hAnsi="Calibri"/>
                <w:w w:val="70"/>
                <w:sz w:val="22"/>
              </w:rPr>
              <w:t>—</w:t>
            </w:r>
          </w:p>
        </w:tc>
        <w:tc>
          <w:tcPr>
            <w:tcW w:w="2509" w:type="dxa"/>
          </w:tcPr>
          <w:p>
            <w:pPr>
              <w:pStyle w:val="TableParagraph"/>
              <w:spacing w:line="280" w:lineRule="exact" w:before="99"/>
              <w:ind w:left="137"/>
              <w:rPr>
                <w:rFonts w:ascii="Calibri"/>
                <w:sz w:val="23"/>
              </w:rPr>
            </w:pPr>
            <w:r>
              <w:rPr>
                <w:rFonts w:ascii="Calibri"/>
                <w:sz w:val="23"/>
              </w:rPr>
              <w:t>Bardsey</w:t>
            </w:r>
          </w:p>
        </w:tc>
        <w:tc>
          <w:tcPr>
            <w:tcW w:w="2501" w:type="dxa"/>
          </w:tcPr>
          <w:p>
            <w:pPr>
              <w:pStyle w:val="TableParagraph"/>
              <w:spacing w:before="106"/>
              <w:ind w:right="117"/>
              <w:jc w:val="right"/>
              <w:rPr>
                <w:rFonts w:ascii="Consolas"/>
                <w:sz w:val="23"/>
              </w:rPr>
            </w:pPr>
            <w:r>
              <w:rPr>
                <w:rFonts w:ascii="Consolas"/>
                <w:w w:val="92"/>
                <w:sz w:val="23"/>
              </w:rPr>
              <w:t>3</w:t>
            </w:r>
          </w:p>
        </w:tc>
        <w:tc>
          <w:tcPr>
            <w:tcW w:w="1863" w:type="dxa"/>
          </w:tcPr>
          <w:p>
            <w:pPr>
              <w:pStyle w:val="TableParagraph"/>
              <w:spacing w:before="118"/>
              <w:ind w:right="145"/>
              <w:jc w:val="right"/>
              <w:rPr>
                <w:rFonts w:ascii="Calibri"/>
                <w:sz w:val="21"/>
              </w:rPr>
            </w:pPr>
            <w:r>
              <w:rPr>
                <w:rFonts w:ascii="Calibri"/>
                <w:sz w:val="21"/>
              </w:rPr>
              <w:t>2011</w:t>
            </w:r>
          </w:p>
        </w:tc>
      </w:tr>
      <w:tr>
        <w:trPr>
          <w:trHeight w:val="266" w:hRule="atLeast"/>
        </w:trPr>
        <w:tc>
          <w:tcPr>
            <w:tcW w:w="2925" w:type="dxa"/>
          </w:tcPr>
          <w:p>
            <w:pPr>
              <w:pStyle w:val="TableParagraph"/>
              <w:spacing w:line="246" w:lineRule="exact"/>
              <w:ind w:left="108"/>
              <w:rPr>
                <w:rFonts w:ascii="Calibri"/>
                <w:sz w:val="22"/>
              </w:rPr>
            </w:pPr>
            <w:r>
              <w:rPr>
                <w:rFonts w:ascii="Calibri"/>
                <w:sz w:val="22"/>
              </w:rPr>
              <w:t>property protection and</w:t>
            </w:r>
          </w:p>
        </w:tc>
        <w:tc>
          <w:tcPr>
            <w:tcW w:w="2509" w:type="dxa"/>
          </w:tcPr>
          <w:p>
            <w:pPr>
              <w:pStyle w:val="TableParagraph"/>
              <w:rPr>
                <w:rFonts w:ascii="Times New Roman"/>
                <w:sz w:val="18"/>
              </w:rPr>
            </w:pPr>
          </w:p>
        </w:tc>
        <w:tc>
          <w:tcPr>
            <w:tcW w:w="2501" w:type="dxa"/>
          </w:tcPr>
          <w:p>
            <w:pPr>
              <w:pStyle w:val="TableParagraph"/>
              <w:rPr>
                <w:rFonts w:ascii="Times New Roman"/>
                <w:sz w:val="18"/>
              </w:rPr>
            </w:pPr>
          </w:p>
        </w:tc>
        <w:tc>
          <w:tcPr>
            <w:tcW w:w="1863" w:type="dxa"/>
          </w:tcPr>
          <w:p>
            <w:pPr>
              <w:pStyle w:val="TableParagraph"/>
              <w:rPr>
                <w:rFonts w:ascii="Times New Roman"/>
                <w:sz w:val="18"/>
              </w:rPr>
            </w:pPr>
          </w:p>
        </w:tc>
      </w:tr>
      <w:tr>
        <w:trPr>
          <w:trHeight w:val="385" w:hRule="atLeast"/>
        </w:trPr>
        <w:tc>
          <w:tcPr>
            <w:tcW w:w="2925" w:type="dxa"/>
          </w:tcPr>
          <w:p>
            <w:pPr>
              <w:pStyle w:val="TableParagraph"/>
              <w:spacing w:line="248" w:lineRule="exact"/>
              <w:ind w:left="108"/>
              <w:rPr>
                <w:rFonts w:ascii="Calibri"/>
                <w:sz w:val="22"/>
              </w:rPr>
            </w:pPr>
            <w:r>
              <w:rPr>
                <w:rFonts w:ascii="Calibri"/>
                <w:sz w:val="22"/>
              </w:rPr>
              <w:t>resilience scheme</w:t>
            </w:r>
          </w:p>
        </w:tc>
        <w:tc>
          <w:tcPr>
            <w:tcW w:w="2509" w:type="dxa"/>
          </w:tcPr>
          <w:p>
            <w:pPr>
              <w:pStyle w:val="TableParagraph"/>
              <w:rPr>
                <w:rFonts w:ascii="Times New Roman"/>
                <w:sz w:val="22"/>
              </w:rPr>
            </w:pPr>
          </w:p>
        </w:tc>
        <w:tc>
          <w:tcPr>
            <w:tcW w:w="2501" w:type="dxa"/>
          </w:tcPr>
          <w:p>
            <w:pPr>
              <w:pStyle w:val="TableParagraph"/>
              <w:rPr>
                <w:rFonts w:ascii="Times New Roman"/>
                <w:sz w:val="22"/>
              </w:rPr>
            </w:pPr>
          </w:p>
        </w:tc>
        <w:tc>
          <w:tcPr>
            <w:tcW w:w="1863" w:type="dxa"/>
          </w:tcPr>
          <w:p>
            <w:pPr>
              <w:pStyle w:val="TableParagraph"/>
              <w:rPr>
                <w:rFonts w:ascii="Times New Roman"/>
                <w:sz w:val="22"/>
              </w:rPr>
            </w:pPr>
          </w:p>
        </w:tc>
      </w:tr>
      <w:tr>
        <w:trPr>
          <w:trHeight w:val="372" w:hRule="atLeast"/>
        </w:trPr>
        <w:tc>
          <w:tcPr>
            <w:tcW w:w="2925" w:type="dxa"/>
          </w:tcPr>
          <w:p>
            <w:pPr>
              <w:pStyle w:val="TableParagraph"/>
              <w:spacing w:line="258" w:lineRule="exact" w:before="94"/>
              <w:ind w:left="105"/>
              <w:rPr>
                <w:rFonts w:ascii="Calibri"/>
                <w:sz w:val="23"/>
              </w:rPr>
            </w:pPr>
            <w:r>
              <w:rPr>
                <w:rFonts w:ascii="Calibri"/>
                <w:sz w:val="23"/>
              </w:rPr>
              <w:t>Dean Park Drive, Drighlington</w:t>
            </w:r>
          </w:p>
        </w:tc>
        <w:tc>
          <w:tcPr>
            <w:tcW w:w="2509" w:type="dxa"/>
          </w:tcPr>
          <w:p>
            <w:pPr>
              <w:pStyle w:val="TableParagraph"/>
              <w:spacing w:line="258" w:lineRule="exact" w:before="94"/>
              <w:ind w:left="137"/>
              <w:rPr>
                <w:rFonts w:ascii="Calibri"/>
                <w:sz w:val="23"/>
              </w:rPr>
            </w:pPr>
            <w:r>
              <w:rPr>
                <w:rFonts w:ascii="Calibri"/>
                <w:sz w:val="23"/>
              </w:rPr>
              <w:t>Drighlington</w:t>
            </w:r>
          </w:p>
        </w:tc>
        <w:tc>
          <w:tcPr>
            <w:tcW w:w="2501" w:type="dxa"/>
          </w:tcPr>
          <w:p>
            <w:pPr>
              <w:pStyle w:val="TableParagraph"/>
              <w:spacing w:line="251" w:lineRule="exact" w:before="101"/>
              <w:ind w:right="109"/>
              <w:jc w:val="right"/>
              <w:rPr>
                <w:rFonts w:ascii="Consolas"/>
                <w:sz w:val="23"/>
              </w:rPr>
            </w:pPr>
            <w:r>
              <w:rPr>
                <w:rFonts w:ascii="Consolas"/>
                <w:w w:val="94"/>
                <w:sz w:val="23"/>
              </w:rPr>
              <w:t>8</w:t>
            </w:r>
          </w:p>
        </w:tc>
        <w:tc>
          <w:tcPr>
            <w:tcW w:w="1863" w:type="dxa"/>
          </w:tcPr>
          <w:p>
            <w:pPr>
              <w:pStyle w:val="TableParagraph"/>
              <w:spacing w:line="239" w:lineRule="exact" w:before="113"/>
              <w:ind w:right="145"/>
              <w:jc w:val="right"/>
              <w:rPr>
                <w:rFonts w:ascii="Calibri"/>
                <w:sz w:val="21"/>
              </w:rPr>
            </w:pPr>
            <w:r>
              <w:rPr>
                <w:rFonts w:ascii="Calibri"/>
                <w:sz w:val="21"/>
              </w:rPr>
              <w:t>2011</w:t>
            </w:r>
          </w:p>
        </w:tc>
      </w:tr>
      <w:tr>
        <w:trPr>
          <w:trHeight w:val="286" w:hRule="atLeast"/>
        </w:trPr>
        <w:tc>
          <w:tcPr>
            <w:tcW w:w="2925" w:type="dxa"/>
          </w:tcPr>
          <w:p>
            <w:pPr>
              <w:pStyle w:val="TableParagraph"/>
              <w:spacing w:line="266" w:lineRule="exact"/>
              <w:ind w:left="222"/>
              <w:rPr>
                <w:rFonts w:ascii="Calibri"/>
                <w:sz w:val="23"/>
              </w:rPr>
            </w:pPr>
            <w:r>
              <w:rPr>
                <w:rFonts w:ascii="Calibri"/>
                <w:sz w:val="23"/>
              </w:rPr>
              <w:t>property protection and</w:t>
            </w:r>
          </w:p>
        </w:tc>
        <w:tc>
          <w:tcPr>
            <w:tcW w:w="2509" w:type="dxa"/>
          </w:tcPr>
          <w:p>
            <w:pPr>
              <w:pStyle w:val="TableParagraph"/>
              <w:rPr>
                <w:rFonts w:ascii="Times New Roman"/>
                <w:sz w:val="20"/>
              </w:rPr>
            </w:pPr>
          </w:p>
        </w:tc>
        <w:tc>
          <w:tcPr>
            <w:tcW w:w="2501" w:type="dxa"/>
          </w:tcPr>
          <w:p>
            <w:pPr>
              <w:pStyle w:val="TableParagraph"/>
              <w:rPr>
                <w:rFonts w:ascii="Times New Roman"/>
                <w:sz w:val="20"/>
              </w:rPr>
            </w:pPr>
          </w:p>
        </w:tc>
        <w:tc>
          <w:tcPr>
            <w:tcW w:w="1863" w:type="dxa"/>
          </w:tcPr>
          <w:p>
            <w:pPr>
              <w:pStyle w:val="TableParagraph"/>
              <w:rPr>
                <w:rFonts w:ascii="Times New Roman"/>
                <w:sz w:val="20"/>
              </w:rPr>
            </w:pPr>
          </w:p>
        </w:tc>
      </w:tr>
      <w:tr>
        <w:trPr>
          <w:trHeight w:val="393" w:hRule="atLeast"/>
        </w:trPr>
        <w:tc>
          <w:tcPr>
            <w:tcW w:w="2925" w:type="dxa"/>
          </w:tcPr>
          <w:p>
            <w:pPr>
              <w:pStyle w:val="TableParagraph"/>
              <w:spacing w:line="234" w:lineRule="exact"/>
              <w:ind w:left="107"/>
              <w:rPr>
                <w:rFonts w:ascii="Calibri"/>
                <w:sz w:val="23"/>
              </w:rPr>
            </w:pPr>
            <w:r>
              <w:rPr>
                <w:rFonts w:ascii="Calibri"/>
                <w:sz w:val="23"/>
              </w:rPr>
              <w:t>resilience scheme</w:t>
            </w:r>
          </w:p>
        </w:tc>
        <w:tc>
          <w:tcPr>
            <w:tcW w:w="2509" w:type="dxa"/>
          </w:tcPr>
          <w:p>
            <w:pPr>
              <w:pStyle w:val="TableParagraph"/>
              <w:rPr>
                <w:rFonts w:ascii="Times New Roman"/>
                <w:sz w:val="22"/>
              </w:rPr>
            </w:pPr>
          </w:p>
        </w:tc>
        <w:tc>
          <w:tcPr>
            <w:tcW w:w="2501" w:type="dxa"/>
          </w:tcPr>
          <w:p>
            <w:pPr>
              <w:pStyle w:val="TableParagraph"/>
              <w:rPr>
                <w:rFonts w:ascii="Times New Roman"/>
                <w:sz w:val="22"/>
              </w:rPr>
            </w:pPr>
          </w:p>
        </w:tc>
        <w:tc>
          <w:tcPr>
            <w:tcW w:w="1863" w:type="dxa"/>
          </w:tcPr>
          <w:p>
            <w:pPr>
              <w:pStyle w:val="TableParagraph"/>
              <w:rPr>
                <w:rFonts w:ascii="Times New Roman"/>
                <w:sz w:val="22"/>
              </w:rPr>
            </w:pPr>
          </w:p>
        </w:tc>
      </w:tr>
      <w:tr>
        <w:trPr>
          <w:trHeight w:val="504" w:hRule="atLeast"/>
        </w:trPr>
        <w:tc>
          <w:tcPr>
            <w:tcW w:w="2925" w:type="dxa"/>
          </w:tcPr>
          <w:p>
            <w:pPr>
              <w:pStyle w:val="TableParagraph"/>
              <w:spacing w:before="97"/>
              <w:ind w:left="105"/>
              <w:rPr>
                <w:rFonts w:ascii="Calibri"/>
                <w:sz w:val="23"/>
              </w:rPr>
            </w:pPr>
            <w:r>
              <w:rPr>
                <w:rFonts w:ascii="Calibri"/>
                <w:sz w:val="23"/>
              </w:rPr>
              <w:t>Barley Hill Recreation Ground</w:t>
            </w:r>
          </w:p>
        </w:tc>
        <w:tc>
          <w:tcPr>
            <w:tcW w:w="2509" w:type="dxa"/>
          </w:tcPr>
          <w:p>
            <w:pPr>
              <w:pStyle w:val="TableParagraph"/>
              <w:spacing w:before="97"/>
              <w:ind w:left="139"/>
              <w:rPr>
                <w:rFonts w:ascii="Calibri"/>
                <w:sz w:val="23"/>
              </w:rPr>
            </w:pPr>
            <w:r>
              <w:rPr>
                <w:rFonts w:ascii="Calibri"/>
                <w:sz w:val="23"/>
              </w:rPr>
              <w:t>West Garforth</w:t>
            </w:r>
          </w:p>
        </w:tc>
        <w:tc>
          <w:tcPr>
            <w:tcW w:w="2501" w:type="dxa"/>
          </w:tcPr>
          <w:p>
            <w:pPr>
              <w:pStyle w:val="TableParagraph"/>
              <w:spacing w:before="114"/>
              <w:ind w:right="120"/>
              <w:jc w:val="right"/>
              <w:rPr>
                <w:rFonts w:ascii="Consolas"/>
                <w:sz w:val="22"/>
              </w:rPr>
            </w:pPr>
            <w:r>
              <w:rPr>
                <w:rFonts w:ascii="Consolas"/>
                <w:w w:val="87"/>
                <w:sz w:val="22"/>
              </w:rPr>
              <w:t>9</w:t>
            </w:r>
          </w:p>
        </w:tc>
        <w:tc>
          <w:tcPr>
            <w:tcW w:w="1863" w:type="dxa"/>
          </w:tcPr>
          <w:p>
            <w:pPr>
              <w:pStyle w:val="TableParagraph"/>
              <w:spacing w:before="116"/>
              <w:ind w:right="145"/>
              <w:jc w:val="right"/>
              <w:rPr>
                <w:rFonts w:ascii="Calibri"/>
                <w:sz w:val="21"/>
              </w:rPr>
            </w:pPr>
            <w:r>
              <w:rPr>
                <w:rFonts w:ascii="Calibri"/>
                <w:sz w:val="21"/>
              </w:rPr>
              <w:t>2012</w:t>
            </w:r>
          </w:p>
        </w:tc>
      </w:tr>
      <w:tr>
        <w:trPr>
          <w:trHeight w:val="785" w:hRule="atLeast"/>
        </w:trPr>
        <w:tc>
          <w:tcPr>
            <w:tcW w:w="2925" w:type="dxa"/>
          </w:tcPr>
          <w:p>
            <w:pPr>
              <w:pStyle w:val="TableParagraph"/>
              <w:spacing w:before="112"/>
              <w:ind w:left="106" w:hanging="2"/>
              <w:rPr>
                <w:rFonts w:ascii="Calibri"/>
                <w:sz w:val="22"/>
              </w:rPr>
            </w:pPr>
            <w:r>
              <w:rPr>
                <w:rFonts w:ascii="Calibri"/>
                <w:w w:val="95"/>
                <w:sz w:val="22"/>
              </w:rPr>
              <w:t>Oakdene, Watercourse </w:t>
            </w:r>
            <w:r>
              <w:rPr>
                <w:rFonts w:ascii="Calibri"/>
                <w:sz w:val="22"/>
              </w:rPr>
              <w:t>Improvements</w:t>
            </w:r>
          </w:p>
        </w:tc>
        <w:tc>
          <w:tcPr>
            <w:tcW w:w="2509" w:type="dxa"/>
          </w:tcPr>
          <w:p>
            <w:pPr>
              <w:pStyle w:val="TableParagraph"/>
              <w:spacing w:before="102"/>
              <w:ind w:left="138"/>
              <w:rPr>
                <w:rFonts w:ascii="Calibri"/>
                <w:sz w:val="23"/>
              </w:rPr>
            </w:pPr>
            <w:r>
              <w:rPr>
                <w:rFonts w:ascii="Calibri"/>
                <w:sz w:val="23"/>
              </w:rPr>
              <w:t>Swillington</w:t>
            </w:r>
          </w:p>
        </w:tc>
        <w:tc>
          <w:tcPr>
            <w:tcW w:w="2501" w:type="dxa"/>
          </w:tcPr>
          <w:p>
            <w:pPr>
              <w:pStyle w:val="TableParagraph"/>
              <w:spacing w:before="130"/>
              <w:ind w:right="111"/>
              <w:jc w:val="right"/>
              <w:rPr>
                <w:rFonts w:ascii="Courier New"/>
                <w:sz w:val="23"/>
              </w:rPr>
            </w:pPr>
            <w:r>
              <w:rPr>
                <w:rFonts w:ascii="Courier New"/>
                <w:w w:val="87"/>
                <w:sz w:val="23"/>
              </w:rPr>
              <w:t>1</w:t>
            </w:r>
          </w:p>
        </w:tc>
        <w:tc>
          <w:tcPr>
            <w:tcW w:w="1863" w:type="dxa"/>
          </w:tcPr>
          <w:p>
            <w:pPr>
              <w:pStyle w:val="TableParagraph"/>
              <w:spacing w:before="121"/>
              <w:ind w:right="145"/>
              <w:jc w:val="right"/>
              <w:rPr>
                <w:rFonts w:ascii="Calibri"/>
                <w:sz w:val="21"/>
              </w:rPr>
            </w:pPr>
            <w:r>
              <w:rPr>
                <w:rFonts w:ascii="Calibri"/>
                <w:sz w:val="21"/>
              </w:rPr>
              <w:t>2013</w:t>
            </w:r>
          </w:p>
        </w:tc>
      </w:tr>
      <w:tr>
        <w:trPr>
          <w:trHeight w:val="390" w:hRule="atLeast"/>
        </w:trPr>
        <w:tc>
          <w:tcPr>
            <w:tcW w:w="2925" w:type="dxa"/>
          </w:tcPr>
          <w:p>
            <w:pPr>
              <w:pStyle w:val="TableParagraph"/>
              <w:spacing w:line="276" w:lineRule="exact" w:before="94"/>
              <w:ind w:left="105"/>
              <w:rPr>
                <w:rFonts w:ascii="Calibri"/>
                <w:sz w:val="23"/>
              </w:rPr>
            </w:pPr>
            <w:r>
              <w:rPr>
                <w:rFonts w:ascii="Calibri"/>
                <w:sz w:val="23"/>
              </w:rPr>
              <w:t>Lowther Road, Garforth</w:t>
            </w:r>
          </w:p>
        </w:tc>
        <w:tc>
          <w:tcPr>
            <w:tcW w:w="2509" w:type="dxa"/>
          </w:tcPr>
          <w:p>
            <w:pPr>
              <w:pStyle w:val="TableParagraph"/>
              <w:spacing w:line="276" w:lineRule="exact" w:before="94"/>
              <w:ind w:left="136"/>
              <w:rPr>
                <w:rFonts w:ascii="Calibri"/>
                <w:sz w:val="23"/>
              </w:rPr>
            </w:pPr>
            <w:r>
              <w:rPr>
                <w:rFonts w:ascii="Calibri"/>
                <w:sz w:val="23"/>
              </w:rPr>
              <w:t>Garforth</w:t>
            </w:r>
          </w:p>
        </w:tc>
        <w:tc>
          <w:tcPr>
            <w:tcW w:w="2501" w:type="dxa"/>
          </w:tcPr>
          <w:p>
            <w:pPr>
              <w:pStyle w:val="TableParagraph"/>
              <w:spacing w:before="110"/>
              <w:ind w:right="120"/>
              <w:jc w:val="right"/>
              <w:rPr>
                <w:rFonts w:ascii="Consolas"/>
                <w:sz w:val="22"/>
              </w:rPr>
            </w:pPr>
            <w:r>
              <w:rPr>
                <w:rFonts w:ascii="Consolas"/>
                <w:w w:val="87"/>
                <w:sz w:val="22"/>
              </w:rPr>
              <w:t>9</w:t>
            </w:r>
          </w:p>
        </w:tc>
        <w:tc>
          <w:tcPr>
            <w:tcW w:w="1863" w:type="dxa"/>
          </w:tcPr>
          <w:p>
            <w:pPr>
              <w:pStyle w:val="TableParagraph"/>
              <w:spacing w:before="113"/>
              <w:ind w:right="140"/>
              <w:jc w:val="right"/>
              <w:rPr>
                <w:rFonts w:ascii="Calibri"/>
                <w:sz w:val="21"/>
              </w:rPr>
            </w:pPr>
            <w:r>
              <w:rPr>
                <w:rFonts w:ascii="Calibri"/>
                <w:sz w:val="21"/>
              </w:rPr>
              <w:t>2014</w:t>
            </w:r>
          </w:p>
        </w:tc>
      </w:tr>
      <w:tr>
        <w:trPr>
          <w:trHeight w:val="384" w:hRule="atLeast"/>
        </w:trPr>
        <w:tc>
          <w:tcPr>
            <w:tcW w:w="2925" w:type="dxa"/>
          </w:tcPr>
          <w:p>
            <w:pPr>
              <w:pStyle w:val="TableParagraph"/>
              <w:spacing w:line="254" w:lineRule="exact"/>
              <w:ind w:left="104"/>
              <w:rPr>
                <w:rFonts w:ascii="Calibri"/>
                <w:sz w:val="23"/>
              </w:rPr>
            </w:pPr>
            <w:r>
              <w:rPr>
                <w:rFonts w:ascii="Calibri"/>
                <w:sz w:val="23"/>
              </w:rPr>
              <w:t>Culvert Improvements</w:t>
            </w:r>
          </w:p>
        </w:tc>
        <w:tc>
          <w:tcPr>
            <w:tcW w:w="2509" w:type="dxa"/>
          </w:tcPr>
          <w:p>
            <w:pPr>
              <w:pStyle w:val="TableParagraph"/>
              <w:rPr>
                <w:rFonts w:ascii="Times New Roman"/>
                <w:sz w:val="22"/>
              </w:rPr>
            </w:pPr>
          </w:p>
        </w:tc>
        <w:tc>
          <w:tcPr>
            <w:tcW w:w="2501" w:type="dxa"/>
          </w:tcPr>
          <w:p>
            <w:pPr>
              <w:pStyle w:val="TableParagraph"/>
              <w:rPr>
                <w:rFonts w:ascii="Times New Roman"/>
                <w:sz w:val="22"/>
              </w:rPr>
            </w:pPr>
          </w:p>
        </w:tc>
        <w:tc>
          <w:tcPr>
            <w:tcW w:w="1863" w:type="dxa"/>
          </w:tcPr>
          <w:p>
            <w:pPr>
              <w:pStyle w:val="TableParagraph"/>
              <w:rPr>
                <w:rFonts w:ascii="Times New Roman"/>
                <w:sz w:val="22"/>
              </w:rPr>
            </w:pPr>
          </w:p>
        </w:tc>
      </w:tr>
      <w:tr>
        <w:trPr>
          <w:trHeight w:val="532" w:hRule="atLeast"/>
        </w:trPr>
        <w:tc>
          <w:tcPr>
            <w:tcW w:w="2925" w:type="dxa"/>
          </w:tcPr>
          <w:p>
            <w:pPr>
              <w:pStyle w:val="TableParagraph"/>
              <w:spacing w:before="126"/>
              <w:ind w:left="108"/>
              <w:rPr>
                <w:rFonts w:ascii="Calibri"/>
                <w:sz w:val="21"/>
              </w:rPr>
            </w:pPr>
            <w:r>
              <w:rPr>
                <w:rFonts w:ascii="Calibri"/>
                <w:sz w:val="21"/>
              </w:rPr>
              <w:t>Wellhouse Drive FAS</w:t>
            </w:r>
          </w:p>
        </w:tc>
        <w:tc>
          <w:tcPr>
            <w:tcW w:w="2509" w:type="dxa"/>
          </w:tcPr>
          <w:p>
            <w:pPr>
              <w:pStyle w:val="TableParagraph"/>
              <w:spacing w:before="107"/>
              <w:ind w:left="136"/>
              <w:rPr>
                <w:rFonts w:ascii="Calibri"/>
                <w:sz w:val="23"/>
              </w:rPr>
            </w:pPr>
            <w:r>
              <w:rPr>
                <w:rFonts w:ascii="Calibri"/>
                <w:sz w:val="23"/>
              </w:rPr>
              <w:t>Gledhow</w:t>
            </w:r>
          </w:p>
        </w:tc>
        <w:tc>
          <w:tcPr>
            <w:tcW w:w="2501" w:type="dxa"/>
          </w:tcPr>
          <w:p>
            <w:pPr>
              <w:pStyle w:val="TableParagraph"/>
              <w:spacing w:before="134"/>
              <w:ind w:right="111"/>
              <w:jc w:val="right"/>
              <w:rPr>
                <w:rFonts w:ascii="Courier New"/>
                <w:sz w:val="23"/>
              </w:rPr>
            </w:pPr>
            <w:r>
              <w:rPr>
                <w:rFonts w:ascii="Courier New"/>
                <w:w w:val="87"/>
                <w:sz w:val="23"/>
              </w:rPr>
              <w:t>1</w:t>
            </w:r>
          </w:p>
        </w:tc>
        <w:tc>
          <w:tcPr>
            <w:tcW w:w="1863" w:type="dxa"/>
          </w:tcPr>
          <w:p>
            <w:pPr>
              <w:pStyle w:val="TableParagraph"/>
              <w:spacing w:before="126"/>
              <w:ind w:right="140"/>
              <w:jc w:val="right"/>
              <w:rPr>
                <w:rFonts w:ascii="Calibri"/>
                <w:sz w:val="21"/>
              </w:rPr>
            </w:pPr>
            <w:r>
              <w:rPr>
                <w:rFonts w:ascii="Calibri"/>
                <w:sz w:val="21"/>
              </w:rPr>
              <w:t>2014</w:t>
            </w:r>
          </w:p>
        </w:tc>
      </w:tr>
      <w:tr>
        <w:trPr>
          <w:trHeight w:val="381" w:hRule="atLeast"/>
        </w:trPr>
        <w:tc>
          <w:tcPr>
            <w:tcW w:w="2925" w:type="dxa"/>
          </w:tcPr>
          <w:p>
            <w:pPr>
              <w:pStyle w:val="TableParagraph"/>
              <w:spacing w:before="93"/>
              <w:ind w:left="104"/>
              <w:rPr>
                <w:rFonts w:ascii="Calibri"/>
                <w:sz w:val="22"/>
              </w:rPr>
            </w:pPr>
            <w:r>
              <w:rPr>
                <w:rFonts w:ascii="Calibri"/>
                <w:sz w:val="22"/>
              </w:rPr>
              <w:t>Culvert Headwall Repair</w:t>
            </w:r>
          </w:p>
        </w:tc>
        <w:tc>
          <w:tcPr>
            <w:tcW w:w="2509" w:type="dxa"/>
          </w:tcPr>
          <w:p>
            <w:pPr>
              <w:pStyle w:val="TableParagraph"/>
              <w:spacing w:before="102"/>
              <w:ind w:left="136"/>
              <w:rPr>
                <w:rFonts w:ascii="Calibri"/>
                <w:sz w:val="21"/>
              </w:rPr>
            </w:pPr>
            <w:r>
              <w:rPr>
                <w:rFonts w:ascii="Calibri"/>
                <w:w w:val="105"/>
                <w:sz w:val="21"/>
              </w:rPr>
              <w:t>Otley</w:t>
            </w:r>
          </w:p>
        </w:tc>
        <w:tc>
          <w:tcPr>
            <w:tcW w:w="2501" w:type="dxa"/>
          </w:tcPr>
          <w:p>
            <w:pPr>
              <w:pStyle w:val="TableParagraph"/>
              <w:rPr>
                <w:rFonts w:ascii="Times New Roman"/>
                <w:sz w:val="22"/>
              </w:rPr>
            </w:pPr>
          </w:p>
        </w:tc>
        <w:tc>
          <w:tcPr>
            <w:tcW w:w="1863" w:type="dxa"/>
          </w:tcPr>
          <w:p>
            <w:pPr>
              <w:pStyle w:val="TableParagraph"/>
              <w:spacing w:before="102"/>
              <w:ind w:right="140"/>
              <w:jc w:val="right"/>
              <w:rPr>
                <w:rFonts w:ascii="Calibri"/>
                <w:sz w:val="21"/>
              </w:rPr>
            </w:pPr>
            <w:r>
              <w:rPr>
                <w:rFonts w:ascii="Calibri"/>
                <w:sz w:val="21"/>
              </w:rPr>
              <w:t>2014</w:t>
            </w:r>
          </w:p>
        </w:tc>
      </w:tr>
      <w:tr>
        <w:trPr>
          <w:trHeight w:val="437" w:hRule="atLeast"/>
        </w:trPr>
        <w:tc>
          <w:tcPr>
            <w:tcW w:w="2925" w:type="dxa"/>
          </w:tcPr>
          <w:p>
            <w:pPr>
              <w:pStyle w:val="TableParagraph"/>
              <w:spacing w:line="248" w:lineRule="exact"/>
              <w:ind w:left="107"/>
              <w:rPr>
                <w:rFonts w:ascii="Calibri"/>
                <w:sz w:val="22"/>
              </w:rPr>
            </w:pPr>
            <w:r>
              <w:rPr>
                <w:rFonts w:ascii="Calibri"/>
                <w:sz w:val="22"/>
              </w:rPr>
              <w:t>Scheme</w:t>
            </w:r>
          </w:p>
        </w:tc>
        <w:tc>
          <w:tcPr>
            <w:tcW w:w="2509" w:type="dxa"/>
          </w:tcPr>
          <w:p>
            <w:pPr>
              <w:pStyle w:val="TableParagraph"/>
              <w:rPr>
                <w:rFonts w:ascii="Times New Roman"/>
                <w:sz w:val="22"/>
              </w:rPr>
            </w:pPr>
          </w:p>
        </w:tc>
        <w:tc>
          <w:tcPr>
            <w:tcW w:w="2501" w:type="dxa"/>
          </w:tcPr>
          <w:p>
            <w:pPr>
              <w:pStyle w:val="TableParagraph"/>
              <w:rPr>
                <w:rFonts w:ascii="Times New Roman"/>
                <w:sz w:val="22"/>
              </w:rPr>
            </w:pPr>
          </w:p>
        </w:tc>
        <w:tc>
          <w:tcPr>
            <w:tcW w:w="1863" w:type="dxa"/>
          </w:tcPr>
          <w:p>
            <w:pPr>
              <w:pStyle w:val="TableParagraph"/>
              <w:rPr>
                <w:rFonts w:ascii="Times New Roman"/>
                <w:sz w:val="22"/>
              </w:rPr>
            </w:pPr>
          </w:p>
        </w:tc>
      </w:tr>
      <w:tr>
        <w:trPr>
          <w:trHeight w:val="854" w:hRule="atLeast"/>
        </w:trPr>
        <w:tc>
          <w:tcPr>
            <w:tcW w:w="2925" w:type="dxa"/>
          </w:tcPr>
          <w:p>
            <w:pPr>
              <w:pStyle w:val="TableParagraph"/>
              <w:spacing w:before="175"/>
              <w:ind w:left="106" w:right="143"/>
              <w:rPr>
                <w:rFonts w:ascii="Calibri"/>
                <w:sz w:val="22"/>
              </w:rPr>
            </w:pPr>
            <w:r>
              <w:rPr>
                <w:rFonts w:ascii="Calibri"/>
                <w:sz w:val="22"/>
              </w:rPr>
              <w:t>Hawthorn Terrace FAS Phase 1</w:t>
            </w:r>
          </w:p>
        </w:tc>
        <w:tc>
          <w:tcPr>
            <w:tcW w:w="2509" w:type="dxa"/>
          </w:tcPr>
          <w:p>
            <w:pPr>
              <w:pStyle w:val="TableParagraph"/>
              <w:spacing w:before="166"/>
              <w:ind w:left="139"/>
              <w:rPr>
                <w:rFonts w:ascii="Calibri"/>
                <w:sz w:val="23"/>
              </w:rPr>
            </w:pPr>
            <w:r>
              <w:rPr>
                <w:rFonts w:ascii="Calibri"/>
                <w:sz w:val="23"/>
              </w:rPr>
              <w:t>West Garforth</w:t>
            </w:r>
          </w:p>
        </w:tc>
        <w:tc>
          <w:tcPr>
            <w:tcW w:w="2501" w:type="dxa"/>
          </w:tcPr>
          <w:p>
            <w:pPr>
              <w:pStyle w:val="TableParagraph"/>
              <w:spacing w:before="193"/>
              <w:ind w:right="103"/>
              <w:jc w:val="right"/>
              <w:rPr>
                <w:rFonts w:ascii="Courier New"/>
                <w:sz w:val="23"/>
              </w:rPr>
            </w:pPr>
            <w:r>
              <w:rPr>
                <w:rFonts w:ascii="Courier New"/>
                <w:w w:val="85"/>
                <w:sz w:val="23"/>
              </w:rPr>
              <w:t>10</w:t>
            </w:r>
          </w:p>
        </w:tc>
        <w:tc>
          <w:tcPr>
            <w:tcW w:w="1863" w:type="dxa"/>
          </w:tcPr>
          <w:p>
            <w:pPr>
              <w:pStyle w:val="TableParagraph"/>
              <w:spacing w:before="175"/>
              <w:ind w:right="138"/>
              <w:jc w:val="right"/>
              <w:rPr>
                <w:rFonts w:ascii="Calibri"/>
                <w:sz w:val="22"/>
              </w:rPr>
            </w:pPr>
            <w:r>
              <w:rPr>
                <w:rFonts w:ascii="Calibri"/>
                <w:sz w:val="22"/>
              </w:rPr>
              <w:t>2016</w:t>
            </w:r>
          </w:p>
        </w:tc>
      </w:tr>
      <w:tr>
        <w:trPr>
          <w:trHeight w:val="393" w:hRule="atLeast"/>
        </w:trPr>
        <w:tc>
          <w:tcPr>
            <w:tcW w:w="2925" w:type="dxa"/>
          </w:tcPr>
          <w:p>
            <w:pPr>
              <w:pStyle w:val="TableParagraph"/>
              <w:spacing w:line="275" w:lineRule="exact" w:before="99"/>
              <w:ind w:left="105"/>
              <w:rPr>
                <w:rFonts w:ascii="Calibri"/>
                <w:sz w:val="23"/>
              </w:rPr>
            </w:pPr>
            <w:r>
              <w:rPr>
                <w:rFonts w:ascii="Calibri"/>
                <w:sz w:val="23"/>
              </w:rPr>
              <w:t>Leeds FAS Phase 1, River Aire</w:t>
            </w:r>
          </w:p>
        </w:tc>
        <w:tc>
          <w:tcPr>
            <w:tcW w:w="2509" w:type="dxa"/>
          </w:tcPr>
          <w:p>
            <w:pPr>
              <w:pStyle w:val="TableParagraph"/>
              <w:spacing w:line="265" w:lineRule="exact" w:before="108"/>
              <w:ind w:left="137"/>
              <w:rPr>
                <w:rFonts w:ascii="Calibri"/>
                <w:sz w:val="22"/>
              </w:rPr>
            </w:pPr>
            <w:r>
              <w:rPr>
                <w:rFonts w:ascii="Calibri"/>
                <w:sz w:val="22"/>
              </w:rPr>
              <w:t>River Aire (City Centre to</w:t>
            </w:r>
          </w:p>
        </w:tc>
        <w:tc>
          <w:tcPr>
            <w:tcW w:w="2501" w:type="dxa"/>
          </w:tcPr>
          <w:p>
            <w:pPr>
              <w:pStyle w:val="TableParagraph"/>
              <w:spacing w:line="275" w:lineRule="exact" w:before="99"/>
              <w:ind w:right="120"/>
              <w:jc w:val="right"/>
              <w:rPr>
                <w:rFonts w:ascii="Calibri"/>
                <w:sz w:val="23"/>
              </w:rPr>
            </w:pPr>
            <w:r>
              <w:rPr>
                <w:rFonts w:ascii="Calibri"/>
                <w:w w:val="95"/>
                <w:sz w:val="23"/>
              </w:rPr>
              <w:t>3000</w:t>
            </w:r>
          </w:p>
        </w:tc>
        <w:tc>
          <w:tcPr>
            <w:tcW w:w="1863" w:type="dxa"/>
          </w:tcPr>
          <w:p>
            <w:pPr>
              <w:pStyle w:val="TableParagraph"/>
              <w:spacing w:line="265" w:lineRule="exact" w:before="108"/>
              <w:ind w:right="138"/>
              <w:jc w:val="right"/>
              <w:rPr>
                <w:rFonts w:ascii="Calibri"/>
                <w:sz w:val="22"/>
              </w:rPr>
            </w:pPr>
            <w:r>
              <w:rPr>
                <w:rFonts w:ascii="Calibri"/>
                <w:sz w:val="22"/>
              </w:rPr>
              <w:t>2017</w:t>
            </w:r>
          </w:p>
        </w:tc>
      </w:tr>
      <w:tr>
        <w:trPr>
          <w:trHeight w:val="374" w:hRule="atLeast"/>
        </w:trPr>
        <w:tc>
          <w:tcPr>
            <w:tcW w:w="2925" w:type="dxa"/>
          </w:tcPr>
          <w:p>
            <w:pPr>
              <w:pStyle w:val="TableParagraph"/>
              <w:rPr>
                <w:rFonts w:ascii="Times New Roman"/>
                <w:sz w:val="22"/>
              </w:rPr>
            </w:pPr>
          </w:p>
        </w:tc>
        <w:tc>
          <w:tcPr>
            <w:tcW w:w="2509" w:type="dxa"/>
          </w:tcPr>
          <w:p>
            <w:pPr>
              <w:pStyle w:val="TableParagraph"/>
              <w:spacing w:line="242" w:lineRule="exact"/>
              <w:ind w:left="138"/>
              <w:rPr>
                <w:rFonts w:ascii="Calibri"/>
                <w:sz w:val="22"/>
              </w:rPr>
            </w:pPr>
            <w:r>
              <w:rPr>
                <w:rFonts w:ascii="Calibri"/>
                <w:sz w:val="22"/>
              </w:rPr>
              <w:t>Upper Catchment)</w:t>
            </w:r>
          </w:p>
        </w:tc>
        <w:tc>
          <w:tcPr>
            <w:tcW w:w="2501" w:type="dxa"/>
          </w:tcPr>
          <w:p>
            <w:pPr>
              <w:pStyle w:val="TableParagraph"/>
              <w:rPr>
                <w:rFonts w:ascii="Times New Roman"/>
                <w:sz w:val="22"/>
              </w:rPr>
            </w:pPr>
          </w:p>
        </w:tc>
        <w:tc>
          <w:tcPr>
            <w:tcW w:w="1863" w:type="dxa"/>
          </w:tcPr>
          <w:p>
            <w:pPr>
              <w:pStyle w:val="TableParagraph"/>
              <w:rPr>
                <w:rFonts w:ascii="Times New Roman"/>
                <w:sz w:val="22"/>
              </w:rPr>
            </w:pPr>
          </w:p>
        </w:tc>
      </w:tr>
      <w:tr>
        <w:trPr>
          <w:trHeight w:val="793" w:hRule="atLeast"/>
        </w:trPr>
        <w:tc>
          <w:tcPr>
            <w:tcW w:w="2925" w:type="dxa"/>
          </w:tcPr>
          <w:p>
            <w:pPr>
              <w:pStyle w:val="TableParagraph"/>
              <w:spacing w:line="230" w:lineRule="auto" w:before="117"/>
              <w:ind w:left="104" w:right="143"/>
              <w:rPr>
                <w:rFonts w:ascii="Calibri"/>
                <w:sz w:val="23"/>
              </w:rPr>
            </w:pPr>
            <w:r>
              <w:rPr>
                <w:rFonts w:ascii="Calibri"/>
                <w:w w:val="95"/>
                <w:sz w:val="23"/>
              </w:rPr>
              <w:t>Glebelands Recreation </w:t>
            </w:r>
            <w:r>
              <w:rPr>
                <w:rFonts w:ascii="Calibri"/>
                <w:sz w:val="23"/>
              </w:rPr>
              <w:t>Ground</w:t>
            </w:r>
          </w:p>
        </w:tc>
        <w:tc>
          <w:tcPr>
            <w:tcW w:w="2509" w:type="dxa"/>
          </w:tcPr>
          <w:p>
            <w:pPr>
              <w:pStyle w:val="TableParagraph"/>
              <w:spacing w:before="108"/>
              <w:ind w:left="136"/>
              <w:rPr>
                <w:rFonts w:ascii="Calibri"/>
                <w:sz w:val="23"/>
              </w:rPr>
            </w:pPr>
            <w:r>
              <w:rPr>
                <w:rFonts w:ascii="Calibri"/>
                <w:sz w:val="23"/>
              </w:rPr>
              <w:t>Garforth</w:t>
            </w:r>
          </w:p>
        </w:tc>
        <w:tc>
          <w:tcPr>
            <w:tcW w:w="2501" w:type="dxa"/>
          </w:tcPr>
          <w:p>
            <w:pPr>
              <w:pStyle w:val="TableParagraph"/>
              <w:spacing w:before="136"/>
              <w:ind w:right="103"/>
              <w:jc w:val="right"/>
              <w:rPr>
                <w:rFonts w:ascii="Courier New"/>
                <w:sz w:val="23"/>
              </w:rPr>
            </w:pPr>
            <w:r>
              <w:rPr>
                <w:rFonts w:ascii="Courier New"/>
                <w:w w:val="85"/>
                <w:sz w:val="23"/>
              </w:rPr>
              <w:t>10</w:t>
            </w:r>
          </w:p>
        </w:tc>
        <w:tc>
          <w:tcPr>
            <w:tcW w:w="1863" w:type="dxa"/>
          </w:tcPr>
          <w:p>
            <w:pPr>
              <w:pStyle w:val="TableParagraph"/>
              <w:spacing w:before="118"/>
              <w:ind w:right="138"/>
              <w:jc w:val="right"/>
              <w:rPr>
                <w:rFonts w:ascii="Calibri"/>
                <w:sz w:val="22"/>
              </w:rPr>
            </w:pPr>
            <w:r>
              <w:rPr>
                <w:rFonts w:ascii="Calibri"/>
                <w:sz w:val="22"/>
              </w:rPr>
              <w:t>2017</w:t>
            </w:r>
          </w:p>
        </w:tc>
      </w:tr>
      <w:tr>
        <w:trPr>
          <w:trHeight w:val="388" w:hRule="atLeast"/>
        </w:trPr>
        <w:tc>
          <w:tcPr>
            <w:tcW w:w="2925" w:type="dxa"/>
          </w:tcPr>
          <w:p>
            <w:pPr>
              <w:pStyle w:val="TableParagraph"/>
              <w:spacing w:line="276" w:lineRule="exact" w:before="93"/>
              <w:ind w:left="105"/>
              <w:rPr>
                <w:rFonts w:ascii="Calibri"/>
                <w:sz w:val="23"/>
              </w:rPr>
            </w:pPr>
            <w:r>
              <w:rPr>
                <w:rFonts w:ascii="Calibri"/>
                <w:sz w:val="23"/>
              </w:rPr>
              <w:t>Barley Hill Recreation Ground</w:t>
            </w:r>
          </w:p>
        </w:tc>
        <w:tc>
          <w:tcPr>
            <w:tcW w:w="2509" w:type="dxa"/>
          </w:tcPr>
          <w:p>
            <w:pPr>
              <w:pStyle w:val="TableParagraph"/>
              <w:spacing w:line="276" w:lineRule="exact" w:before="93"/>
              <w:ind w:left="139"/>
              <w:rPr>
                <w:rFonts w:ascii="Calibri"/>
                <w:sz w:val="23"/>
              </w:rPr>
            </w:pPr>
            <w:r>
              <w:rPr>
                <w:rFonts w:ascii="Calibri"/>
                <w:sz w:val="23"/>
              </w:rPr>
              <w:t>West Garforth</w:t>
            </w:r>
          </w:p>
        </w:tc>
        <w:tc>
          <w:tcPr>
            <w:tcW w:w="2501" w:type="dxa"/>
          </w:tcPr>
          <w:p>
            <w:pPr>
              <w:pStyle w:val="TableParagraph"/>
              <w:spacing w:line="266" w:lineRule="exact" w:before="102"/>
              <w:ind w:right="117"/>
              <w:jc w:val="right"/>
              <w:rPr>
                <w:rFonts w:ascii="Calibri"/>
                <w:sz w:val="22"/>
              </w:rPr>
            </w:pPr>
            <w:r>
              <w:rPr>
                <w:rFonts w:ascii="Calibri"/>
                <w:sz w:val="22"/>
              </w:rPr>
              <w:t>24</w:t>
            </w:r>
          </w:p>
        </w:tc>
        <w:tc>
          <w:tcPr>
            <w:tcW w:w="1863" w:type="dxa"/>
          </w:tcPr>
          <w:p>
            <w:pPr>
              <w:pStyle w:val="TableParagraph"/>
              <w:spacing w:line="266" w:lineRule="exact" w:before="102"/>
              <w:ind w:right="138"/>
              <w:jc w:val="right"/>
              <w:rPr>
                <w:rFonts w:ascii="Calibri"/>
                <w:sz w:val="22"/>
              </w:rPr>
            </w:pPr>
            <w:r>
              <w:rPr>
                <w:rFonts w:ascii="Calibri"/>
                <w:sz w:val="22"/>
              </w:rPr>
              <w:t>2017</w:t>
            </w:r>
          </w:p>
        </w:tc>
      </w:tr>
      <w:tr>
        <w:trPr>
          <w:trHeight w:val="397" w:hRule="atLeast"/>
        </w:trPr>
        <w:tc>
          <w:tcPr>
            <w:tcW w:w="2925" w:type="dxa"/>
          </w:tcPr>
          <w:p>
            <w:pPr>
              <w:pStyle w:val="TableParagraph"/>
              <w:spacing w:line="254" w:lineRule="exact"/>
              <w:ind w:left="105"/>
              <w:rPr>
                <w:rFonts w:ascii="Calibri"/>
                <w:sz w:val="23"/>
              </w:rPr>
            </w:pPr>
            <w:r>
              <w:rPr>
                <w:rFonts w:ascii="Calibri"/>
                <w:sz w:val="23"/>
              </w:rPr>
              <w:t>Phase 2</w:t>
            </w:r>
          </w:p>
        </w:tc>
        <w:tc>
          <w:tcPr>
            <w:tcW w:w="2509" w:type="dxa"/>
          </w:tcPr>
          <w:p>
            <w:pPr>
              <w:pStyle w:val="TableParagraph"/>
              <w:rPr>
                <w:rFonts w:ascii="Times New Roman"/>
                <w:sz w:val="22"/>
              </w:rPr>
            </w:pPr>
          </w:p>
        </w:tc>
        <w:tc>
          <w:tcPr>
            <w:tcW w:w="2501" w:type="dxa"/>
          </w:tcPr>
          <w:p>
            <w:pPr>
              <w:pStyle w:val="TableParagraph"/>
              <w:rPr>
                <w:rFonts w:ascii="Times New Roman"/>
                <w:sz w:val="22"/>
              </w:rPr>
            </w:pPr>
          </w:p>
        </w:tc>
        <w:tc>
          <w:tcPr>
            <w:tcW w:w="1863" w:type="dxa"/>
          </w:tcPr>
          <w:p>
            <w:pPr>
              <w:pStyle w:val="TableParagraph"/>
              <w:rPr>
                <w:rFonts w:ascii="Times New Roman"/>
                <w:sz w:val="22"/>
              </w:rPr>
            </w:pPr>
          </w:p>
        </w:tc>
      </w:tr>
      <w:tr>
        <w:trPr>
          <w:trHeight w:val="367" w:hRule="atLeast"/>
        </w:trPr>
        <w:tc>
          <w:tcPr>
            <w:tcW w:w="2925" w:type="dxa"/>
          </w:tcPr>
          <w:p>
            <w:pPr>
              <w:pStyle w:val="TableParagraph"/>
              <w:spacing w:line="244" w:lineRule="exact" w:before="103"/>
              <w:ind w:left="106"/>
              <w:rPr>
                <w:rFonts w:ascii="Calibri"/>
                <w:sz w:val="22"/>
              </w:rPr>
            </w:pPr>
            <w:r>
              <w:rPr>
                <w:rFonts w:ascii="Calibri"/>
                <w:sz w:val="22"/>
              </w:rPr>
              <w:t>Ramsden Street, Kippax, FAS</w:t>
            </w:r>
          </w:p>
        </w:tc>
        <w:tc>
          <w:tcPr>
            <w:tcW w:w="2509" w:type="dxa"/>
          </w:tcPr>
          <w:p>
            <w:pPr>
              <w:pStyle w:val="TableParagraph"/>
              <w:spacing w:line="235" w:lineRule="exact" w:before="113"/>
              <w:ind w:left="138"/>
              <w:rPr>
                <w:rFonts w:ascii="Calibri"/>
                <w:sz w:val="21"/>
              </w:rPr>
            </w:pPr>
            <w:r>
              <w:rPr>
                <w:rFonts w:ascii="Calibri"/>
                <w:sz w:val="21"/>
              </w:rPr>
              <w:t>Kippax</w:t>
            </w:r>
          </w:p>
        </w:tc>
        <w:tc>
          <w:tcPr>
            <w:tcW w:w="2501" w:type="dxa"/>
          </w:tcPr>
          <w:p>
            <w:pPr>
              <w:pStyle w:val="TableParagraph"/>
              <w:spacing w:line="244" w:lineRule="exact" w:before="103"/>
              <w:ind w:right="121"/>
              <w:jc w:val="right"/>
              <w:rPr>
                <w:rFonts w:ascii="Calibri"/>
                <w:sz w:val="22"/>
              </w:rPr>
            </w:pPr>
            <w:r>
              <w:rPr>
                <w:rFonts w:ascii="Calibri"/>
                <w:w w:val="95"/>
                <w:sz w:val="22"/>
              </w:rPr>
              <w:t>32</w:t>
            </w:r>
          </w:p>
        </w:tc>
        <w:tc>
          <w:tcPr>
            <w:tcW w:w="1863" w:type="dxa"/>
          </w:tcPr>
          <w:p>
            <w:pPr>
              <w:pStyle w:val="TableParagraph"/>
              <w:spacing w:line="244" w:lineRule="exact" w:before="103"/>
              <w:ind w:right="138"/>
              <w:jc w:val="right"/>
              <w:rPr>
                <w:rFonts w:ascii="Calibri"/>
                <w:sz w:val="22"/>
              </w:rPr>
            </w:pPr>
            <w:r>
              <w:rPr>
                <w:rFonts w:ascii="Calibri"/>
                <w:sz w:val="22"/>
              </w:rPr>
              <w:t>2017</w:t>
            </w:r>
          </w:p>
        </w:tc>
      </w:tr>
    </w:tbl>
    <w:p>
      <w:pPr>
        <w:spacing w:after="0" w:line="244" w:lineRule="exact"/>
        <w:jc w:val="right"/>
        <w:rPr>
          <w:rFonts w:ascii="Calibri"/>
          <w:sz w:val="22"/>
        </w:rPr>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after="0"/>
        <w:rPr>
          <w:sz w:val="25"/>
        </w:rPr>
        <w:sectPr>
          <w:pgSz w:w="11920" w:h="16850"/>
          <w:pgMar w:header="0" w:footer="1246" w:top="580" w:bottom="1440" w:left="400" w:right="540"/>
        </w:sectPr>
      </w:pPr>
    </w:p>
    <w:p>
      <w:pPr>
        <w:tabs>
          <w:tab w:pos="4092" w:val="left" w:leader="none"/>
        </w:tabs>
        <w:spacing w:line="537" w:lineRule="auto" w:before="93"/>
        <w:ind w:left="1025" w:right="38" w:firstLine="117"/>
        <w:jc w:val="left"/>
        <w:rPr>
          <w:sz w:val="22"/>
        </w:rPr>
      </w:pPr>
      <w:r>
        <w:rPr/>
        <w:pict>
          <v:group style="position:absolute;margin-left:537.554504pt;margin-top:-60.146046pt;width:5.8pt;height:34.6pt;mso-position-horizontal-relative:page;mso-position-vertical-relative:paragraph;z-index:2128" coordorigin="10751,-1203" coordsize="116,692">
            <v:shape style="position:absolute;left:10751;top:-1203;width:116;height:39" type="#_x0000_t75" stroked="false">
              <v:imagedata r:id="rId27" o:title=""/>
            </v:shape>
            <v:shape style="position:absolute;left:10827;top:-589;width:39;height:77" type="#_x0000_t75" stroked="false">
              <v:imagedata r:id="rId28" o:title=""/>
            </v:shape>
            <v:line style="position:absolute" from="10804,-1203" to="10804,-521" stroked="true" strokeweight="5.279551pt" strokecolor="#d85970">
              <v:stroke dashstyle="solid"/>
            </v:line>
            <w10:wrap type="none"/>
          </v:group>
        </w:pict>
      </w:r>
      <w:r>
        <w:rPr/>
        <w:pict>
          <v:shape style="position:absolute;margin-left:25.97164pt;margin-top:60.151272pt;width:535.85pt;height:571.5pt;mso-position-horizontal-relative:page;mso-position-vertical-relative:paragraph;z-index:21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4365"/>
                    <w:gridCol w:w="2161"/>
                    <w:gridCol w:w="1899"/>
                    <w:gridCol w:w="1364"/>
                  </w:tblGrid>
                  <w:tr>
                    <w:trPr>
                      <w:trHeight w:val="494" w:hRule="atLeast"/>
                    </w:trPr>
                    <w:tc>
                      <w:tcPr>
                        <w:tcW w:w="5295" w:type="dxa"/>
                        <w:gridSpan w:val="2"/>
                      </w:tcPr>
                      <w:p>
                        <w:pPr>
                          <w:pStyle w:val="TableParagraph"/>
                          <w:spacing w:line="223" w:lineRule="exact"/>
                          <w:ind w:left="1020"/>
                          <w:rPr>
                            <w:sz w:val="20"/>
                          </w:rPr>
                        </w:pPr>
                        <w:r>
                          <w:rPr>
                            <w:color w:val="E83F3F"/>
                            <w:w w:val="105"/>
                            <w:sz w:val="20"/>
                          </w:rPr>
                          <w:t>Policy</w:t>
                        </w:r>
                      </w:p>
                    </w:tc>
                    <w:tc>
                      <w:tcPr>
                        <w:tcW w:w="5424" w:type="dxa"/>
                        <w:gridSpan w:val="3"/>
                        <w:tcBorders>
                          <w:bottom w:val="single" w:sz="12" w:space="0" w:color="9C5B64"/>
                        </w:tcBorders>
                      </w:tcPr>
                      <w:p>
                        <w:pPr>
                          <w:pStyle w:val="TableParagraph"/>
                          <w:spacing w:line="219" w:lineRule="exact"/>
                          <w:ind w:right="535"/>
                          <w:jc w:val="right"/>
                          <w:rPr>
                            <w:sz w:val="20"/>
                          </w:rPr>
                        </w:pPr>
                        <w:r>
                          <w:rPr>
                            <w:color w:val="E44F6D"/>
                            <w:w w:val="105"/>
                            <w:sz w:val="20"/>
                          </w:rPr>
                          <w:t>Completion</w:t>
                        </w:r>
                      </w:p>
                      <w:p>
                        <w:pPr>
                          <w:pStyle w:val="TableParagraph"/>
                          <w:spacing w:line="237" w:lineRule="exact"/>
                          <w:ind w:right="1212"/>
                          <w:jc w:val="right"/>
                          <w:rPr>
                            <w:sz w:val="21"/>
                          </w:rPr>
                        </w:pPr>
                        <w:r>
                          <w:rPr>
                            <w:color w:val="FB4864"/>
                            <w:sz w:val="21"/>
                          </w:rPr>
                          <w:t>date</w:t>
                        </w:r>
                      </w:p>
                    </w:tc>
                  </w:tr>
                  <w:tr>
                    <w:trPr>
                      <w:trHeight w:val="527" w:hRule="atLeast"/>
                    </w:trPr>
                    <w:tc>
                      <w:tcPr>
                        <w:tcW w:w="5295" w:type="dxa"/>
                        <w:gridSpan w:val="2"/>
                      </w:tcPr>
                      <w:p>
                        <w:pPr>
                          <w:pStyle w:val="TableParagraph"/>
                          <w:spacing w:before="179"/>
                          <w:ind w:left="1010"/>
                          <w:rPr>
                            <w:sz w:val="20"/>
                          </w:rPr>
                        </w:pPr>
                        <w:r>
                          <w:rPr>
                            <w:color w:val="232323"/>
                            <w:sz w:val="20"/>
                          </w:rPr>
                          <w:t>Undertake </w:t>
                        </w:r>
                        <w:r>
                          <w:rPr>
                            <w:color w:val="2D2D2D"/>
                            <w:sz w:val="20"/>
                          </w:rPr>
                          <w:t>SEA </w:t>
                        </w:r>
                        <w:r>
                          <w:rPr>
                            <w:color w:val="333333"/>
                            <w:sz w:val="20"/>
                          </w:rPr>
                          <w:t>for </w:t>
                        </w:r>
                        <w:r>
                          <w:rPr>
                            <w:color w:val="1F1F1F"/>
                            <w:sz w:val="20"/>
                          </w:rPr>
                          <w:t>the </w:t>
                        </w:r>
                        <w:r>
                          <w:rPr>
                            <w:color w:val="232323"/>
                            <w:sz w:val="20"/>
                          </w:rPr>
                          <w:t>LFRMS</w:t>
                        </w:r>
                      </w:p>
                    </w:tc>
                    <w:tc>
                      <w:tcPr>
                        <w:tcW w:w="5424" w:type="dxa"/>
                        <w:gridSpan w:val="3"/>
                        <w:tcBorders>
                          <w:top w:val="single" w:sz="12" w:space="0" w:color="9C5B64"/>
                        </w:tcBorders>
                      </w:tcPr>
                      <w:p>
                        <w:pPr>
                          <w:pStyle w:val="TableParagraph"/>
                          <w:spacing w:before="179"/>
                          <w:ind w:right="1183"/>
                          <w:jc w:val="right"/>
                          <w:rPr>
                            <w:sz w:val="20"/>
                          </w:rPr>
                        </w:pPr>
                        <w:r>
                          <w:rPr>
                            <w:color w:val="282828"/>
                            <w:w w:val="95"/>
                            <w:sz w:val="20"/>
                          </w:rPr>
                          <w:t>2012</w:t>
                        </w:r>
                      </w:p>
                    </w:tc>
                  </w:tr>
                  <w:tr>
                    <w:trPr>
                      <w:trHeight w:val="476" w:hRule="atLeast"/>
                    </w:trPr>
                    <w:tc>
                      <w:tcPr>
                        <w:tcW w:w="5295" w:type="dxa"/>
                        <w:gridSpan w:val="2"/>
                      </w:tcPr>
                      <w:p>
                        <w:pPr>
                          <w:pStyle w:val="TableParagraph"/>
                          <w:spacing w:before="121"/>
                          <w:ind w:left="1020"/>
                          <w:rPr>
                            <w:sz w:val="20"/>
                          </w:rPr>
                        </w:pPr>
                        <w:r>
                          <w:rPr>
                            <w:color w:val="262626"/>
                            <w:sz w:val="20"/>
                          </w:rPr>
                          <w:t>Publish </w:t>
                        </w:r>
                        <w:r>
                          <w:rPr>
                            <w:color w:val="181818"/>
                            <w:sz w:val="20"/>
                          </w:rPr>
                          <w:t>LFRMS</w:t>
                        </w:r>
                      </w:p>
                    </w:tc>
                    <w:tc>
                      <w:tcPr>
                        <w:tcW w:w="5424" w:type="dxa"/>
                        <w:gridSpan w:val="3"/>
                      </w:tcPr>
                      <w:p>
                        <w:pPr>
                          <w:pStyle w:val="TableParagraph"/>
                          <w:spacing w:before="112"/>
                          <w:ind w:right="1185"/>
                          <w:jc w:val="right"/>
                          <w:rPr>
                            <w:sz w:val="21"/>
                          </w:rPr>
                        </w:pPr>
                        <w:r>
                          <w:rPr>
                            <w:color w:val="232323"/>
                            <w:w w:val="90"/>
                            <w:sz w:val="21"/>
                          </w:rPr>
                          <w:t>2014</w:t>
                        </w:r>
                      </w:p>
                    </w:tc>
                  </w:tr>
                  <w:tr>
                    <w:trPr>
                      <w:trHeight w:val="479" w:hRule="atLeast"/>
                    </w:trPr>
                    <w:tc>
                      <w:tcPr>
                        <w:tcW w:w="5295" w:type="dxa"/>
                        <w:gridSpan w:val="2"/>
                      </w:tcPr>
                      <w:p>
                        <w:pPr>
                          <w:pStyle w:val="TableParagraph"/>
                          <w:spacing w:before="125"/>
                          <w:ind w:left="1020"/>
                          <w:rPr>
                            <w:sz w:val="20"/>
                          </w:rPr>
                        </w:pPr>
                        <w:r>
                          <w:rPr>
                            <w:color w:val="262626"/>
                            <w:sz w:val="20"/>
                          </w:rPr>
                          <w:t>Publish </w:t>
                        </w:r>
                        <w:r>
                          <w:rPr>
                            <w:color w:val="1F1F1F"/>
                            <w:sz w:val="20"/>
                          </w:rPr>
                          <w:t>LFRMS List </w:t>
                        </w:r>
                        <w:r>
                          <w:rPr>
                            <w:color w:val="363636"/>
                            <w:sz w:val="20"/>
                          </w:rPr>
                          <w:t>of </w:t>
                        </w:r>
                        <w:r>
                          <w:rPr>
                            <w:color w:val="232323"/>
                            <w:sz w:val="20"/>
                          </w:rPr>
                          <w:t>Measures</w:t>
                        </w:r>
                      </w:p>
                    </w:tc>
                    <w:tc>
                      <w:tcPr>
                        <w:tcW w:w="5424" w:type="dxa"/>
                        <w:gridSpan w:val="3"/>
                      </w:tcPr>
                      <w:p>
                        <w:pPr>
                          <w:pStyle w:val="TableParagraph"/>
                          <w:spacing w:before="115"/>
                          <w:ind w:right="1185"/>
                          <w:jc w:val="right"/>
                          <w:rPr>
                            <w:sz w:val="21"/>
                          </w:rPr>
                        </w:pPr>
                        <w:r>
                          <w:rPr>
                            <w:color w:val="313131"/>
                            <w:w w:val="90"/>
                            <w:sz w:val="21"/>
                          </w:rPr>
                          <w:t>2014</w:t>
                        </w:r>
                      </w:p>
                    </w:tc>
                  </w:tr>
                  <w:tr>
                    <w:trPr>
                      <w:trHeight w:val="464" w:hRule="atLeast"/>
                    </w:trPr>
                    <w:tc>
                      <w:tcPr>
                        <w:tcW w:w="5295" w:type="dxa"/>
                        <w:gridSpan w:val="2"/>
                      </w:tcPr>
                      <w:p>
                        <w:pPr>
                          <w:pStyle w:val="TableParagraph"/>
                          <w:spacing w:before="116"/>
                          <w:ind w:left="1020"/>
                          <w:rPr>
                            <w:sz w:val="20"/>
                          </w:rPr>
                        </w:pPr>
                        <w:r>
                          <w:rPr>
                            <w:color w:val="242424"/>
                            <w:sz w:val="20"/>
                          </w:rPr>
                          <w:t>Publish </w:t>
                        </w:r>
                        <w:r>
                          <w:rPr>
                            <w:color w:val="161616"/>
                            <w:sz w:val="20"/>
                          </w:rPr>
                          <w:t>PFRA </w:t>
                        </w:r>
                        <w:r>
                          <w:rPr>
                            <w:color w:val="181818"/>
                            <w:sz w:val="20"/>
                          </w:rPr>
                          <w:t>Update</w:t>
                        </w:r>
                      </w:p>
                    </w:tc>
                    <w:tc>
                      <w:tcPr>
                        <w:tcW w:w="5424" w:type="dxa"/>
                        <w:gridSpan w:val="3"/>
                      </w:tcPr>
                      <w:p>
                        <w:pPr>
                          <w:pStyle w:val="TableParagraph"/>
                          <w:spacing w:before="116"/>
                          <w:ind w:right="1187"/>
                          <w:jc w:val="right"/>
                          <w:rPr>
                            <w:sz w:val="20"/>
                          </w:rPr>
                        </w:pPr>
                        <w:r>
                          <w:rPr>
                            <w:color w:val="282828"/>
                            <w:w w:val="95"/>
                            <w:sz w:val="20"/>
                          </w:rPr>
                          <w:t>2017</w:t>
                        </w:r>
                      </w:p>
                    </w:tc>
                  </w:tr>
                  <w:tr>
                    <w:trPr>
                      <w:trHeight w:val="476" w:hRule="atLeast"/>
                    </w:trPr>
                    <w:tc>
                      <w:tcPr>
                        <w:tcW w:w="5295" w:type="dxa"/>
                        <w:gridSpan w:val="2"/>
                      </w:tcPr>
                      <w:p>
                        <w:pPr>
                          <w:pStyle w:val="TableParagraph"/>
                          <w:spacing w:before="131"/>
                          <w:ind w:left="1021"/>
                          <w:rPr>
                            <w:sz w:val="19"/>
                          </w:rPr>
                        </w:pPr>
                        <w:r>
                          <w:rPr>
                            <w:color w:val="212121"/>
                            <w:w w:val="105"/>
                            <w:sz w:val="19"/>
                          </w:rPr>
                          <w:t>Publish </w:t>
                        </w:r>
                        <w:r>
                          <w:rPr>
                            <w:color w:val="1F1F1F"/>
                            <w:w w:val="105"/>
                            <w:sz w:val="19"/>
                          </w:rPr>
                          <w:t>LFRMS </w:t>
                        </w:r>
                        <w:r>
                          <w:rPr>
                            <w:color w:val="181818"/>
                            <w:w w:val="105"/>
                            <w:sz w:val="19"/>
                          </w:rPr>
                          <w:t>Update</w:t>
                        </w:r>
                      </w:p>
                    </w:tc>
                    <w:tc>
                      <w:tcPr>
                        <w:tcW w:w="5424" w:type="dxa"/>
                        <w:gridSpan w:val="3"/>
                      </w:tcPr>
                      <w:p>
                        <w:pPr>
                          <w:pStyle w:val="TableParagraph"/>
                          <w:spacing w:before="112"/>
                          <w:ind w:right="1185"/>
                          <w:jc w:val="right"/>
                          <w:rPr>
                            <w:sz w:val="21"/>
                          </w:rPr>
                        </w:pPr>
                        <w:r>
                          <w:rPr>
                            <w:color w:val="2B2B2B"/>
                            <w:w w:val="90"/>
                            <w:sz w:val="21"/>
                          </w:rPr>
                          <w:t>2018</w:t>
                        </w:r>
                      </w:p>
                    </w:tc>
                  </w:tr>
                  <w:tr>
                    <w:trPr>
                      <w:trHeight w:val="662" w:hRule="atLeast"/>
                    </w:trPr>
                    <w:tc>
                      <w:tcPr>
                        <w:tcW w:w="5295" w:type="dxa"/>
                        <w:gridSpan w:val="2"/>
                      </w:tcPr>
                      <w:p>
                        <w:pPr>
                          <w:pStyle w:val="TableParagraph"/>
                          <w:spacing w:before="125"/>
                          <w:ind w:left="1020"/>
                          <w:rPr>
                            <w:sz w:val="20"/>
                          </w:rPr>
                        </w:pPr>
                        <w:r>
                          <w:rPr>
                            <w:color w:val="232323"/>
                            <w:sz w:val="20"/>
                          </w:rPr>
                          <w:t>Publish </w:t>
                        </w:r>
                        <w:r>
                          <w:rPr>
                            <w:color w:val="1F1F1F"/>
                            <w:sz w:val="20"/>
                          </w:rPr>
                          <w:t>updated </w:t>
                        </w:r>
                        <w:r>
                          <w:rPr>
                            <w:color w:val="262626"/>
                            <w:sz w:val="20"/>
                          </w:rPr>
                          <w:t>LFRMS </w:t>
                        </w:r>
                        <w:r>
                          <w:rPr>
                            <w:color w:val="313131"/>
                            <w:sz w:val="20"/>
                          </w:rPr>
                          <w:t>List </w:t>
                        </w:r>
                        <w:r>
                          <w:rPr>
                            <w:color w:val="363636"/>
                            <w:sz w:val="20"/>
                          </w:rPr>
                          <w:t>of </w:t>
                        </w:r>
                        <w:r>
                          <w:rPr>
                            <w:color w:val="1F1F1F"/>
                            <w:sz w:val="20"/>
                          </w:rPr>
                          <w:t>Measures</w:t>
                        </w:r>
                      </w:p>
                    </w:tc>
                    <w:tc>
                      <w:tcPr>
                        <w:tcW w:w="5424" w:type="dxa"/>
                        <w:gridSpan w:val="3"/>
                      </w:tcPr>
                      <w:p>
                        <w:pPr>
                          <w:pStyle w:val="TableParagraph"/>
                          <w:spacing w:before="115"/>
                          <w:ind w:right="1185"/>
                          <w:jc w:val="right"/>
                          <w:rPr>
                            <w:sz w:val="21"/>
                          </w:rPr>
                        </w:pPr>
                        <w:r>
                          <w:rPr>
                            <w:color w:val="262626"/>
                            <w:w w:val="90"/>
                            <w:sz w:val="21"/>
                          </w:rPr>
                          <w:t>2018</w:t>
                        </w:r>
                      </w:p>
                    </w:tc>
                  </w:tr>
                  <w:tr>
                    <w:trPr>
                      <w:trHeight w:val="707" w:hRule="atLeast"/>
                    </w:trPr>
                    <w:tc>
                      <w:tcPr>
                        <w:tcW w:w="930" w:type="dxa"/>
                      </w:tcPr>
                      <w:p>
                        <w:pPr>
                          <w:pStyle w:val="TableParagraph"/>
                          <w:spacing w:before="10"/>
                          <w:rPr>
                            <w:sz w:val="25"/>
                          </w:rPr>
                        </w:pPr>
                      </w:p>
                      <w:p>
                        <w:pPr>
                          <w:pStyle w:val="TableParagraph"/>
                          <w:ind w:left="50"/>
                          <w:rPr>
                            <w:sz w:val="23"/>
                          </w:rPr>
                        </w:pPr>
                        <w:r>
                          <w:rPr>
                            <w:w w:val="105"/>
                            <w:sz w:val="23"/>
                          </w:rPr>
                          <w:t>2.5.2</w:t>
                        </w:r>
                      </w:p>
                    </w:tc>
                    <w:tc>
                      <w:tcPr>
                        <w:tcW w:w="4365" w:type="dxa"/>
                      </w:tcPr>
                      <w:p>
                        <w:pPr>
                          <w:pStyle w:val="TableParagraph"/>
                          <w:spacing w:before="10"/>
                          <w:rPr>
                            <w:sz w:val="25"/>
                          </w:rPr>
                        </w:pPr>
                      </w:p>
                      <w:p>
                        <w:pPr>
                          <w:pStyle w:val="TableParagraph"/>
                          <w:ind w:left="-31"/>
                          <w:rPr>
                            <w:sz w:val="23"/>
                          </w:rPr>
                        </w:pPr>
                        <w:r>
                          <w:rPr>
                            <w:w w:val="105"/>
                            <w:sz w:val="23"/>
                          </w:rPr>
                          <w:t>CURRENT MEASURES</w:t>
                        </w:r>
                      </w:p>
                    </w:tc>
                    <w:tc>
                      <w:tcPr>
                        <w:tcW w:w="2161" w:type="dxa"/>
                      </w:tcPr>
                      <w:p>
                        <w:pPr>
                          <w:pStyle w:val="TableParagraph"/>
                          <w:rPr>
                            <w:rFonts w:ascii="Times New Roman"/>
                            <w:sz w:val="20"/>
                          </w:rPr>
                        </w:pPr>
                      </w:p>
                    </w:tc>
                    <w:tc>
                      <w:tcPr>
                        <w:tcW w:w="1899" w:type="dxa"/>
                      </w:tcPr>
                      <w:p>
                        <w:pPr>
                          <w:pStyle w:val="TableParagraph"/>
                          <w:rPr>
                            <w:rFonts w:ascii="Times New Roman"/>
                            <w:sz w:val="20"/>
                          </w:rPr>
                        </w:pPr>
                      </w:p>
                    </w:tc>
                    <w:tc>
                      <w:tcPr>
                        <w:tcW w:w="1364" w:type="dxa"/>
                      </w:tcPr>
                      <w:p>
                        <w:pPr>
                          <w:pStyle w:val="TableParagraph"/>
                          <w:rPr>
                            <w:rFonts w:ascii="Times New Roman"/>
                            <w:sz w:val="20"/>
                          </w:rPr>
                        </w:pPr>
                      </w:p>
                    </w:tc>
                  </w:tr>
                  <w:tr>
                    <w:trPr>
                      <w:trHeight w:val="535" w:hRule="atLeast"/>
                    </w:trPr>
                    <w:tc>
                      <w:tcPr>
                        <w:tcW w:w="930" w:type="dxa"/>
                      </w:tcPr>
                      <w:p>
                        <w:pPr>
                          <w:pStyle w:val="TableParagraph"/>
                          <w:rPr>
                            <w:rFonts w:ascii="Times New Roman"/>
                            <w:sz w:val="20"/>
                          </w:rPr>
                        </w:pPr>
                      </w:p>
                    </w:tc>
                    <w:tc>
                      <w:tcPr>
                        <w:tcW w:w="4365" w:type="dxa"/>
                      </w:tcPr>
                      <w:p>
                        <w:pPr>
                          <w:pStyle w:val="TableParagraph"/>
                          <w:spacing w:before="137"/>
                          <w:ind w:left="-25"/>
                          <w:rPr>
                            <w:sz w:val="22"/>
                          </w:rPr>
                        </w:pPr>
                        <w:r>
                          <w:rPr>
                            <w:sz w:val="22"/>
                          </w:rPr>
                          <w:t>Table 3 </w:t>
                        </w:r>
                        <w:r>
                          <w:rPr>
                            <w:w w:val="95"/>
                            <w:sz w:val="22"/>
                          </w:rPr>
                          <w:t>— </w:t>
                        </w:r>
                        <w:r>
                          <w:rPr>
                            <w:sz w:val="22"/>
                          </w:rPr>
                          <w:t>Current LCC schemes</w:t>
                        </w:r>
                      </w:p>
                    </w:tc>
                    <w:tc>
                      <w:tcPr>
                        <w:tcW w:w="2161" w:type="dxa"/>
                      </w:tcPr>
                      <w:p>
                        <w:pPr>
                          <w:pStyle w:val="TableParagraph"/>
                          <w:rPr>
                            <w:rFonts w:ascii="Times New Roman"/>
                            <w:sz w:val="20"/>
                          </w:rPr>
                        </w:pPr>
                      </w:p>
                    </w:tc>
                    <w:tc>
                      <w:tcPr>
                        <w:tcW w:w="1899" w:type="dxa"/>
                      </w:tcPr>
                      <w:p>
                        <w:pPr>
                          <w:pStyle w:val="TableParagraph"/>
                          <w:rPr>
                            <w:rFonts w:ascii="Times New Roman"/>
                            <w:sz w:val="20"/>
                          </w:rPr>
                        </w:pPr>
                      </w:p>
                    </w:tc>
                    <w:tc>
                      <w:tcPr>
                        <w:tcW w:w="1364" w:type="dxa"/>
                      </w:tcPr>
                      <w:p>
                        <w:pPr>
                          <w:pStyle w:val="TableParagraph"/>
                          <w:rPr>
                            <w:rFonts w:ascii="Times New Roman"/>
                            <w:sz w:val="20"/>
                          </w:rPr>
                        </w:pPr>
                      </w:p>
                    </w:tc>
                  </w:tr>
                  <w:tr>
                    <w:trPr>
                      <w:trHeight w:val="389" w:hRule="atLeast"/>
                    </w:trPr>
                    <w:tc>
                      <w:tcPr>
                        <w:tcW w:w="930" w:type="dxa"/>
                      </w:tcPr>
                      <w:p>
                        <w:pPr>
                          <w:pStyle w:val="TableParagraph"/>
                          <w:rPr>
                            <w:rFonts w:ascii="Times New Roman"/>
                            <w:sz w:val="20"/>
                          </w:rPr>
                        </w:pPr>
                      </w:p>
                    </w:tc>
                    <w:tc>
                      <w:tcPr>
                        <w:tcW w:w="4365" w:type="dxa"/>
                      </w:tcPr>
                      <w:p>
                        <w:pPr>
                          <w:pStyle w:val="TableParagraph"/>
                          <w:spacing w:before="138"/>
                          <w:ind w:left="86"/>
                          <w:rPr>
                            <w:sz w:val="20"/>
                          </w:rPr>
                        </w:pPr>
                        <w:r>
                          <w:rPr>
                            <w:color w:val="FF3456"/>
                            <w:w w:val="105"/>
                            <w:sz w:val="20"/>
                          </w:rPr>
                          <w:t>Scheme</w:t>
                        </w:r>
                      </w:p>
                    </w:tc>
                    <w:tc>
                      <w:tcPr>
                        <w:tcW w:w="2161" w:type="dxa"/>
                      </w:tcPr>
                      <w:p>
                        <w:pPr>
                          <w:pStyle w:val="TableParagraph"/>
                          <w:spacing w:before="138"/>
                          <w:ind w:left="304"/>
                          <w:rPr>
                            <w:sz w:val="20"/>
                          </w:rPr>
                        </w:pPr>
                        <w:r>
                          <w:rPr>
                            <w:color w:val="FB212A"/>
                            <w:w w:val="120"/>
                            <w:sz w:val="20"/>
                          </w:rPr>
                          <w:t>Locaion</w:t>
                        </w:r>
                      </w:p>
                    </w:tc>
                    <w:tc>
                      <w:tcPr>
                        <w:tcW w:w="1899" w:type="dxa"/>
                      </w:tcPr>
                      <w:p>
                        <w:pPr>
                          <w:pStyle w:val="TableParagraph"/>
                          <w:spacing w:line="243" w:lineRule="exact" w:before="126"/>
                          <w:ind w:left="145"/>
                          <w:rPr>
                            <w:rFonts w:ascii="Calibri"/>
                            <w:sz w:val="21"/>
                          </w:rPr>
                        </w:pPr>
                        <w:r>
                          <w:rPr>
                            <w:rFonts w:ascii="Calibri"/>
                            <w:color w:val="E23B4F"/>
                            <w:w w:val="110"/>
                            <w:sz w:val="21"/>
                          </w:rPr>
                          <w:t>Current </w:t>
                        </w:r>
                        <w:r>
                          <w:rPr>
                            <w:rFonts w:ascii="Calibri"/>
                            <w:color w:val="DD4244"/>
                            <w:w w:val="110"/>
                            <w:sz w:val="21"/>
                          </w:rPr>
                          <w:t>phase</w:t>
                        </w:r>
                      </w:p>
                    </w:tc>
                    <w:tc>
                      <w:tcPr>
                        <w:tcW w:w="1364" w:type="dxa"/>
                      </w:tcPr>
                      <w:p>
                        <w:pPr>
                          <w:pStyle w:val="TableParagraph"/>
                          <w:spacing w:line="243" w:lineRule="exact" w:before="126"/>
                          <w:ind w:left="263"/>
                          <w:rPr>
                            <w:rFonts w:ascii="Calibri"/>
                            <w:sz w:val="21"/>
                          </w:rPr>
                        </w:pPr>
                        <w:r>
                          <w:rPr>
                            <w:rFonts w:ascii="Calibri"/>
                            <w:color w:val="E24F62"/>
                            <w:w w:val="110"/>
                            <w:sz w:val="21"/>
                          </w:rPr>
                          <w:t>Date</w:t>
                        </w:r>
                      </w:p>
                    </w:tc>
                  </w:tr>
                  <w:tr>
                    <w:trPr>
                      <w:trHeight w:val="260" w:hRule="atLeast"/>
                    </w:trPr>
                    <w:tc>
                      <w:tcPr>
                        <w:tcW w:w="930" w:type="dxa"/>
                      </w:tcPr>
                      <w:p>
                        <w:pPr>
                          <w:pStyle w:val="TableParagraph"/>
                          <w:rPr>
                            <w:rFonts w:ascii="Times New Roman"/>
                            <w:sz w:val="18"/>
                          </w:rPr>
                        </w:pPr>
                      </w:p>
                    </w:tc>
                    <w:tc>
                      <w:tcPr>
                        <w:tcW w:w="4365" w:type="dxa"/>
                        <w:tcBorders>
                          <w:bottom w:val="single" w:sz="12" w:space="0" w:color="AF5767"/>
                        </w:tcBorders>
                      </w:tcPr>
                      <w:p>
                        <w:pPr>
                          <w:pStyle w:val="TableParagraph"/>
                          <w:rPr>
                            <w:rFonts w:ascii="Times New Roman"/>
                            <w:sz w:val="18"/>
                          </w:rPr>
                        </w:pPr>
                      </w:p>
                    </w:tc>
                    <w:tc>
                      <w:tcPr>
                        <w:tcW w:w="2161" w:type="dxa"/>
                        <w:tcBorders>
                          <w:bottom w:val="single" w:sz="12" w:space="0" w:color="AF5767"/>
                        </w:tcBorders>
                      </w:tcPr>
                      <w:p>
                        <w:pPr>
                          <w:pStyle w:val="TableParagraph"/>
                          <w:rPr>
                            <w:rFonts w:ascii="Times New Roman"/>
                            <w:sz w:val="18"/>
                          </w:rPr>
                        </w:pPr>
                      </w:p>
                    </w:tc>
                    <w:tc>
                      <w:tcPr>
                        <w:tcW w:w="1899" w:type="dxa"/>
                        <w:tcBorders>
                          <w:bottom w:val="single" w:sz="12" w:space="0" w:color="AF5767"/>
                        </w:tcBorders>
                      </w:tcPr>
                      <w:p>
                        <w:pPr>
                          <w:pStyle w:val="TableParagraph"/>
                          <w:rPr>
                            <w:rFonts w:ascii="Times New Roman"/>
                            <w:sz w:val="18"/>
                          </w:rPr>
                        </w:pPr>
                      </w:p>
                    </w:tc>
                    <w:tc>
                      <w:tcPr>
                        <w:tcW w:w="1364" w:type="dxa"/>
                        <w:tcBorders>
                          <w:bottom w:val="single" w:sz="12" w:space="0" w:color="AF5767"/>
                        </w:tcBorders>
                      </w:tcPr>
                      <w:p>
                        <w:pPr>
                          <w:pStyle w:val="TableParagraph"/>
                          <w:spacing w:line="224" w:lineRule="exact"/>
                          <w:ind w:left="262"/>
                          <w:rPr>
                            <w:rFonts w:ascii="Calibri"/>
                            <w:sz w:val="21"/>
                          </w:rPr>
                        </w:pPr>
                        <w:r>
                          <w:rPr>
                            <w:rFonts w:ascii="Calibri"/>
                            <w:color w:val="F44D4D"/>
                            <w:w w:val="110"/>
                            <w:sz w:val="21"/>
                          </w:rPr>
                          <w:t>expected</w:t>
                        </w:r>
                      </w:p>
                    </w:tc>
                  </w:tr>
                  <w:tr>
                    <w:trPr>
                      <w:trHeight w:val="434" w:hRule="atLeast"/>
                    </w:trPr>
                    <w:tc>
                      <w:tcPr>
                        <w:tcW w:w="930" w:type="dxa"/>
                      </w:tcPr>
                      <w:p>
                        <w:pPr>
                          <w:pStyle w:val="TableParagraph"/>
                          <w:rPr>
                            <w:rFonts w:ascii="Times New Roman"/>
                            <w:sz w:val="20"/>
                          </w:rPr>
                        </w:pPr>
                      </w:p>
                    </w:tc>
                    <w:tc>
                      <w:tcPr>
                        <w:tcW w:w="4365" w:type="dxa"/>
                        <w:tcBorders>
                          <w:top w:val="single" w:sz="12" w:space="0" w:color="AF5767"/>
                        </w:tcBorders>
                      </w:tcPr>
                      <w:p>
                        <w:pPr>
                          <w:pStyle w:val="TableParagraph"/>
                          <w:spacing w:line="244" w:lineRule="exact" w:before="170"/>
                          <w:ind w:left="89"/>
                          <w:rPr>
                            <w:sz w:val="22"/>
                          </w:rPr>
                        </w:pPr>
                        <w:r>
                          <w:rPr>
                            <w:sz w:val="22"/>
                          </w:rPr>
                          <w:t>Leeds</w:t>
                        </w:r>
                        <w:r>
                          <w:rPr>
                            <w:spacing w:val="-38"/>
                            <w:sz w:val="22"/>
                          </w:rPr>
                          <w:t> </w:t>
                        </w:r>
                        <w:r>
                          <w:rPr>
                            <w:sz w:val="22"/>
                          </w:rPr>
                          <w:t>FAS</w:t>
                        </w:r>
                        <w:r>
                          <w:rPr>
                            <w:spacing w:val="-41"/>
                            <w:sz w:val="22"/>
                          </w:rPr>
                          <w:t> </w:t>
                        </w:r>
                        <w:r>
                          <w:rPr>
                            <w:sz w:val="22"/>
                          </w:rPr>
                          <w:t>Phase</w:t>
                        </w:r>
                        <w:r>
                          <w:rPr>
                            <w:spacing w:val="-40"/>
                            <w:sz w:val="22"/>
                          </w:rPr>
                          <w:t> </w:t>
                        </w:r>
                        <w:r>
                          <w:rPr>
                            <w:sz w:val="22"/>
                          </w:rPr>
                          <w:t>2,</w:t>
                        </w:r>
                        <w:r>
                          <w:rPr>
                            <w:spacing w:val="-42"/>
                            <w:sz w:val="22"/>
                          </w:rPr>
                          <w:t> </w:t>
                        </w:r>
                        <w:r>
                          <w:rPr>
                            <w:sz w:val="22"/>
                          </w:rPr>
                          <w:t>River</w:t>
                        </w:r>
                        <w:r>
                          <w:rPr>
                            <w:spacing w:val="-41"/>
                            <w:sz w:val="22"/>
                          </w:rPr>
                          <w:t> </w:t>
                        </w:r>
                        <w:r>
                          <w:rPr>
                            <w:sz w:val="22"/>
                          </w:rPr>
                          <w:t>Aire</w:t>
                        </w:r>
                        <w:r>
                          <w:rPr>
                            <w:spacing w:val="-42"/>
                            <w:sz w:val="22"/>
                          </w:rPr>
                          <w:t> </w:t>
                        </w:r>
                        <w:r>
                          <w:rPr>
                            <w:sz w:val="22"/>
                          </w:rPr>
                          <w:t>City</w:t>
                        </w:r>
                        <w:r>
                          <w:rPr>
                            <w:spacing w:val="-43"/>
                            <w:sz w:val="22"/>
                          </w:rPr>
                          <w:t> </w:t>
                        </w:r>
                        <w:r>
                          <w:rPr>
                            <w:sz w:val="22"/>
                          </w:rPr>
                          <w:t>Centre</w:t>
                        </w:r>
                        <w:r>
                          <w:rPr>
                            <w:spacing w:val="-44"/>
                            <w:sz w:val="22"/>
                          </w:rPr>
                          <w:t> </w:t>
                        </w:r>
                        <w:r>
                          <w:rPr>
                            <w:sz w:val="22"/>
                          </w:rPr>
                          <w:t>to</w:t>
                        </w:r>
                      </w:p>
                    </w:tc>
                    <w:tc>
                      <w:tcPr>
                        <w:tcW w:w="2161" w:type="dxa"/>
                        <w:tcBorders>
                          <w:top w:val="single" w:sz="12" w:space="0" w:color="AF5767"/>
                        </w:tcBorders>
                      </w:tcPr>
                      <w:p>
                        <w:pPr>
                          <w:pStyle w:val="TableParagraph"/>
                          <w:spacing w:line="244" w:lineRule="exact" w:before="170"/>
                          <w:ind w:left="302"/>
                          <w:rPr>
                            <w:sz w:val="22"/>
                          </w:rPr>
                        </w:pPr>
                        <w:r>
                          <w:rPr>
                            <w:spacing w:val="-1"/>
                            <w:w w:val="87"/>
                            <w:sz w:val="22"/>
                          </w:rPr>
                          <w:t>Rive</w:t>
                        </w:r>
                        <w:r>
                          <w:rPr>
                            <w:w w:val="87"/>
                            <w:sz w:val="22"/>
                          </w:rPr>
                          <w:t>r</w:t>
                        </w:r>
                        <w:r>
                          <w:rPr>
                            <w:spacing w:val="-1"/>
                            <w:sz w:val="22"/>
                          </w:rPr>
                          <w:t> </w:t>
                        </w:r>
                        <w:r>
                          <w:rPr>
                            <w:spacing w:val="-1"/>
                            <w:w w:val="88"/>
                            <w:sz w:val="22"/>
                          </w:rPr>
                          <w:t>Air</w:t>
                        </w:r>
                        <w:r>
                          <w:rPr>
                            <w:w w:val="88"/>
                            <w:sz w:val="22"/>
                          </w:rPr>
                          <w:t>e</w:t>
                        </w:r>
                        <w:r>
                          <w:rPr>
                            <w:spacing w:val="17"/>
                            <w:sz w:val="22"/>
                          </w:rPr>
                          <w:t> </w:t>
                        </w:r>
                        <w:r>
                          <w:rPr>
                            <w:spacing w:val="14"/>
                            <w:w w:val="22"/>
                            <w:sz w:val="22"/>
                          </w:rPr>
                          <w:t>—</w:t>
                        </w:r>
                        <w:r>
                          <w:rPr>
                            <w:spacing w:val="-1"/>
                            <w:w w:val="87"/>
                            <w:sz w:val="22"/>
                          </w:rPr>
                          <w:t>City</w:t>
                        </w:r>
                      </w:p>
                    </w:tc>
                    <w:tc>
                      <w:tcPr>
                        <w:tcW w:w="1899" w:type="dxa"/>
                        <w:tcBorders>
                          <w:top w:val="single" w:sz="12" w:space="0" w:color="AF5767"/>
                        </w:tcBorders>
                      </w:tcPr>
                      <w:p>
                        <w:pPr>
                          <w:pStyle w:val="TableParagraph"/>
                          <w:spacing w:line="244" w:lineRule="exact" w:before="170"/>
                          <w:ind w:left="146"/>
                          <w:rPr>
                            <w:sz w:val="22"/>
                          </w:rPr>
                        </w:pPr>
                        <w:r>
                          <w:rPr>
                            <w:sz w:val="22"/>
                          </w:rPr>
                          <w:t>Feasibility</w:t>
                        </w:r>
                      </w:p>
                    </w:tc>
                    <w:tc>
                      <w:tcPr>
                        <w:tcW w:w="1364" w:type="dxa"/>
                        <w:tcBorders>
                          <w:top w:val="single" w:sz="12" w:space="0" w:color="AF5767"/>
                        </w:tcBorders>
                      </w:tcPr>
                      <w:p>
                        <w:pPr>
                          <w:pStyle w:val="TableParagraph"/>
                          <w:spacing w:line="244" w:lineRule="exact" w:before="170"/>
                          <w:ind w:left="265"/>
                          <w:rPr>
                            <w:sz w:val="22"/>
                          </w:rPr>
                        </w:pPr>
                        <w:r>
                          <w:rPr>
                            <w:sz w:val="22"/>
                          </w:rPr>
                          <w:t>2018</w:t>
                        </w:r>
                      </w:p>
                    </w:tc>
                  </w:tr>
                  <w:tr>
                    <w:trPr>
                      <w:trHeight w:val="268" w:hRule="atLeast"/>
                    </w:trPr>
                    <w:tc>
                      <w:tcPr>
                        <w:tcW w:w="930" w:type="dxa"/>
                      </w:tcPr>
                      <w:p>
                        <w:pPr>
                          <w:pStyle w:val="TableParagraph"/>
                          <w:rPr>
                            <w:rFonts w:ascii="Times New Roman"/>
                            <w:sz w:val="18"/>
                          </w:rPr>
                        </w:pPr>
                      </w:p>
                    </w:tc>
                    <w:tc>
                      <w:tcPr>
                        <w:tcW w:w="4365" w:type="dxa"/>
                      </w:tcPr>
                      <w:p>
                        <w:pPr>
                          <w:pStyle w:val="TableParagraph"/>
                          <w:spacing w:line="244" w:lineRule="exact" w:before="4"/>
                          <w:ind w:left="88"/>
                          <w:rPr>
                            <w:sz w:val="22"/>
                          </w:rPr>
                        </w:pPr>
                        <w:r>
                          <w:rPr>
                            <w:sz w:val="22"/>
                          </w:rPr>
                          <w:t>Upper Catchment”</w:t>
                        </w:r>
                      </w:p>
                    </w:tc>
                    <w:tc>
                      <w:tcPr>
                        <w:tcW w:w="2161" w:type="dxa"/>
                      </w:tcPr>
                      <w:p>
                        <w:pPr>
                          <w:pStyle w:val="TableParagraph"/>
                          <w:spacing w:line="244" w:lineRule="exact" w:before="4"/>
                          <w:ind w:left="298"/>
                          <w:rPr>
                            <w:sz w:val="22"/>
                          </w:rPr>
                        </w:pPr>
                        <w:r>
                          <w:rPr>
                            <w:sz w:val="22"/>
                          </w:rPr>
                          <w:t>Centre to Upper</w:t>
                        </w:r>
                      </w:p>
                    </w:tc>
                    <w:tc>
                      <w:tcPr>
                        <w:tcW w:w="1899" w:type="dxa"/>
                      </w:tcPr>
                      <w:p>
                        <w:pPr>
                          <w:pStyle w:val="TableParagraph"/>
                          <w:rPr>
                            <w:rFonts w:ascii="Times New Roman"/>
                            <w:sz w:val="18"/>
                          </w:rPr>
                        </w:pPr>
                      </w:p>
                    </w:tc>
                    <w:tc>
                      <w:tcPr>
                        <w:tcW w:w="1364" w:type="dxa"/>
                      </w:tcPr>
                      <w:p>
                        <w:pPr>
                          <w:pStyle w:val="TableParagraph"/>
                          <w:rPr>
                            <w:rFonts w:ascii="Times New Roman"/>
                            <w:sz w:val="18"/>
                          </w:rPr>
                        </w:pPr>
                      </w:p>
                    </w:tc>
                  </w:tr>
                  <w:tr>
                    <w:trPr>
                      <w:trHeight w:val="388" w:hRule="atLeast"/>
                    </w:trPr>
                    <w:tc>
                      <w:tcPr>
                        <w:tcW w:w="930" w:type="dxa"/>
                      </w:tcPr>
                      <w:p>
                        <w:pPr>
                          <w:pStyle w:val="TableParagraph"/>
                          <w:rPr>
                            <w:rFonts w:ascii="Times New Roman"/>
                            <w:sz w:val="20"/>
                          </w:rPr>
                        </w:pPr>
                      </w:p>
                    </w:tc>
                    <w:tc>
                      <w:tcPr>
                        <w:tcW w:w="4365" w:type="dxa"/>
                      </w:tcPr>
                      <w:p>
                        <w:pPr>
                          <w:pStyle w:val="TableParagraph"/>
                          <w:rPr>
                            <w:rFonts w:ascii="Times New Roman"/>
                            <w:sz w:val="20"/>
                          </w:rPr>
                        </w:pPr>
                      </w:p>
                    </w:tc>
                    <w:tc>
                      <w:tcPr>
                        <w:tcW w:w="2161" w:type="dxa"/>
                      </w:tcPr>
                      <w:p>
                        <w:pPr>
                          <w:pStyle w:val="TableParagraph"/>
                          <w:spacing w:before="4"/>
                          <w:ind w:left="298"/>
                          <w:rPr>
                            <w:sz w:val="22"/>
                          </w:rPr>
                        </w:pPr>
                        <w:r>
                          <w:rPr>
                            <w:sz w:val="22"/>
                          </w:rPr>
                          <w:t>Catchment</w:t>
                        </w:r>
                      </w:p>
                    </w:tc>
                    <w:tc>
                      <w:tcPr>
                        <w:tcW w:w="1899" w:type="dxa"/>
                      </w:tcPr>
                      <w:p>
                        <w:pPr>
                          <w:pStyle w:val="TableParagraph"/>
                          <w:rPr>
                            <w:rFonts w:ascii="Times New Roman"/>
                            <w:sz w:val="20"/>
                          </w:rPr>
                        </w:pPr>
                      </w:p>
                    </w:tc>
                    <w:tc>
                      <w:tcPr>
                        <w:tcW w:w="1364" w:type="dxa"/>
                      </w:tcPr>
                      <w:p>
                        <w:pPr>
                          <w:pStyle w:val="TableParagraph"/>
                          <w:rPr>
                            <w:rFonts w:ascii="Times New Roman"/>
                            <w:sz w:val="20"/>
                          </w:rPr>
                        </w:pPr>
                      </w:p>
                    </w:tc>
                  </w:tr>
                  <w:tr>
                    <w:trPr>
                      <w:trHeight w:val="407" w:hRule="atLeast"/>
                    </w:trPr>
                    <w:tc>
                      <w:tcPr>
                        <w:tcW w:w="930" w:type="dxa"/>
                      </w:tcPr>
                      <w:p>
                        <w:pPr>
                          <w:pStyle w:val="TableParagraph"/>
                          <w:rPr>
                            <w:rFonts w:ascii="Times New Roman"/>
                            <w:sz w:val="20"/>
                          </w:rPr>
                        </w:pPr>
                      </w:p>
                    </w:tc>
                    <w:tc>
                      <w:tcPr>
                        <w:tcW w:w="4365" w:type="dxa"/>
                      </w:tcPr>
                      <w:p>
                        <w:pPr>
                          <w:pStyle w:val="TableParagraph"/>
                          <w:spacing w:before="124"/>
                          <w:ind w:left="86"/>
                          <w:rPr>
                            <w:sz w:val="22"/>
                          </w:rPr>
                        </w:pPr>
                        <w:r>
                          <w:rPr>
                            <w:sz w:val="22"/>
                          </w:rPr>
                          <w:t>Queen Street Culvert”</w:t>
                        </w:r>
                      </w:p>
                    </w:tc>
                    <w:tc>
                      <w:tcPr>
                        <w:tcW w:w="2161" w:type="dxa"/>
                      </w:tcPr>
                      <w:p>
                        <w:pPr>
                          <w:pStyle w:val="TableParagraph"/>
                          <w:spacing w:line="276" w:lineRule="exact" w:before="111"/>
                          <w:ind w:left="296"/>
                          <w:rPr>
                            <w:rFonts w:ascii="Calibri"/>
                            <w:sz w:val="23"/>
                          </w:rPr>
                        </w:pPr>
                        <w:r>
                          <w:rPr>
                            <w:rFonts w:ascii="Calibri"/>
                            <w:sz w:val="23"/>
                          </w:rPr>
                          <w:t>Allerton Bywater</w:t>
                        </w:r>
                      </w:p>
                    </w:tc>
                    <w:tc>
                      <w:tcPr>
                        <w:tcW w:w="1899" w:type="dxa"/>
                      </w:tcPr>
                      <w:p>
                        <w:pPr>
                          <w:pStyle w:val="TableParagraph"/>
                          <w:spacing w:line="276" w:lineRule="exact" w:before="111"/>
                          <w:ind w:left="145"/>
                          <w:rPr>
                            <w:rFonts w:ascii="Calibri"/>
                            <w:sz w:val="23"/>
                          </w:rPr>
                        </w:pPr>
                        <w:r>
                          <w:rPr>
                            <w:rFonts w:ascii="Calibri"/>
                            <w:sz w:val="23"/>
                          </w:rPr>
                          <w:t>Design /</w:t>
                        </w:r>
                      </w:p>
                    </w:tc>
                    <w:tc>
                      <w:tcPr>
                        <w:tcW w:w="1364" w:type="dxa"/>
                      </w:tcPr>
                      <w:p>
                        <w:pPr>
                          <w:pStyle w:val="TableParagraph"/>
                          <w:spacing w:before="124"/>
                          <w:ind w:left="265"/>
                          <w:rPr>
                            <w:sz w:val="22"/>
                          </w:rPr>
                        </w:pPr>
                        <w:r>
                          <w:rPr>
                            <w:sz w:val="22"/>
                          </w:rPr>
                          <w:t>2018</w:t>
                        </w:r>
                      </w:p>
                    </w:tc>
                  </w:tr>
                  <w:tr>
                    <w:trPr>
                      <w:trHeight w:val="268" w:hRule="atLeast"/>
                    </w:trPr>
                    <w:tc>
                      <w:tcPr>
                        <w:tcW w:w="930" w:type="dxa"/>
                      </w:tcPr>
                      <w:p>
                        <w:pPr>
                          <w:pStyle w:val="TableParagraph"/>
                          <w:rPr>
                            <w:rFonts w:ascii="Times New Roman"/>
                            <w:sz w:val="18"/>
                          </w:rPr>
                        </w:pPr>
                      </w:p>
                    </w:tc>
                    <w:tc>
                      <w:tcPr>
                        <w:tcW w:w="4365" w:type="dxa"/>
                      </w:tcPr>
                      <w:p>
                        <w:pPr>
                          <w:pStyle w:val="TableParagraph"/>
                          <w:rPr>
                            <w:rFonts w:ascii="Times New Roman"/>
                            <w:sz w:val="18"/>
                          </w:rPr>
                        </w:pPr>
                      </w:p>
                    </w:tc>
                    <w:tc>
                      <w:tcPr>
                        <w:tcW w:w="2161" w:type="dxa"/>
                      </w:tcPr>
                      <w:p>
                        <w:pPr>
                          <w:pStyle w:val="TableParagraph"/>
                          <w:rPr>
                            <w:rFonts w:ascii="Times New Roman"/>
                            <w:sz w:val="18"/>
                          </w:rPr>
                        </w:pPr>
                      </w:p>
                    </w:tc>
                    <w:tc>
                      <w:tcPr>
                        <w:tcW w:w="1899" w:type="dxa"/>
                      </w:tcPr>
                      <w:p>
                        <w:pPr>
                          <w:pStyle w:val="TableParagraph"/>
                          <w:spacing w:line="249" w:lineRule="exact"/>
                          <w:ind w:left="144"/>
                          <w:rPr>
                            <w:rFonts w:ascii="Calibri"/>
                            <w:sz w:val="23"/>
                          </w:rPr>
                        </w:pPr>
                        <w:r>
                          <w:rPr>
                            <w:rFonts w:ascii="Calibri"/>
                            <w:sz w:val="23"/>
                          </w:rPr>
                          <w:t>Construction (on</w:t>
                        </w:r>
                      </w:p>
                    </w:tc>
                    <w:tc>
                      <w:tcPr>
                        <w:tcW w:w="1364" w:type="dxa"/>
                      </w:tcPr>
                      <w:p>
                        <w:pPr>
                          <w:pStyle w:val="TableParagraph"/>
                          <w:rPr>
                            <w:rFonts w:ascii="Times New Roman"/>
                            <w:sz w:val="18"/>
                          </w:rPr>
                        </w:pPr>
                      </w:p>
                    </w:tc>
                  </w:tr>
                  <w:tr>
                    <w:trPr>
                      <w:trHeight w:val="375" w:hRule="atLeast"/>
                    </w:trPr>
                    <w:tc>
                      <w:tcPr>
                        <w:tcW w:w="930" w:type="dxa"/>
                      </w:tcPr>
                      <w:p>
                        <w:pPr>
                          <w:pStyle w:val="TableParagraph"/>
                          <w:rPr>
                            <w:rFonts w:ascii="Times New Roman"/>
                            <w:sz w:val="20"/>
                          </w:rPr>
                        </w:pPr>
                      </w:p>
                    </w:tc>
                    <w:tc>
                      <w:tcPr>
                        <w:tcW w:w="4365" w:type="dxa"/>
                      </w:tcPr>
                      <w:p>
                        <w:pPr>
                          <w:pStyle w:val="TableParagraph"/>
                          <w:rPr>
                            <w:rFonts w:ascii="Times New Roman"/>
                            <w:sz w:val="20"/>
                          </w:rPr>
                        </w:pPr>
                      </w:p>
                    </w:tc>
                    <w:tc>
                      <w:tcPr>
                        <w:tcW w:w="2161" w:type="dxa"/>
                      </w:tcPr>
                      <w:p>
                        <w:pPr>
                          <w:pStyle w:val="TableParagraph"/>
                          <w:rPr>
                            <w:rFonts w:ascii="Times New Roman"/>
                            <w:sz w:val="20"/>
                          </w:rPr>
                        </w:pPr>
                      </w:p>
                    </w:tc>
                    <w:tc>
                      <w:tcPr>
                        <w:tcW w:w="1899" w:type="dxa"/>
                      </w:tcPr>
                      <w:p>
                        <w:pPr>
                          <w:pStyle w:val="TableParagraph"/>
                          <w:spacing w:line="254" w:lineRule="exact"/>
                          <w:ind w:left="147"/>
                          <w:rPr>
                            <w:rFonts w:ascii="Calibri"/>
                            <w:sz w:val="23"/>
                          </w:rPr>
                        </w:pPr>
                        <w:r>
                          <w:rPr>
                            <w:rFonts w:ascii="Calibri"/>
                            <w:sz w:val="23"/>
                          </w:rPr>
                          <w:t>hold)</w:t>
                        </w:r>
                      </w:p>
                    </w:tc>
                    <w:tc>
                      <w:tcPr>
                        <w:tcW w:w="1364" w:type="dxa"/>
                      </w:tcPr>
                      <w:p>
                        <w:pPr>
                          <w:pStyle w:val="TableParagraph"/>
                          <w:rPr>
                            <w:rFonts w:ascii="Times New Roman"/>
                            <w:sz w:val="20"/>
                          </w:rPr>
                        </w:pPr>
                      </w:p>
                    </w:tc>
                  </w:tr>
                  <w:tr>
                    <w:trPr>
                      <w:trHeight w:val="411" w:hRule="atLeast"/>
                    </w:trPr>
                    <w:tc>
                      <w:tcPr>
                        <w:tcW w:w="930" w:type="dxa"/>
                      </w:tcPr>
                      <w:p>
                        <w:pPr>
                          <w:pStyle w:val="TableParagraph"/>
                          <w:rPr>
                            <w:rFonts w:ascii="Times New Roman"/>
                            <w:sz w:val="20"/>
                          </w:rPr>
                        </w:pPr>
                      </w:p>
                    </w:tc>
                    <w:tc>
                      <w:tcPr>
                        <w:tcW w:w="4365" w:type="dxa"/>
                      </w:tcPr>
                      <w:p>
                        <w:pPr>
                          <w:pStyle w:val="TableParagraph"/>
                          <w:spacing w:before="128"/>
                          <w:ind w:left="87"/>
                          <w:rPr>
                            <w:sz w:val="22"/>
                          </w:rPr>
                        </w:pPr>
                        <w:r>
                          <w:rPr>
                            <w:w w:val="95"/>
                            <w:sz w:val="22"/>
                          </w:rPr>
                          <w:t>Hawthorn Terrace FAS Phase 2”</w:t>
                        </w:r>
                      </w:p>
                    </w:tc>
                    <w:tc>
                      <w:tcPr>
                        <w:tcW w:w="2161" w:type="dxa"/>
                      </w:tcPr>
                      <w:p>
                        <w:pPr>
                          <w:pStyle w:val="TableParagraph"/>
                          <w:spacing w:before="118"/>
                          <w:ind w:left="307"/>
                          <w:rPr>
                            <w:sz w:val="23"/>
                          </w:rPr>
                        </w:pPr>
                        <w:r>
                          <w:rPr>
                            <w:w w:val="95"/>
                            <w:sz w:val="23"/>
                          </w:rPr>
                          <w:t>West Garforth</w:t>
                        </w:r>
                      </w:p>
                    </w:tc>
                    <w:tc>
                      <w:tcPr>
                        <w:tcW w:w="1899" w:type="dxa"/>
                      </w:tcPr>
                      <w:p>
                        <w:pPr>
                          <w:pStyle w:val="TableParagraph"/>
                          <w:spacing w:line="276" w:lineRule="exact" w:before="115"/>
                          <w:ind w:left="145"/>
                          <w:rPr>
                            <w:rFonts w:ascii="Calibri"/>
                            <w:sz w:val="23"/>
                          </w:rPr>
                        </w:pPr>
                        <w:r>
                          <w:rPr>
                            <w:rFonts w:ascii="Calibri"/>
                            <w:sz w:val="23"/>
                          </w:rPr>
                          <w:t>Design /</w:t>
                        </w:r>
                      </w:p>
                    </w:tc>
                    <w:tc>
                      <w:tcPr>
                        <w:tcW w:w="1364" w:type="dxa"/>
                      </w:tcPr>
                      <w:p>
                        <w:pPr>
                          <w:pStyle w:val="TableParagraph"/>
                          <w:spacing w:before="137"/>
                          <w:ind w:left="265"/>
                          <w:rPr>
                            <w:sz w:val="21"/>
                          </w:rPr>
                        </w:pPr>
                        <w:r>
                          <w:rPr>
                            <w:sz w:val="21"/>
                          </w:rPr>
                          <w:t>2019</w:t>
                        </w:r>
                      </w:p>
                    </w:tc>
                  </w:tr>
                  <w:tr>
                    <w:trPr>
                      <w:trHeight w:val="379" w:hRule="atLeast"/>
                    </w:trPr>
                    <w:tc>
                      <w:tcPr>
                        <w:tcW w:w="930" w:type="dxa"/>
                      </w:tcPr>
                      <w:p>
                        <w:pPr>
                          <w:pStyle w:val="TableParagraph"/>
                          <w:rPr>
                            <w:rFonts w:ascii="Times New Roman"/>
                            <w:sz w:val="20"/>
                          </w:rPr>
                        </w:pPr>
                      </w:p>
                    </w:tc>
                    <w:tc>
                      <w:tcPr>
                        <w:tcW w:w="4365" w:type="dxa"/>
                      </w:tcPr>
                      <w:p>
                        <w:pPr>
                          <w:pStyle w:val="TableParagraph"/>
                          <w:rPr>
                            <w:rFonts w:ascii="Times New Roman"/>
                            <w:sz w:val="20"/>
                          </w:rPr>
                        </w:pPr>
                      </w:p>
                    </w:tc>
                    <w:tc>
                      <w:tcPr>
                        <w:tcW w:w="2161" w:type="dxa"/>
                      </w:tcPr>
                      <w:p>
                        <w:pPr>
                          <w:pStyle w:val="TableParagraph"/>
                          <w:rPr>
                            <w:rFonts w:ascii="Times New Roman"/>
                            <w:sz w:val="20"/>
                          </w:rPr>
                        </w:pPr>
                      </w:p>
                    </w:tc>
                    <w:tc>
                      <w:tcPr>
                        <w:tcW w:w="1899" w:type="dxa"/>
                      </w:tcPr>
                      <w:p>
                        <w:pPr>
                          <w:pStyle w:val="TableParagraph"/>
                          <w:spacing w:line="254" w:lineRule="exact"/>
                          <w:ind w:left="144"/>
                          <w:rPr>
                            <w:rFonts w:ascii="Calibri"/>
                            <w:sz w:val="23"/>
                          </w:rPr>
                        </w:pPr>
                        <w:r>
                          <w:rPr>
                            <w:rFonts w:ascii="Calibri"/>
                            <w:sz w:val="23"/>
                          </w:rPr>
                          <w:t>Construction</w:t>
                        </w:r>
                      </w:p>
                    </w:tc>
                    <w:tc>
                      <w:tcPr>
                        <w:tcW w:w="1364" w:type="dxa"/>
                      </w:tcPr>
                      <w:p>
                        <w:pPr>
                          <w:pStyle w:val="TableParagraph"/>
                          <w:rPr>
                            <w:rFonts w:ascii="Times New Roman"/>
                            <w:sz w:val="20"/>
                          </w:rPr>
                        </w:pPr>
                      </w:p>
                    </w:tc>
                  </w:tr>
                  <w:tr>
                    <w:trPr>
                      <w:trHeight w:val="504" w:hRule="atLeast"/>
                    </w:trPr>
                    <w:tc>
                      <w:tcPr>
                        <w:tcW w:w="930" w:type="dxa"/>
                      </w:tcPr>
                      <w:p>
                        <w:pPr>
                          <w:pStyle w:val="TableParagraph"/>
                          <w:rPr>
                            <w:rFonts w:ascii="Times New Roman"/>
                            <w:sz w:val="20"/>
                          </w:rPr>
                        </w:pPr>
                      </w:p>
                    </w:tc>
                    <w:tc>
                      <w:tcPr>
                        <w:tcW w:w="4365" w:type="dxa"/>
                      </w:tcPr>
                      <w:p>
                        <w:pPr>
                          <w:pStyle w:val="TableParagraph"/>
                          <w:spacing w:before="101"/>
                          <w:ind w:left="86"/>
                          <w:rPr>
                            <w:rFonts w:ascii="Calibri" w:hAnsi="Calibri"/>
                            <w:sz w:val="23"/>
                          </w:rPr>
                        </w:pPr>
                        <w:r>
                          <w:rPr>
                            <w:rFonts w:ascii="Calibri" w:hAnsi="Calibri"/>
                            <w:sz w:val="23"/>
                          </w:rPr>
                          <w:t>Killingbeck Meadows FAS”</w:t>
                        </w:r>
                      </w:p>
                    </w:tc>
                    <w:tc>
                      <w:tcPr>
                        <w:tcW w:w="2161" w:type="dxa"/>
                      </w:tcPr>
                      <w:p>
                        <w:pPr>
                          <w:pStyle w:val="TableParagraph"/>
                          <w:spacing w:before="123"/>
                          <w:ind w:left="302"/>
                          <w:rPr>
                            <w:sz w:val="21"/>
                          </w:rPr>
                        </w:pPr>
                        <w:r>
                          <w:rPr>
                            <w:sz w:val="21"/>
                          </w:rPr>
                          <w:t>Halton Moor</w:t>
                        </w:r>
                      </w:p>
                    </w:tc>
                    <w:tc>
                      <w:tcPr>
                        <w:tcW w:w="1899" w:type="dxa"/>
                      </w:tcPr>
                      <w:p>
                        <w:pPr>
                          <w:pStyle w:val="TableParagraph"/>
                          <w:spacing w:before="123"/>
                          <w:ind w:left="144"/>
                          <w:rPr>
                            <w:sz w:val="21"/>
                          </w:rPr>
                        </w:pPr>
                        <w:r>
                          <w:rPr>
                            <w:sz w:val="21"/>
                          </w:rPr>
                          <w:t>Construction</w:t>
                        </w:r>
                      </w:p>
                    </w:tc>
                    <w:tc>
                      <w:tcPr>
                        <w:tcW w:w="1364" w:type="dxa"/>
                      </w:tcPr>
                      <w:p>
                        <w:pPr>
                          <w:pStyle w:val="TableParagraph"/>
                          <w:spacing w:before="123"/>
                          <w:ind w:left="265"/>
                          <w:rPr>
                            <w:sz w:val="21"/>
                          </w:rPr>
                        </w:pPr>
                        <w:r>
                          <w:rPr>
                            <w:sz w:val="21"/>
                          </w:rPr>
                          <w:t>2019</w:t>
                        </w:r>
                      </w:p>
                    </w:tc>
                  </w:tr>
                  <w:tr>
                    <w:trPr>
                      <w:trHeight w:val="509" w:hRule="atLeast"/>
                    </w:trPr>
                    <w:tc>
                      <w:tcPr>
                        <w:tcW w:w="930" w:type="dxa"/>
                      </w:tcPr>
                      <w:p>
                        <w:pPr>
                          <w:pStyle w:val="TableParagraph"/>
                          <w:rPr>
                            <w:rFonts w:ascii="Times New Roman"/>
                            <w:sz w:val="20"/>
                          </w:rPr>
                        </w:pPr>
                      </w:p>
                    </w:tc>
                    <w:tc>
                      <w:tcPr>
                        <w:tcW w:w="4365" w:type="dxa"/>
                      </w:tcPr>
                      <w:p>
                        <w:pPr>
                          <w:pStyle w:val="TableParagraph"/>
                          <w:spacing w:before="119"/>
                          <w:ind w:left="87"/>
                          <w:rPr>
                            <w:sz w:val="22"/>
                          </w:rPr>
                        </w:pPr>
                        <w:r>
                          <w:rPr>
                            <w:w w:val="95"/>
                            <w:sz w:val="22"/>
                          </w:rPr>
                          <w:t>Farnley Wood Beck FAS”</w:t>
                        </w:r>
                      </w:p>
                    </w:tc>
                    <w:tc>
                      <w:tcPr>
                        <w:tcW w:w="2161" w:type="dxa"/>
                      </w:tcPr>
                      <w:p>
                        <w:pPr>
                          <w:pStyle w:val="TableParagraph"/>
                          <w:spacing w:before="106"/>
                          <w:ind w:left="298"/>
                          <w:rPr>
                            <w:rFonts w:ascii="Calibri"/>
                            <w:sz w:val="23"/>
                          </w:rPr>
                        </w:pPr>
                        <w:r>
                          <w:rPr>
                            <w:rFonts w:ascii="Calibri"/>
                            <w:sz w:val="23"/>
                          </w:rPr>
                          <w:t>Cottingley</w:t>
                        </w:r>
                      </w:p>
                    </w:tc>
                    <w:tc>
                      <w:tcPr>
                        <w:tcW w:w="1899" w:type="dxa"/>
                      </w:tcPr>
                      <w:p>
                        <w:pPr>
                          <w:pStyle w:val="TableParagraph"/>
                          <w:spacing w:before="128"/>
                          <w:ind w:left="147"/>
                          <w:rPr>
                            <w:sz w:val="21"/>
                          </w:rPr>
                        </w:pPr>
                        <w:r>
                          <w:rPr>
                            <w:sz w:val="21"/>
                          </w:rPr>
                          <w:t>Feasibility</w:t>
                        </w:r>
                      </w:p>
                    </w:tc>
                    <w:tc>
                      <w:tcPr>
                        <w:tcW w:w="1364" w:type="dxa"/>
                      </w:tcPr>
                      <w:p>
                        <w:pPr>
                          <w:pStyle w:val="TableParagraph"/>
                          <w:spacing w:before="128"/>
                          <w:ind w:left="265"/>
                          <w:rPr>
                            <w:sz w:val="21"/>
                          </w:rPr>
                        </w:pPr>
                        <w:r>
                          <w:rPr>
                            <w:sz w:val="21"/>
                          </w:rPr>
                          <w:t>2019</w:t>
                        </w:r>
                      </w:p>
                    </w:tc>
                  </w:tr>
                  <w:tr>
                    <w:trPr>
                      <w:trHeight w:val="782" w:hRule="atLeast"/>
                    </w:trPr>
                    <w:tc>
                      <w:tcPr>
                        <w:tcW w:w="930" w:type="dxa"/>
                      </w:tcPr>
                      <w:p>
                        <w:pPr>
                          <w:pStyle w:val="TableParagraph"/>
                          <w:rPr>
                            <w:rFonts w:ascii="Times New Roman"/>
                            <w:sz w:val="20"/>
                          </w:rPr>
                        </w:pPr>
                      </w:p>
                    </w:tc>
                    <w:tc>
                      <w:tcPr>
                        <w:tcW w:w="4365" w:type="dxa"/>
                      </w:tcPr>
                      <w:p>
                        <w:pPr>
                          <w:pStyle w:val="TableParagraph"/>
                          <w:spacing w:line="254" w:lineRule="auto" w:before="128"/>
                          <w:ind w:left="89"/>
                          <w:rPr>
                            <w:sz w:val="22"/>
                          </w:rPr>
                        </w:pPr>
                        <w:r>
                          <w:rPr>
                            <w:w w:val="79"/>
                            <w:sz w:val="22"/>
                          </w:rPr>
                          <w:t>Lin</w:t>
                        </w:r>
                        <w:r>
                          <w:rPr>
                            <w:sz w:val="22"/>
                          </w:rPr>
                          <w:t> </w:t>
                        </w:r>
                        <w:r>
                          <w:rPr>
                            <w:w w:val="85"/>
                            <w:sz w:val="22"/>
                          </w:rPr>
                          <w:t>Dyke</w:t>
                        </w:r>
                        <w:r>
                          <w:rPr>
                            <w:sz w:val="22"/>
                          </w:rPr>
                          <w:t> </w:t>
                        </w:r>
                        <w:r>
                          <w:rPr>
                            <w:w w:val="90"/>
                            <w:sz w:val="22"/>
                          </w:rPr>
                          <w:t>Catchment</w:t>
                        </w:r>
                        <w:r>
                          <w:rPr>
                            <w:sz w:val="22"/>
                          </w:rPr>
                          <w:t> </w:t>
                        </w:r>
                        <w:r>
                          <w:rPr>
                            <w:w w:val="86"/>
                            <w:sz w:val="22"/>
                          </w:rPr>
                          <w:t>Assessment</w:t>
                        </w:r>
                        <w:r>
                          <w:rPr>
                            <w:sz w:val="22"/>
                          </w:rPr>
                          <w:t>  </w:t>
                        </w:r>
                        <w:r>
                          <w:rPr>
                            <w:w w:val="22"/>
                            <w:sz w:val="22"/>
                          </w:rPr>
                          <w:t>—</w:t>
                        </w:r>
                        <w:r>
                          <w:rPr>
                            <w:w w:val="90"/>
                            <w:sz w:val="22"/>
                          </w:rPr>
                          <w:t>Upper</w:t>
                        </w:r>
                        <w:r>
                          <w:rPr>
                            <w:sz w:val="22"/>
                          </w:rPr>
                          <w:t> </w:t>
                        </w:r>
                        <w:r>
                          <w:rPr>
                            <w:w w:val="88"/>
                            <w:sz w:val="22"/>
                          </w:rPr>
                          <w:t>and </w:t>
                        </w:r>
                        <w:r>
                          <w:rPr>
                            <w:w w:val="95"/>
                            <w:sz w:val="22"/>
                          </w:rPr>
                          <w:t>Midd Ie catch ments”</w:t>
                        </w:r>
                      </w:p>
                    </w:tc>
                    <w:tc>
                      <w:tcPr>
                        <w:tcW w:w="2161" w:type="dxa"/>
                      </w:tcPr>
                      <w:p>
                        <w:pPr>
                          <w:pStyle w:val="TableParagraph"/>
                          <w:spacing w:line="244" w:lineRule="auto" w:before="118"/>
                          <w:ind w:left="302" w:right="53" w:hanging="5"/>
                          <w:rPr>
                            <w:sz w:val="23"/>
                          </w:rPr>
                        </w:pPr>
                        <w:r>
                          <w:rPr>
                            <w:w w:val="90"/>
                            <w:sz w:val="23"/>
                          </w:rPr>
                          <w:t>Garforth and </w:t>
                        </w:r>
                        <w:r>
                          <w:rPr>
                            <w:w w:val="95"/>
                            <w:sz w:val="23"/>
                          </w:rPr>
                          <w:t>Kippax</w:t>
                        </w:r>
                      </w:p>
                    </w:tc>
                    <w:tc>
                      <w:tcPr>
                        <w:tcW w:w="1899" w:type="dxa"/>
                      </w:tcPr>
                      <w:p>
                        <w:pPr>
                          <w:pStyle w:val="TableParagraph"/>
                          <w:spacing w:before="137"/>
                          <w:ind w:left="147"/>
                          <w:rPr>
                            <w:sz w:val="21"/>
                          </w:rPr>
                        </w:pPr>
                        <w:r>
                          <w:rPr>
                            <w:sz w:val="21"/>
                          </w:rPr>
                          <w:t>Feasibility</w:t>
                        </w:r>
                      </w:p>
                    </w:tc>
                    <w:tc>
                      <w:tcPr>
                        <w:tcW w:w="1364" w:type="dxa"/>
                      </w:tcPr>
                      <w:p>
                        <w:pPr>
                          <w:pStyle w:val="TableParagraph"/>
                          <w:spacing w:before="137"/>
                          <w:ind w:left="265"/>
                          <w:rPr>
                            <w:sz w:val="21"/>
                          </w:rPr>
                        </w:pPr>
                        <w:r>
                          <w:rPr>
                            <w:sz w:val="21"/>
                          </w:rPr>
                          <w:t>2020</w:t>
                        </w:r>
                      </w:p>
                    </w:tc>
                  </w:tr>
                  <w:tr>
                    <w:trPr>
                      <w:trHeight w:val="406" w:hRule="atLeast"/>
                    </w:trPr>
                    <w:tc>
                      <w:tcPr>
                        <w:tcW w:w="930" w:type="dxa"/>
                      </w:tcPr>
                      <w:p>
                        <w:pPr>
                          <w:pStyle w:val="TableParagraph"/>
                          <w:rPr>
                            <w:rFonts w:ascii="Times New Roman"/>
                            <w:sz w:val="20"/>
                          </w:rPr>
                        </w:pPr>
                      </w:p>
                    </w:tc>
                    <w:tc>
                      <w:tcPr>
                        <w:tcW w:w="4365" w:type="dxa"/>
                      </w:tcPr>
                      <w:p>
                        <w:pPr>
                          <w:pStyle w:val="TableParagraph"/>
                          <w:spacing w:before="123"/>
                          <w:ind w:left="93"/>
                          <w:rPr>
                            <w:sz w:val="22"/>
                          </w:rPr>
                        </w:pPr>
                        <w:r>
                          <w:rPr>
                            <w:sz w:val="22"/>
                          </w:rPr>
                          <w:t>Wyke Beck Catchment Assessment”</w:t>
                        </w:r>
                      </w:p>
                    </w:tc>
                    <w:tc>
                      <w:tcPr>
                        <w:tcW w:w="2161" w:type="dxa"/>
                      </w:tcPr>
                      <w:p>
                        <w:pPr>
                          <w:pStyle w:val="TableParagraph"/>
                          <w:spacing w:line="276" w:lineRule="exact" w:before="110"/>
                          <w:ind w:left="298"/>
                          <w:rPr>
                            <w:rFonts w:ascii="Calibri"/>
                            <w:sz w:val="23"/>
                          </w:rPr>
                        </w:pPr>
                        <w:r>
                          <w:rPr>
                            <w:rFonts w:ascii="Calibri"/>
                            <w:sz w:val="23"/>
                          </w:rPr>
                          <w:t>Communities along</w:t>
                        </w:r>
                      </w:p>
                    </w:tc>
                    <w:tc>
                      <w:tcPr>
                        <w:tcW w:w="1899" w:type="dxa"/>
                      </w:tcPr>
                      <w:p>
                        <w:pPr>
                          <w:pStyle w:val="TableParagraph"/>
                          <w:spacing w:line="276" w:lineRule="exact" w:before="110"/>
                          <w:ind w:left="145"/>
                          <w:rPr>
                            <w:rFonts w:ascii="Calibri"/>
                            <w:sz w:val="23"/>
                          </w:rPr>
                        </w:pPr>
                        <w:r>
                          <w:rPr>
                            <w:rFonts w:ascii="Calibri"/>
                            <w:sz w:val="23"/>
                          </w:rPr>
                          <w:t>Feasibility</w:t>
                        </w:r>
                      </w:p>
                    </w:tc>
                    <w:tc>
                      <w:tcPr>
                        <w:tcW w:w="1364" w:type="dxa"/>
                      </w:tcPr>
                      <w:p>
                        <w:pPr>
                          <w:pStyle w:val="TableParagraph"/>
                          <w:spacing w:before="132"/>
                          <w:ind w:left="265"/>
                          <w:rPr>
                            <w:sz w:val="21"/>
                          </w:rPr>
                        </w:pPr>
                        <w:r>
                          <w:rPr>
                            <w:sz w:val="21"/>
                          </w:rPr>
                          <w:t>2020</w:t>
                        </w:r>
                      </w:p>
                    </w:tc>
                  </w:tr>
                  <w:tr>
                    <w:trPr>
                      <w:trHeight w:val="380" w:hRule="atLeast"/>
                    </w:trPr>
                    <w:tc>
                      <w:tcPr>
                        <w:tcW w:w="930" w:type="dxa"/>
                      </w:tcPr>
                      <w:p>
                        <w:pPr>
                          <w:pStyle w:val="TableParagraph"/>
                          <w:rPr>
                            <w:rFonts w:ascii="Times New Roman"/>
                            <w:sz w:val="20"/>
                          </w:rPr>
                        </w:pPr>
                      </w:p>
                    </w:tc>
                    <w:tc>
                      <w:tcPr>
                        <w:tcW w:w="4365" w:type="dxa"/>
                      </w:tcPr>
                      <w:p>
                        <w:pPr>
                          <w:pStyle w:val="TableParagraph"/>
                          <w:rPr>
                            <w:rFonts w:ascii="Times New Roman"/>
                            <w:sz w:val="20"/>
                          </w:rPr>
                        </w:pPr>
                      </w:p>
                    </w:tc>
                    <w:tc>
                      <w:tcPr>
                        <w:tcW w:w="2161" w:type="dxa"/>
                      </w:tcPr>
                      <w:p>
                        <w:pPr>
                          <w:pStyle w:val="TableParagraph"/>
                          <w:spacing w:line="254" w:lineRule="exact"/>
                          <w:ind w:left="302"/>
                          <w:rPr>
                            <w:rFonts w:ascii="Calibri"/>
                            <w:sz w:val="23"/>
                          </w:rPr>
                        </w:pPr>
                        <w:r>
                          <w:rPr>
                            <w:rFonts w:ascii="Calibri"/>
                            <w:sz w:val="23"/>
                          </w:rPr>
                          <w:t>Wyke Beck</w:t>
                        </w:r>
                      </w:p>
                    </w:tc>
                    <w:tc>
                      <w:tcPr>
                        <w:tcW w:w="1899" w:type="dxa"/>
                      </w:tcPr>
                      <w:p>
                        <w:pPr>
                          <w:pStyle w:val="TableParagraph"/>
                          <w:rPr>
                            <w:rFonts w:ascii="Times New Roman"/>
                            <w:sz w:val="20"/>
                          </w:rPr>
                        </w:pPr>
                      </w:p>
                    </w:tc>
                    <w:tc>
                      <w:tcPr>
                        <w:tcW w:w="1364" w:type="dxa"/>
                      </w:tcPr>
                      <w:p>
                        <w:pPr>
                          <w:pStyle w:val="TableParagraph"/>
                          <w:rPr>
                            <w:rFonts w:ascii="Times New Roman"/>
                            <w:sz w:val="20"/>
                          </w:rPr>
                        </w:pPr>
                      </w:p>
                    </w:tc>
                  </w:tr>
                  <w:tr>
                    <w:trPr>
                      <w:trHeight w:val="376" w:hRule="atLeast"/>
                    </w:trPr>
                    <w:tc>
                      <w:tcPr>
                        <w:tcW w:w="930" w:type="dxa"/>
                      </w:tcPr>
                      <w:p>
                        <w:pPr>
                          <w:pStyle w:val="TableParagraph"/>
                          <w:rPr>
                            <w:rFonts w:ascii="Times New Roman"/>
                            <w:sz w:val="20"/>
                          </w:rPr>
                        </w:pPr>
                      </w:p>
                    </w:tc>
                    <w:tc>
                      <w:tcPr>
                        <w:tcW w:w="4365" w:type="dxa"/>
                      </w:tcPr>
                      <w:p>
                        <w:pPr>
                          <w:pStyle w:val="TableParagraph"/>
                          <w:spacing w:line="233" w:lineRule="exact" w:before="123"/>
                          <w:ind w:left="93"/>
                          <w:rPr>
                            <w:sz w:val="22"/>
                          </w:rPr>
                        </w:pPr>
                        <w:r>
                          <w:rPr>
                            <w:w w:val="95"/>
                            <w:sz w:val="22"/>
                          </w:rPr>
                          <w:t>Wortley Beck FAS”</w:t>
                        </w:r>
                      </w:p>
                    </w:tc>
                    <w:tc>
                      <w:tcPr>
                        <w:tcW w:w="2161" w:type="dxa"/>
                      </w:tcPr>
                      <w:p>
                        <w:pPr>
                          <w:pStyle w:val="TableParagraph"/>
                          <w:spacing w:line="233" w:lineRule="exact" w:before="123"/>
                          <w:ind w:left="307"/>
                          <w:rPr>
                            <w:sz w:val="22"/>
                          </w:rPr>
                        </w:pPr>
                        <w:r>
                          <w:rPr>
                            <w:sz w:val="22"/>
                          </w:rPr>
                          <w:t>Wortley Beck</w:t>
                        </w:r>
                      </w:p>
                    </w:tc>
                    <w:tc>
                      <w:tcPr>
                        <w:tcW w:w="1899" w:type="dxa"/>
                      </w:tcPr>
                      <w:p>
                        <w:pPr>
                          <w:pStyle w:val="TableParagraph"/>
                          <w:spacing w:line="224" w:lineRule="exact" w:before="133"/>
                          <w:ind w:left="147"/>
                          <w:rPr>
                            <w:sz w:val="21"/>
                          </w:rPr>
                        </w:pPr>
                        <w:r>
                          <w:rPr>
                            <w:sz w:val="21"/>
                          </w:rPr>
                          <w:t>Feasibility</w:t>
                        </w:r>
                      </w:p>
                    </w:tc>
                    <w:tc>
                      <w:tcPr>
                        <w:tcW w:w="1364" w:type="dxa"/>
                      </w:tcPr>
                      <w:p>
                        <w:pPr>
                          <w:pStyle w:val="TableParagraph"/>
                          <w:spacing w:line="224" w:lineRule="exact" w:before="133"/>
                          <w:ind w:left="265"/>
                          <w:rPr>
                            <w:sz w:val="21"/>
                          </w:rPr>
                        </w:pPr>
                        <w:r>
                          <w:rPr>
                            <w:sz w:val="21"/>
                          </w:rPr>
                          <w:t>2020</w:t>
                        </w:r>
                      </w:p>
                    </w:tc>
                  </w:tr>
                </w:tbl>
                <w:p>
                  <w:pPr>
                    <w:pStyle w:val="BodyText"/>
                  </w:pPr>
                </w:p>
              </w:txbxContent>
            </v:textbox>
            <w10:wrap type="none"/>
          </v:shape>
        </w:pict>
      </w:r>
      <w:bookmarkStart w:name="Leeds LFRMS 2018 Update_Page_24" w:id="30"/>
      <w:bookmarkEnd w:id="30"/>
      <w:r>
        <w:rPr/>
      </w:r>
      <w:r>
        <w:rPr>
          <w:w w:val="95"/>
          <w:sz w:val="22"/>
        </w:rPr>
        <w:t>Westfields,</w:t>
      </w:r>
      <w:r>
        <w:rPr>
          <w:spacing w:val="-22"/>
          <w:w w:val="95"/>
          <w:sz w:val="22"/>
        </w:rPr>
        <w:t> </w:t>
      </w:r>
      <w:r>
        <w:rPr>
          <w:w w:val="95"/>
          <w:sz w:val="22"/>
        </w:rPr>
        <w:t>Allerton</w:t>
      </w:r>
      <w:r>
        <w:rPr>
          <w:spacing w:val="-20"/>
          <w:w w:val="95"/>
          <w:sz w:val="22"/>
        </w:rPr>
        <w:t> </w:t>
      </w:r>
      <w:r>
        <w:rPr>
          <w:w w:val="95"/>
          <w:sz w:val="22"/>
        </w:rPr>
        <w:t>Bywater</w:t>
        <w:tab/>
        <w:t>Allerton Bywater </w:t>
      </w:r>
      <w:r>
        <w:rPr>
          <w:sz w:val="22"/>
        </w:rPr>
        <w:t>Table 2 </w:t>
      </w:r>
      <w:r>
        <w:rPr>
          <w:w w:val="95"/>
          <w:sz w:val="22"/>
        </w:rPr>
        <w:t>— </w:t>
      </w:r>
      <w:r>
        <w:rPr>
          <w:sz w:val="22"/>
        </w:rPr>
        <w:t>LCC policies completed since</w:t>
      </w:r>
      <w:r>
        <w:rPr>
          <w:spacing w:val="37"/>
          <w:sz w:val="22"/>
        </w:rPr>
        <w:t> </w:t>
      </w:r>
      <w:r>
        <w:rPr>
          <w:sz w:val="22"/>
        </w:rPr>
        <w:t>2011</w:t>
      </w:r>
    </w:p>
    <w:p>
      <w:pPr>
        <w:tabs>
          <w:tab w:pos="2645" w:val="left" w:leader="none"/>
        </w:tabs>
        <w:spacing w:before="93"/>
        <w:ind w:left="1025" w:right="0" w:firstLine="0"/>
        <w:jc w:val="left"/>
        <w:rPr>
          <w:sz w:val="22"/>
        </w:rPr>
      </w:pPr>
      <w:r>
        <w:rPr/>
        <w:br w:type="column"/>
      </w:r>
      <w:r>
        <w:rPr>
          <w:rFonts w:ascii="Consolas"/>
          <w:sz w:val="22"/>
        </w:rPr>
        <w:t>40</w:t>
        <w:tab/>
      </w:r>
      <w:r>
        <w:rPr>
          <w:sz w:val="22"/>
        </w:rPr>
        <w:t>2018</w:t>
      </w:r>
    </w:p>
    <w:p>
      <w:pPr>
        <w:spacing w:after="0"/>
        <w:jc w:val="left"/>
        <w:rPr>
          <w:sz w:val="22"/>
        </w:rPr>
        <w:sectPr>
          <w:type w:val="continuous"/>
          <w:pgSz w:w="11920" w:h="16850"/>
          <w:pgMar w:top="1220" w:bottom="0" w:left="400" w:right="540"/>
          <w:cols w:num="2" w:equalWidth="0">
            <w:col w:w="5729" w:space="1874"/>
            <w:col w:w="3377"/>
          </w:cols>
        </w:sectPr>
      </w:pPr>
    </w:p>
    <w:p>
      <w:pPr>
        <w:pStyle w:val="BodyText"/>
        <w:rPr>
          <w:sz w:val="20"/>
        </w:rPr>
      </w:pPr>
      <w:r>
        <w:rPr/>
        <w:pict>
          <v:group style="position:absolute;margin-left:123.349602pt;margin-top:29.757116pt;width:5.3pt;height:35.050pt;mso-position-horizontal-relative:page;mso-position-vertical-relative:page;z-index:2176" coordorigin="2467,595" coordsize="106,701">
            <v:shape style="position:absolute;left:2467;top:595;width:106;height:48" type="#_x0000_t75" stroked="false">
              <v:imagedata r:id="rId14" o:title=""/>
            </v:shape>
            <v:shape style="position:absolute;left:2486;top:1257;width:87;height:39" type="#_x0000_t75" stroked="false">
              <v:imagedata r:id="rId15" o:title=""/>
            </v:shape>
            <v:line style="position:absolute" from="2515,595" to="2515,1286" stroked="true" strokeweight="4.799592pt" strokecolor="#ff6477">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tbl>
      <w:tblPr>
        <w:tblW w:w="0" w:type="auto"/>
        <w:jc w:val="left"/>
        <w:tblInd w:w="1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0"/>
        <w:gridCol w:w="2030"/>
        <w:gridCol w:w="1858"/>
        <w:gridCol w:w="779"/>
      </w:tblGrid>
      <w:tr>
        <w:trPr>
          <w:trHeight w:val="249" w:hRule="atLeast"/>
        </w:trPr>
        <w:tc>
          <w:tcPr>
            <w:tcW w:w="4480" w:type="dxa"/>
          </w:tcPr>
          <w:p>
            <w:pPr>
              <w:pStyle w:val="TableParagraph"/>
              <w:spacing w:line="229" w:lineRule="exact"/>
              <w:ind w:left="57"/>
              <w:rPr>
                <w:rFonts w:ascii="Calibri"/>
                <w:sz w:val="22"/>
              </w:rPr>
            </w:pPr>
            <w:bookmarkStart w:name="Leeds LFRMS 2018 Update_Page_25" w:id="31"/>
            <w:bookmarkEnd w:id="31"/>
            <w:r>
              <w:rPr/>
            </w:r>
            <w:r>
              <w:rPr>
                <w:rFonts w:ascii="Calibri"/>
                <w:sz w:val="22"/>
              </w:rPr>
              <w:t>Wharfedale Flooded Communities Study*</w:t>
            </w:r>
          </w:p>
        </w:tc>
        <w:tc>
          <w:tcPr>
            <w:tcW w:w="2030" w:type="dxa"/>
          </w:tcPr>
          <w:p>
            <w:pPr>
              <w:pStyle w:val="TableParagraph"/>
              <w:spacing w:line="229" w:lineRule="exact"/>
              <w:ind w:left="151"/>
              <w:rPr>
                <w:rFonts w:ascii="Calibri"/>
                <w:sz w:val="23"/>
              </w:rPr>
            </w:pPr>
            <w:r>
              <w:rPr>
                <w:rFonts w:ascii="Calibri"/>
                <w:sz w:val="23"/>
              </w:rPr>
              <w:t>Collingham, Linton,</w:t>
            </w:r>
          </w:p>
        </w:tc>
        <w:tc>
          <w:tcPr>
            <w:tcW w:w="1858" w:type="dxa"/>
          </w:tcPr>
          <w:p>
            <w:pPr>
              <w:pStyle w:val="TableParagraph"/>
              <w:spacing w:line="229" w:lineRule="exact"/>
              <w:ind w:left="130"/>
              <w:rPr>
                <w:rFonts w:ascii="Calibri"/>
                <w:sz w:val="21"/>
              </w:rPr>
            </w:pPr>
            <w:r>
              <w:rPr>
                <w:rFonts w:ascii="Calibri"/>
                <w:sz w:val="21"/>
              </w:rPr>
              <w:t>Feasibility</w:t>
            </w:r>
          </w:p>
        </w:tc>
        <w:tc>
          <w:tcPr>
            <w:tcW w:w="779" w:type="dxa"/>
          </w:tcPr>
          <w:p>
            <w:pPr>
              <w:pStyle w:val="TableParagraph"/>
              <w:spacing w:line="229" w:lineRule="exact"/>
              <w:ind w:left="284"/>
              <w:rPr>
                <w:rFonts w:ascii="Calibri"/>
                <w:sz w:val="21"/>
              </w:rPr>
            </w:pPr>
            <w:r>
              <w:rPr>
                <w:rFonts w:ascii="Calibri"/>
                <w:w w:val="105"/>
                <w:sz w:val="21"/>
              </w:rPr>
              <w:t>2020</w:t>
            </w:r>
          </w:p>
        </w:tc>
      </w:tr>
      <w:tr>
        <w:trPr>
          <w:trHeight w:val="268" w:hRule="atLeast"/>
        </w:trPr>
        <w:tc>
          <w:tcPr>
            <w:tcW w:w="4480" w:type="dxa"/>
          </w:tcPr>
          <w:p>
            <w:pPr>
              <w:pStyle w:val="TableParagraph"/>
              <w:rPr>
                <w:rFonts w:ascii="Times New Roman"/>
                <w:sz w:val="18"/>
              </w:rPr>
            </w:pPr>
          </w:p>
        </w:tc>
        <w:tc>
          <w:tcPr>
            <w:tcW w:w="2030" w:type="dxa"/>
          </w:tcPr>
          <w:p>
            <w:pPr>
              <w:pStyle w:val="TableParagraph"/>
              <w:spacing w:line="249" w:lineRule="exact"/>
              <w:ind w:left="155"/>
              <w:rPr>
                <w:rFonts w:ascii="Calibri"/>
                <w:sz w:val="23"/>
              </w:rPr>
            </w:pPr>
            <w:r>
              <w:rPr>
                <w:rFonts w:ascii="Calibri"/>
                <w:sz w:val="23"/>
              </w:rPr>
              <w:t>Wetherby and</w:t>
            </w:r>
          </w:p>
        </w:tc>
        <w:tc>
          <w:tcPr>
            <w:tcW w:w="1858" w:type="dxa"/>
          </w:tcPr>
          <w:p>
            <w:pPr>
              <w:pStyle w:val="TableParagraph"/>
              <w:rPr>
                <w:rFonts w:ascii="Times New Roman"/>
                <w:sz w:val="18"/>
              </w:rPr>
            </w:pPr>
          </w:p>
        </w:tc>
        <w:tc>
          <w:tcPr>
            <w:tcW w:w="779" w:type="dxa"/>
          </w:tcPr>
          <w:p>
            <w:pPr>
              <w:pStyle w:val="TableParagraph"/>
              <w:rPr>
                <w:rFonts w:ascii="Times New Roman"/>
                <w:sz w:val="18"/>
              </w:rPr>
            </w:pPr>
          </w:p>
        </w:tc>
      </w:tr>
      <w:tr>
        <w:trPr>
          <w:trHeight w:val="388" w:hRule="atLeast"/>
        </w:trPr>
        <w:tc>
          <w:tcPr>
            <w:tcW w:w="4480" w:type="dxa"/>
          </w:tcPr>
          <w:p>
            <w:pPr>
              <w:pStyle w:val="TableParagraph"/>
              <w:rPr>
                <w:rFonts w:ascii="Times New Roman"/>
                <w:sz w:val="22"/>
              </w:rPr>
            </w:pPr>
          </w:p>
        </w:tc>
        <w:tc>
          <w:tcPr>
            <w:tcW w:w="2030" w:type="dxa"/>
          </w:tcPr>
          <w:p>
            <w:pPr>
              <w:pStyle w:val="TableParagraph"/>
              <w:spacing w:line="254" w:lineRule="exact"/>
              <w:ind w:left="151"/>
              <w:rPr>
                <w:rFonts w:ascii="Calibri"/>
                <w:sz w:val="23"/>
              </w:rPr>
            </w:pPr>
            <w:r>
              <w:rPr>
                <w:rFonts w:ascii="Calibri"/>
                <w:sz w:val="23"/>
              </w:rPr>
              <w:t>Thorp Arch</w:t>
            </w:r>
          </w:p>
        </w:tc>
        <w:tc>
          <w:tcPr>
            <w:tcW w:w="1858" w:type="dxa"/>
          </w:tcPr>
          <w:p>
            <w:pPr>
              <w:pStyle w:val="TableParagraph"/>
              <w:rPr>
                <w:rFonts w:ascii="Times New Roman"/>
                <w:sz w:val="22"/>
              </w:rPr>
            </w:pPr>
          </w:p>
        </w:tc>
        <w:tc>
          <w:tcPr>
            <w:tcW w:w="779" w:type="dxa"/>
          </w:tcPr>
          <w:p>
            <w:pPr>
              <w:pStyle w:val="TableParagraph"/>
              <w:rPr>
                <w:rFonts w:ascii="Times New Roman"/>
                <w:sz w:val="22"/>
              </w:rPr>
            </w:pPr>
          </w:p>
        </w:tc>
      </w:tr>
      <w:tr>
        <w:trPr>
          <w:trHeight w:val="388" w:hRule="atLeast"/>
        </w:trPr>
        <w:tc>
          <w:tcPr>
            <w:tcW w:w="4480" w:type="dxa"/>
          </w:tcPr>
          <w:p>
            <w:pPr>
              <w:pStyle w:val="TableParagraph"/>
              <w:spacing w:before="112"/>
              <w:ind w:left="55"/>
              <w:rPr>
                <w:rFonts w:ascii="Calibri" w:hAnsi="Calibri"/>
                <w:sz w:val="21"/>
              </w:rPr>
            </w:pPr>
            <w:r>
              <w:rPr>
                <w:rFonts w:ascii="Calibri" w:hAnsi="Calibri"/>
                <w:w w:val="105"/>
                <w:sz w:val="21"/>
              </w:rPr>
              <w:t>Lower Mickletown Road Flood Embankment”</w:t>
            </w:r>
          </w:p>
        </w:tc>
        <w:tc>
          <w:tcPr>
            <w:tcW w:w="2030" w:type="dxa"/>
          </w:tcPr>
          <w:p>
            <w:pPr>
              <w:pStyle w:val="TableParagraph"/>
              <w:spacing w:before="112"/>
              <w:ind w:left="154"/>
              <w:rPr>
                <w:rFonts w:ascii="Calibri"/>
                <w:sz w:val="21"/>
              </w:rPr>
            </w:pPr>
            <w:r>
              <w:rPr>
                <w:rFonts w:ascii="Calibri"/>
                <w:w w:val="105"/>
                <w:sz w:val="21"/>
              </w:rPr>
              <w:t>Mickletown</w:t>
            </w:r>
          </w:p>
        </w:tc>
        <w:tc>
          <w:tcPr>
            <w:tcW w:w="1858" w:type="dxa"/>
          </w:tcPr>
          <w:p>
            <w:pPr>
              <w:pStyle w:val="TableParagraph"/>
              <w:spacing w:line="276" w:lineRule="exact" w:before="93"/>
              <w:ind w:left="129"/>
              <w:rPr>
                <w:rFonts w:ascii="Calibri"/>
                <w:sz w:val="23"/>
              </w:rPr>
            </w:pPr>
            <w:r>
              <w:rPr>
                <w:rFonts w:ascii="Calibri"/>
                <w:sz w:val="23"/>
              </w:rPr>
              <w:t>Design/</w:t>
            </w:r>
          </w:p>
        </w:tc>
        <w:tc>
          <w:tcPr>
            <w:tcW w:w="779" w:type="dxa"/>
          </w:tcPr>
          <w:p>
            <w:pPr>
              <w:pStyle w:val="TableParagraph"/>
              <w:spacing w:before="112"/>
              <w:ind w:left="284"/>
              <w:rPr>
                <w:rFonts w:ascii="Calibri"/>
                <w:sz w:val="21"/>
              </w:rPr>
            </w:pPr>
            <w:r>
              <w:rPr>
                <w:rFonts w:ascii="Calibri"/>
                <w:sz w:val="21"/>
              </w:rPr>
              <w:t>2021</w:t>
            </w:r>
          </w:p>
        </w:tc>
      </w:tr>
      <w:tr>
        <w:trPr>
          <w:trHeight w:val="388" w:hRule="atLeast"/>
        </w:trPr>
        <w:tc>
          <w:tcPr>
            <w:tcW w:w="4480" w:type="dxa"/>
          </w:tcPr>
          <w:p>
            <w:pPr>
              <w:pStyle w:val="TableParagraph"/>
              <w:rPr>
                <w:rFonts w:ascii="Times New Roman"/>
                <w:sz w:val="22"/>
              </w:rPr>
            </w:pPr>
          </w:p>
        </w:tc>
        <w:tc>
          <w:tcPr>
            <w:tcW w:w="2030" w:type="dxa"/>
          </w:tcPr>
          <w:p>
            <w:pPr>
              <w:pStyle w:val="TableParagraph"/>
              <w:rPr>
                <w:rFonts w:ascii="Times New Roman"/>
                <w:sz w:val="22"/>
              </w:rPr>
            </w:pPr>
          </w:p>
        </w:tc>
        <w:tc>
          <w:tcPr>
            <w:tcW w:w="1858" w:type="dxa"/>
          </w:tcPr>
          <w:p>
            <w:pPr>
              <w:pStyle w:val="TableParagraph"/>
              <w:spacing w:line="254" w:lineRule="exact"/>
              <w:ind w:left="127"/>
              <w:rPr>
                <w:rFonts w:ascii="Calibri"/>
                <w:sz w:val="23"/>
              </w:rPr>
            </w:pPr>
            <w:r>
              <w:rPr>
                <w:rFonts w:ascii="Calibri"/>
                <w:sz w:val="23"/>
              </w:rPr>
              <w:t>Construction</w:t>
            </w:r>
          </w:p>
        </w:tc>
        <w:tc>
          <w:tcPr>
            <w:tcW w:w="779" w:type="dxa"/>
          </w:tcPr>
          <w:p>
            <w:pPr>
              <w:pStyle w:val="TableParagraph"/>
              <w:rPr>
                <w:rFonts w:ascii="Times New Roman"/>
                <w:sz w:val="22"/>
              </w:rPr>
            </w:pPr>
          </w:p>
        </w:tc>
      </w:tr>
      <w:tr>
        <w:trPr>
          <w:trHeight w:val="513" w:hRule="atLeast"/>
        </w:trPr>
        <w:tc>
          <w:tcPr>
            <w:tcW w:w="4480" w:type="dxa"/>
          </w:tcPr>
          <w:p>
            <w:pPr>
              <w:pStyle w:val="TableParagraph"/>
              <w:spacing w:before="93"/>
              <w:ind w:left="52"/>
              <w:rPr>
                <w:rFonts w:ascii="Calibri" w:hAnsi="Calibri"/>
                <w:sz w:val="23"/>
              </w:rPr>
            </w:pPr>
            <w:r>
              <w:rPr>
                <w:rFonts w:ascii="Calibri" w:hAnsi="Calibri"/>
                <w:sz w:val="23"/>
              </w:rPr>
              <w:t>Otley FAS”</w:t>
            </w:r>
          </w:p>
        </w:tc>
        <w:tc>
          <w:tcPr>
            <w:tcW w:w="2030" w:type="dxa"/>
          </w:tcPr>
          <w:p>
            <w:pPr>
              <w:pStyle w:val="TableParagraph"/>
              <w:spacing w:before="112"/>
              <w:ind w:left="152"/>
              <w:rPr>
                <w:rFonts w:ascii="Calibri"/>
                <w:sz w:val="21"/>
              </w:rPr>
            </w:pPr>
            <w:r>
              <w:rPr>
                <w:rFonts w:ascii="Calibri"/>
                <w:w w:val="105"/>
                <w:sz w:val="21"/>
              </w:rPr>
              <w:t>Otley</w:t>
            </w:r>
          </w:p>
        </w:tc>
        <w:tc>
          <w:tcPr>
            <w:tcW w:w="1858" w:type="dxa"/>
          </w:tcPr>
          <w:p>
            <w:pPr>
              <w:pStyle w:val="TableParagraph"/>
              <w:spacing w:before="112"/>
              <w:ind w:left="130"/>
              <w:rPr>
                <w:rFonts w:ascii="Calibri"/>
                <w:sz w:val="21"/>
              </w:rPr>
            </w:pPr>
            <w:r>
              <w:rPr>
                <w:rFonts w:ascii="Calibri"/>
                <w:sz w:val="21"/>
              </w:rPr>
              <w:t>Feasibility</w:t>
            </w:r>
          </w:p>
        </w:tc>
        <w:tc>
          <w:tcPr>
            <w:tcW w:w="779" w:type="dxa"/>
          </w:tcPr>
          <w:p>
            <w:pPr>
              <w:pStyle w:val="TableParagraph"/>
              <w:spacing w:before="112"/>
              <w:ind w:left="284"/>
              <w:rPr>
                <w:rFonts w:ascii="Calibri"/>
                <w:sz w:val="21"/>
              </w:rPr>
            </w:pPr>
            <w:r>
              <w:rPr>
                <w:rFonts w:ascii="Calibri"/>
                <w:sz w:val="21"/>
              </w:rPr>
              <w:t>2021</w:t>
            </w:r>
          </w:p>
        </w:tc>
      </w:tr>
      <w:tr>
        <w:trPr>
          <w:trHeight w:val="397" w:hRule="atLeast"/>
        </w:trPr>
        <w:tc>
          <w:tcPr>
            <w:tcW w:w="4480" w:type="dxa"/>
          </w:tcPr>
          <w:p>
            <w:pPr>
              <w:pStyle w:val="TableParagraph"/>
              <w:spacing w:before="107"/>
              <w:ind w:left="54"/>
              <w:rPr>
                <w:rFonts w:ascii="Calibri"/>
                <w:sz w:val="22"/>
              </w:rPr>
            </w:pPr>
            <w:r>
              <w:rPr>
                <w:rFonts w:ascii="Calibri"/>
                <w:sz w:val="22"/>
              </w:rPr>
              <w:t>Barnsdale Road Property Level Protection</w:t>
            </w:r>
          </w:p>
        </w:tc>
        <w:tc>
          <w:tcPr>
            <w:tcW w:w="2030" w:type="dxa"/>
          </w:tcPr>
          <w:p>
            <w:pPr>
              <w:pStyle w:val="TableParagraph"/>
              <w:spacing w:before="107"/>
              <w:ind w:left="149"/>
              <w:rPr>
                <w:rFonts w:ascii="Calibri"/>
                <w:sz w:val="22"/>
              </w:rPr>
            </w:pPr>
            <w:r>
              <w:rPr>
                <w:rFonts w:ascii="Calibri"/>
                <w:sz w:val="22"/>
              </w:rPr>
              <w:t>Allerton Bywater</w:t>
            </w:r>
          </w:p>
        </w:tc>
        <w:tc>
          <w:tcPr>
            <w:tcW w:w="1858" w:type="dxa"/>
          </w:tcPr>
          <w:p>
            <w:pPr>
              <w:pStyle w:val="TableParagraph"/>
              <w:spacing w:line="280" w:lineRule="exact" w:before="97"/>
              <w:ind w:left="129"/>
              <w:rPr>
                <w:rFonts w:ascii="Calibri"/>
                <w:sz w:val="23"/>
              </w:rPr>
            </w:pPr>
            <w:r>
              <w:rPr>
                <w:rFonts w:ascii="Calibri"/>
                <w:sz w:val="23"/>
              </w:rPr>
              <w:t>Design (on hold)</w:t>
            </w:r>
          </w:p>
        </w:tc>
        <w:tc>
          <w:tcPr>
            <w:tcW w:w="779" w:type="dxa"/>
          </w:tcPr>
          <w:p>
            <w:pPr>
              <w:pStyle w:val="TableParagraph"/>
              <w:spacing w:line="280" w:lineRule="exact" w:before="97"/>
              <w:ind w:left="285"/>
              <w:rPr>
                <w:rFonts w:ascii="Calibri"/>
                <w:sz w:val="23"/>
              </w:rPr>
            </w:pPr>
            <w:r>
              <w:rPr>
                <w:rFonts w:ascii="Calibri"/>
                <w:sz w:val="23"/>
              </w:rPr>
              <w:t>TBC</w:t>
            </w:r>
          </w:p>
        </w:tc>
      </w:tr>
      <w:tr>
        <w:trPr>
          <w:trHeight w:val="387" w:hRule="atLeast"/>
        </w:trPr>
        <w:tc>
          <w:tcPr>
            <w:tcW w:w="4480" w:type="dxa"/>
          </w:tcPr>
          <w:p>
            <w:pPr>
              <w:pStyle w:val="TableParagraph"/>
              <w:spacing w:line="247" w:lineRule="exact"/>
              <w:ind w:left="56"/>
              <w:rPr>
                <w:rFonts w:ascii="Calibri" w:hAnsi="Calibri"/>
                <w:sz w:val="22"/>
              </w:rPr>
            </w:pPr>
            <w:r>
              <w:rPr>
                <w:rFonts w:ascii="Calibri" w:hAnsi="Calibri"/>
                <w:sz w:val="22"/>
              </w:rPr>
              <w:t>Scheme”</w:t>
            </w:r>
          </w:p>
        </w:tc>
        <w:tc>
          <w:tcPr>
            <w:tcW w:w="2030" w:type="dxa"/>
          </w:tcPr>
          <w:p>
            <w:pPr>
              <w:pStyle w:val="TableParagraph"/>
              <w:rPr>
                <w:rFonts w:ascii="Times New Roman"/>
                <w:sz w:val="22"/>
              </w:rPr>
            </w:pPr>
          </w:p>
        </w:tc>
        <w:tc>
          <w:tcPr>
            <w:tcW w:w="1858" w:type="dxa"/>
          </w:tcPr>
          <w:p>
            <w:pPr>
              <w:pStyle w:val="TableParagraph"/>
              <w:rPr>
                <w:rFonts w:ascii="Times New Roman"/>
                <w:sz w:val="22"/>
              </w:rPr>
            </w:pPr>
          </w:p>
        </w:tc>
        <w:tc>
          <w:tcPr>
            <w:tcW w:w="779" w:type="dxa"/>
          </w:tcPr>
          <w:p>
            <w:pPr>
              <w:pStyle w:val="TableParagraph"/>
              <w:rPr>
                <w:rFonts w:ascii="Times New Roman"/>
                <w:sz w:val="22"/>
              </w:rPr>
            </w:pPr>
          </w:p>
        </w:tc>
      </w:tr>
      <w:tr>
        <w:trPr>
          <w:trHeight w:val="388" w:hRule="atLeast"/>
        </w:trPr>
        <w:tc>
          <w:tcPr>
            <w:tcW w:w="4480" w:type="dxa"/>
          </w:tcPr>
          <w:p>
            <w:pPr>
              <w:pStyle w:val="TableParagraph"/>
              <w:spacing w:before="100"/>
              <w:ind w:left="54"/>
              <w:rPr>
                <w:rFonts w:ascii="Calibri"/>
                <w:sz w:val="22"/>
              </w:rPr>
            </w:pPr>
            <w:r>
              <w:rPr>
                <w:rFonts w:ascii="Calibri"/>
                <w:sz w:val="22"/>
              </w:rPr>
              <w:t>Potternewton Surface Water FAST</w:t>
            </w:r>
          </w:p>
        </w:tc>
        <w:tc>
          <w:tcPr>
            <w:tcW w:w="2030" w:type="dxa"/>
          </w:tcPr>
          <w:p>
            <w:pPr>
              <w:pStyle w:val="TableParagraph"/>
              <w:spacing w:before="109"/>
              <w:ind w:left="154"/>
              <w:rPr>
                <w:rFonts w:ascii="Calibri"/>
                <w:sz w:val="21"/>
              </w:rPr>
            </w:pPr>
            <w:r>
              <w:rPr>
                <w:rFonts w:ascii="Calibri"/>
                <w:w w:val="105"/>
                <w:sz w:val="21"/>
              </w:rPr>
              <w:t>Potternewton</w:t>
            </w:r>
          </w:p>
        </w:tc>
        <w:tc>
          <w:tcPr>
            <w:tcW w:w="1858" w:type="dxa"/>
          </w:tcPr>
          <w:p>
            <w:pPr>
              <w:pStyle w:val="TableParagraph"/>
              <w:spacing w:before="100"/>
              <w:ind w:left="129"/>
              <w:rPr>
                <w:rFonts w:ascii="Calibri"/>
                <w:sz w:val="22"/>
              </w:rPr>
            </w:pPr>
            <w:r>
              <w:rPr>
                <w:rFonts w:ascii="Calibri"/>
                <w:sz w:val="22"/>
              </w:rPr>
              <w:t>Pre Outline</w:t>
            </w:r>
          </w:p>
        </w:tc>
        <w:tc>
          <w:tcPr>
            <w:tcW w:w="779" w:type="dxa"/>
          </w:tcPr>
          <w:p>
            <w:pPr>
              <w:pStyle w:val="TableParagraph"/>
              <w:spacing w:before="109"/>
              <w:ind w:left="284"/>
              <w:rPr>
                <w:rFonts w:ascii="Calibri"/>
                <w:sz w:val="21"/>
              </w:rPr>
            </w:pPr>
            <w:r>
              <w:rPr>
                <w:rFonts w:ascii="Calibri"/>
                <w:sz w:val="21"/>
              </w:rPr>
              <w:t>2021</w:t>
            </w:r>
          </w:p>
        </w:tc>
      </w:tr>
      <w:tr>
        <w:trPr>
          <w:trHeight w:val="393" w:hRule="atLeast"/>
        </w:trPr>
        <w:tc>
          <w:tcPr>
            <w:tcW w:w="4480" w:type="dxa"/>
          </w:tcPr>
          <w:p>
            <w:pPr>
              <w:pStyle w:val="TableParagraph"/>
              <w:rPr>
                <w:rFonts w:ascii="Times New Roman"/>
                <w:sz w:val="22"/>
              </w:rPr>
            </w:pPr>
          </w:p>
        </w:tc>
        <w:tc>
          <w:tcPr>
            <w:tcW w:w="2030" w:type="dxa"/>
          </w:tcPr>
          <w:p>
            <w:pPr>
              <w:pStyle w:val="TableParagraph"/>
              <w:rPr>
                <w:rFonts w:ascii="Times New Roman"/>
                <w:sz w:val="22"/>
              </w:rPr>
            </w:pPr>
          </w:p>
        </w:tc>
        <w:tc>
          <w:tcPr>
            <w:tcW w:w="1858" w:type="dxa"/>
          </w:tcPr>
          <w:p>
            <w:pPr>
              <w:pStyle w:val="TableParagraph"/>
              <w:spacing w:line="248" w:lineRule="exact"/>
              <w:ind w:left="129"/>
              <w:rPr>
                <w:rFonts w:ascii="Calibri"/>
                <w:sz w:val="22"/>
              </w:rPr>
            </w:pPr>
            <w:r>
              <w:rPr>
                <w:rFonts w:ascii="Calibri"/>
                <w:sz w:val="22"/>
              </w:rPr>
              <w:t>Business Case</w:t>
            </w:r>
          </w:p>
        </w:tc>
        <w:tc>
          <w:tcPr>
            <w:tcW w:w="779" w:type="dxa"/>
          </w:tcPr>
          <w:p>
            <w:pPr>
              <w:pStyle w:val="TableParagraph"/>
              <w:rPr>
                <w:rFonts w:ascii="Times New Roman"/>
                <w:sz w:val="22"/>
              </w:rPr>
            </w:pPr>
          </w:p>
        </w:tc>
      </w:tr>
      <w:tr>
        <w:trPr>
          <w:trHeight w:val="393" w:hRule="atLeast"/>
        </w:trPr>
        <w:tc>
          <w:tcPr>
            <w:tcW w:w="4480" w:type="dxa"/>
          </w:tcPr>
          <w:p>
            <w:pPr>
              <w:pStyle w:val="TableParagraph"/>
              <w:spacing w:before="104"/>
              <w:ind w:left="52"/>
              <w:rPr>
                <w:rFonts w:ascii="Calibri"/>
                <w:sz w:val="22"/>
              </w:rPr>
            </w:pPr>
            <w:r>
              <w:rPr>
                <w:rFonts w:ascii="Calibri"/>
                <w:sz w:val="22"/>
              </w:rPr>
              <w:t>Thorner Beck FAST</w:t>
            </w:r>
          </w:p>
        </w:tc>
        <w:tc>
          <w:tcPr>
            <w:tcW w:w="2030" w:type="dxa"/>
          </w:tcPr>
          <w:p>
            <w:pPr>
              <w:pStyle w:val="TableParagraph"/>
              <w:spacing w:before="121"/>
              <w:ind w:left="144"/>
              <w:rPr>
                <w:rFonts w:ascii="Consolas"/>
                <w:sz w:val="21"/>
              </w:rPr>
            </w:pPr>
            <w:r>
              <w:rPr>
                <w:rFonts w:ascii="Consolas"/>
                <w:sz w:val="21"/>
              </w:rPr>
              <w:t>Thorner</w:t>
            </w:r>
          </w:p>
        </w:tc>
        <w:tc>
          <w:tcPr>
            <w:tcW w:w="1858" w:type="dxa"/>
          </w:tcPr>
          <w:p>
            <w:pPr>
              <w:pStyle w:val="TableParagraph"/>
              <w:spacing w:before="104"/>
              <w:ind w:left="129"/>
              <w:rPr>
                <w:rFonts w:ascii="Calibri"/>
                <w:sz w:val="22"/>
              </w:rPr>
            </w:pPr>
            <w:r>
              <w:rPr>
                <w:rFonts w:ascii="Calibri"/>
                <w:sz w:val="22"/>
              </w:rPr>
              <w:t>Pre Outline</w:t>
            </w:r>
          </w:p>
        </w:tc>
        <w:tc>
          <w:tcPr>
            <w:tcW w:w="779" w:type="dxa"/>
          </w:tcPr>
          <w:p>
            <w:pPr>
              <w:pStyle w:val="TableParagraph"/>
              <w:spacing w:before="114"/>
              <w:ind w:left="284"/>
              <w:rPr>
                <w:rFonts w:ascii="Calibri"/>
                <w:sz w:val="21"/>
              </w:rPr>
            </w:pPr>
            <w:r>
              <w:rPr>
                <w:rFonts w:ascii="Calibri"/>
                <w:w w:val="105"/>
                <w:sz w:val="21"/>
              </w:rPr>
              <w:t>2022</w:t>
            </w:r>
          </w:p>
        </w:tc>
      </w:tr>
      <w:tr>
        <w:trPr>
          <w:trHeight w:val="385" w:hRule="atLeast"/>
        </w:trPr>
        <w:tc>
          <w:tcPr>
            <w:tcW w:w="4480" w:type="dxa"/>
          </w:tcPr>
          <w:p>
            <w:pPr>
              <w:pStyle w:val="TableParagraph"/>
              <w:rPr>
                <w:rFonts w:ascii="Times New Roman"/>
                <w:sz w:val="22"/>
              </w:rPr>
            </w:pPr>
          </w:p>
        </w:tc>
        <w:tc>
          <w:tcPr>
            <w:tcW w:w="2030" w:type="dxa"/>
          </w:tcPr>
          <w:p>
            <w:pPr>
              <w:pStyle w:val="TableParagraph"/>
              <w:rPr>
                <w:rFonts w:ascii="Times New Roman"/>
                <w:sz w:val="22"/>
              </w:rPr>
            </w:pPr>
          </w:p>
        </w:tc>
        <w:tc>
          <w:tcPr>
            <w:tcW w:w="1858" w:type="dxa"/>
          </w:tcPr>
          <w:p>
            <w:pPr>
              <w:pStyle w:val="TableParagraph"/>
              <w:spacing w:line="248" w:lineRule="exact"/>
              <w:ind w:left="129"/>
              <w:rPr>
                <w:rFonts w:ascii="Calibri"/>
                <w:sz w:val="22"/>
              </w:rPr>
            </w:pPr>
            <w:r>
              <w:rPr>
                <w:rFonts w:ascii="Calibri"/>
                <w:sz w:val="22"/>
              </w:rPr>
              <w:t>Business Case</w:t>
            </w:r>
          </w:p>
        </w:tc>
        <w:tc>
          <w:tcPr>
            <w:tcW w:w="779" w:type="dxa"/>
          </w:tcPr>
          <w:p>
            <w:pPr>
              <w:pStyle w:val="TableParagraph"/>
              <w:rPr>
                <w:rFonts w:ascii="Times New Roman"/>
                <w:sz w:val="22"/>
              </w:rPr>
            </w:pPr>
          </w:p>
        </w:tc>
      </w:tr>
      <w:tr>
        <w:trPr>
          <w:trHeight w:val="393" w:hRule="atLeast"/>
        </w:trPr>
        <w:tc>
          <w:tcPr>
            <w:tcW w:w="4480" w:type="dxa"/>
          </w:tcPr>
          <w:p>
            <w:pPr>
              <w:pStyle w:val="TableParagraph"/>
              <w:spacing w:before="103"/>
              <w:ind w:left="60"/>
              <w:rPr>
                <w:rFonts w:ascii="Calibri"/>
                <w:sz w:val="22"/>
              </w:rPr>
            </w:pPr>
            <w:r>
              <w:rPr>
                <w:rFonts w:ascii="Calibri"/>
                <w:sz w:val="22"/>
              </w:rPr>
              <w:t>Victoria Road Surface Water FAST</w:t>
            </w:r>
          </w:p>
        </w:tc>
        <w:tc>
          <w:tcPr>
            <w:tcW w:w="2030" w:type="dxa"/>
          </w:tcPr>
          <w:p>
            <w:pPr>
              <w:pStyle w:val="TableParagraph"/>
              <w:spacing w:line="280" w:lineRule="exact" w:before="94"/>
              <w:ind w:left="152"/>
              <w:rPr>
                <w:rFonts w:ascii="Calibri"/>
                <w:sz w:val="23"/>
              </w:rPr>
            </w:pPr>
            <w:r>
              <w:rPr>
                <w:rFonts w:ascii="Calibri"/>
                <w:sz w:val="23"/>
              </w:rPr>
              <w:t>Guiseley</w:t>
            </w:r>
          </w:p>
        </w:tc>
        <w:tc>
          <w:tcPr>
            <w:tcW w:w="1858" w:type="dxa"/>
          </w:tcPr>
          <w:p>
            <w:pPr>
              <w:pStyle w:val="TableParagraph"/>
              <w:spacing w:before="103"/>
              <w:ind w:left="129"/>
              <w:rPr>
                <w:rFonts w:ascii="Calibri"/>
                <w:sz w:val="22"/>
              </w:rPr>
            </w:pPr>
            <w:r>
              <w:rPr>
                <w:rFonts w:ascii="Calibri"/>
                <w:sz w:val="22"/>
              </w:rPr>
              <w:t>Pre Outline</w:t>
            </w:r>
          </w:p>
        </w:tc>
        <w:tc>
          <w:tcPr>
            <w:tcW w:w="779" w:type="dxa"/>
          </w:tcPr>
          <w:p>
            <w:pPr>
              <w:pStyle w:val="TableParagraph"/>
              <w:spacing w:before="113"/>
              <w:ind w:left="284"/>
              <w:rPr>
                <w:rFonts w:ascii="Calibri"/>
                <w:sz w:val="21"/>
              </w:rPr>
            </w:pPr>
            <w:r>
              <w:rPr>
                <w:rFonts w:ascii="Calibri"/>
                <w:w w:val="105"/>
                <w:sz w:val="21"/>
              </w:rPr>
              <w:t>2022</w:t>
            </w:r>
          </w:p>
        </w:tc>
      </w:tr>
      <w:tr>
        <w:trPr>
          <w:trHeight w:val="383" w:hRule="atLeast"/>
        </w:trPr>
        <w:tc>
          <w:tcPr>
            <w:tcW w:w="4480" w:type="dxa"/>
          </w:tcPr>
          <w:p>
            <w:pPr>
              <w:pStyle w:val="TableParagraph"/>
              <w:rPr>
                <w:rFonts w:ascii="Times New Roman"/>
                <w:sz w:val="22"/>
              </w:rPr>
            </w:pPr>
          </w:p>
        </w:tc>
        <w:tc>
          <w:tcPr>
            <w:tcW w:w="2030" w:type="dxa"/>
          </w:tcPr>
          <w:p>
            <w:pPr>
              <w:pStyle w:val="TableParagraph"/>
              <w:rPr>
                <w:rFonts w:ascii="Times New Roman"/>
                <w:sz w:val="22"/>
              </w:rPr>
            </w:pPr>
          </w:p>
        </w:tc>
        <w:tc>
          <w:tcPr>
            <w:tcW w:w="1858" w:type="dxa"/>
          </w:tcPr>
          <w:p>
            <w:pPr>
              <w:pStyle w:val="TableParagraph"/>
              <w:spacing w:line="247" w:lineRule="exact"/>
              <w:ind w:left="129"/>
              <w:rPr>
                <w:rFonts w:ascii="Calibri"/>
                <w:sz w:val="22"/>
              </w:rPr>
            </w:pPr>
            <w:r>
              <w:rPr>
                <w:rFonts w:ascii="Calibri"/>
                <w:sz w:val="22"/>
              </w:rPr>
              <w:t>Business Case</w:t>
            </w:r>
          </w:p>
        </w:tc>
        <w:tc>
          <w:tcPr>
            <w:tcW w:w="779" w:type="dxa"/>
          </w:tcPr>
          <w:p>
            <w:pPr>
              <w:pStyle w:val="TableParagraph"/>
              <w:rPr>
                <w:rFonts w:ascii="Times New Roman"/>
                <w:sz w:val="22"/>
              </w:rPr>
            </w:pPr>
          </w:p>
        </w:tc>
      </w:tr>
      <w:tr>
        <w:trPr>
          <w:trHeight w:val="658" w:hRule="atLeast"/>
        </w:trPr>
        <w:tc>
          <w:tcPr>
            <w:tcW w:w="4480" w:type="dxa"/>
          </w:tcPr>
          <w:p>
            <w:pPr>
              <w:pStyle w:val="TableParagraph"/>
              <w:spacing w:line="220" w:lineRule="auto" w:before="121"/>
              <w:ind w:left="58" w:right="139" w:hanging="3"/>
              <w:rPr>
                <w:rFonts w:ascii="Calibri"/>
                <w:sz w:val="23"/>
              </w:rPr>
            </w:pPr>
            <w:r>
              <w:rPr>
                <w:rFonts w:ascii="Calibri"/>
                <w:w w:val="95"/>
                <w:sz w:val="23"/>
              </w:rPr>
              <w:t>Sheepscar: evaluate the condition of formal and </w:t>
            </w:r>
            <w:r>
              <w:rPr>
                <w:rFonts w:ascii="Calibri"/>
                <w:sz w:val="23"/>
              </w:rPr>
              <w:t>informal flood defences along the Sheepscar</w:t>
            </w:r>
          </w:p>
        </w:tc>
        <w:tc>
          <w:tcPr>
            <w:tcW w:w="2030" w:type="dxa"/>
          </w:tcPr>
          <w:p>
            <w:pPr>
              <w:pStyle w:val="TableParagraph"/>
              <w:spacing w:before="94"/>
              <w:ind w:left="154"/>
              <w:rPr>
                <w:rFonts w:ascii="Calibri"/>
                <w:sz w:val="23"/>
              </w:rPr>
            </w:pPr>
            <w:r>
              <w:rPr>
                <w:rFonts w:ascii="Calibri"/>
                <w:sz w:val="23"/>
              </w:rPr>
              <w:t>Sheepscar</w:t>
            </w:r>
          </w:p>
        </w:tc>
        <w:tc>
          <w:tcPr>
            <w:tcW w:w="1858" w:type="dxa"/>
          </w:tcPr>
          <w:p>
            <w:pPr>
              <w:pStyle w:val="TableParagraph"/>
              <w:spacing w:before="101"/>
              <w:ind w:left="119"/>
              <w:rPr>
                <w:rFonts w:ascii="Consolas"/>
                <w:sz w:val="23"/>
              </w:rPr>
            </w:pPr>
            <w:r>
              <w:rPr>
                <w:rFonts w:ascii="Consolas"/>
                <w:sz w:val="23"/>
              </w:rPr>
              <w:t>TBC</w:t>
            </w:r>
          </w:p>
        </w:tc>
        <w:tc>
          <w:tcPr>
            <w:tcW w:w="779" w:type="dxa"/>
          </w:tcPr>
          <w:p>
            <w:pPr>
              <w:pStyle w:val="TableParagraph"/>
              <w:spacing w:before="113"/>
              <w:ind w:left="284"/>
              <w:rPr>
                <w:rFonts w:ascii="Calibri"/>
                <w:sz w:val="21"/>
              </w:rPr>
            </w:pPr>
            <w:r>
              <w:rPr>
                <w:rFonts w:ascii="Calibri"/>
                <w:w w:val="105"/>
                <w:sz w:val="21"/>
              </w:rPr>
              <w:t>2020</w:t>
            </w:r>
          </w:p>
        </w:tc>
      </w:tr>
      <w:tr>
        <w:trPr>
          <w:trHeight w:val="268" w:hRule="atLeast"/>
        </w:trPr>
        <w:tc>
          <w:tcPr>
            <w:tcW w:w="4480" w:type="dxa"/>
          </w:tcPr>
          <w:p>
            <w:pPr>
              <w:pStyle w:val="TableParagraph"/>
              <w:spacing w:line="249" w:lineRule="exact"/>
              <w:ind w:left="54"/>
              <w:rPr>
                <w:rFonts w:ascii="Calibri"/>
                <w:sz w:val="23"/>
              </w:rPr>
            </w:pPr>
            <w:r>
              <w:rPr>
                <w:rFonts w:ascii="Calibri"/>
                <w:sz w:val="23"/>
              </w:rPr>
              <w:t>Beck which were recently breached to identify</w:t>
            </w:r>
          </w:p>
        </w:tc>
        <w:tc>
          <w:tcPr>
            <w:tcW w:w="2030" w:type="dxa"/>
          </w:tcPr>
          <w:p>
            <w:pPr>
              <w:pStyle w:val="TableParagraph"/>
              <w:rPr>
                <w:rFonts w:ascii="Times New Roman"/>
                <w:sz w:val="18"/>
              </w:rPr>
            </w:pPr>
          </w:p>
        </w:tc>
        <w:tc>
          <w:tcPr>
            <w:tcW w:w="1858" w:type="dxa"/>
          </w:tcPr>
          <w:p>
            <w:pPr>
              <w:pStyle w:val="TableParagraph"/>
              <w:rPr>
                <w:rFonts w:ascii="Times New Roman"/>
                <w:sz w:val="18"/>
              </w:rPr>
            </w:pPr>
          </w:p>
        </w:tc>
        <w:tc>
          <w:tcPr>
            <w:tcW w:w="779" w:type="dxa"/>
          </w:tcPr>
          <w:p>
            <w:pPr>
              <w:pStyle w:val="TableParagraph"/>
              <w:rPr>
                <w:rFonts w:ascii="Times New Roman"/>
                <w:sz w:val="18"/>
              </w:rPr>
            </w:pPr>
          </w:p>
        </w:tc>
      </w:tr>
      <w:tr>
        <w:trPr>
          <w:trHeight w:val="393" w:hRule="atLeast"/>
        </w:trPr>
        <w:tc>
          <w:tcPr>
            <w:tcW w:w="4480" w:type="dxa"/>
          </w:tcPr>
          <w:p>
            <w:pPr>
              <w:pStyle w:val="TableParagraph"/>
              <w:spacing w:line="254" w:lineRule="exact"/>
              <w:ind w:left="56"/>
              <w:rPr>
                <w:rFonts w:ascii="Calibri"/>
                <w:sz w:val="23"/>
              </w:rPr>
            </w:pPr>
            <w:r>
              <w:rPr>
                <w:rFonts w:ascii="Calibri"/>
                <w:sz w:val="23"/>
              </w:rPr>
              <w:t>potential remedial works required./</w:t>
            </w:r>
          </w:p>
        </w:tc>
        <w:tc>
          <w:tcPr>
            <w:tcW w:w="2030" w:type="dxa"/>
          </w:tcPr>
          <w:p>
            <w:pPr>
              <w:pStyle w:val="TableParagraph"/>
              <w:rPr>
                <w:rFonts w:ascii="Times New Roman"/>
                <w:sz w:val="22"/>
              </w:rPr>
            </w:pPr>
          </w:p>
        </w:tc>
        <w:tc>
          <w:tcPr>
            <w:tcW w:w="1858" w:type="dxa"/>
          </w:tcPr>
          <w:p>
            <w:pPr>
              <w:pStyle w:val="TableParagraph"/>
              <w:rPr>
                <w:rFonts w:ascii="Times New Roman"/>
                <w:sz w:val="22"/>
              </w:rPr>
            </w:pPr>
          </w:p>
        </w:tc>
        <w:tc>
          <w:tcPr>
            <w:tcW w:w="779" w:type="dxa"/>
          </w:tcPr>
          <w:p>
            <w:pPr>
              <w:pStyle w:val="TableParagraph"/>
              <w:rPr>
                <w:rFonts w:ascii="Times New Roman"/>
                <w:sz w:val="22"/>
              </w:rPr>
            </w:pPr>
          </w:p>
        </w:tc>
      </w:tr>
      <w:tr>
        <w:trPr>
          <w:trHeight w:val="394" w:hRule="atLeast"/>
        </w:trPr>
        <w:tc>
          <w:tcPr>
            <w:tcW w:w="4480" w:type="dxa"/>
          </w:tcPr>
          <w:p>
            <w:pPr>
              <w:pStyle w:val="TableParagraph"/>
              <w:spacing w:line="277" w:lineRule="exact" w:before="97"/>
              <w:ind w:left="54"/>
              <w:rPr>
                <w:rFonts w:ascii="Calibri"/>
                <w:sz w:val="23"/>
              </w:rPr>
            </w:pPr>
            <w:r>
              <w:rPr>
                <w:rFonts w:ascii="Calibri"/>
                <w:sz w:val="23"/>
              </w:rPr>
              <w:t>Develop and implement feasibility studies for</w:t>
            </w:r>
          </w:p>
        </w:tc>
        <w:tc>
          <w:tcPr>
            <w:tcW w:w="2030" w:type="dxa"/>
          </w:tcPr>
          <w:p>
            <w:pPr>
              <w:pStyle w:val="TableParagraph"/>
              <w:spacing w:line="277" w:lineRule="exact" w:before="97"/>
              <w:ind w:left="152"/>
              <w:rPr>
                <w:rFonts w:ascii="Calibri"/>
                <w:sz w:val="23"/>
              </w:rPr>
            </w:pPr>
            <w:r>
              <w:rPr>
                <w:rFonts w:ascii="Calibri"/>
                <w:sz w:val="23"/>
              </w:rPr>
              <w:t>Meanwood Beck,</w:t>
            </w:r>
          </w:p>
        </w:tc>
        <w:tc>
          <w:tcPr>
            <w:tcW w:w="1858" w:type="dxa"/>
          </w:tcPr>
          <w:p>
            <w:pPr>
              <w:pStyle w:val="TableParagraph"/>
              <w:spacing w:before="105"/>
              <w:ind w:left="119"/>
              <w:rPr>
                <w:rFonts w:ascii="Consolas"/>
                <w:sz w:val="23"/>
              </w:rPr>
            </w:pPr>
            <w:r>
              <w:rPr>
                <w:rFonts w:ascii="Consolas"/>
                <w:sz w:val="23"/>
              </w:rPr>
              <w:t>TBC</w:t>
            </w:r>
          </w:p>
        </w:tc>
        <w:tc>
          <w:tcPr>
            <w:tcW w:w="779" w:type="dxa"/>
          </w:tcPr>
          <w:p>
            <w:pPr>
              <w:pStyle w:val="TableParagraph"/>
              <w:spacing w:before="116"/>
              <w:ind w:left="284"/>
              <w:rPr>
                <w:rFonts w:ascii="Calibri"/>
                <w:sz w:val="21"/>
              </w:rPr>
            </w:pPr>
            <w:r>
              <w:rPr>
                <w:rFonts w:ascii="Calibri"/>
                <w:w w:val="105"/>
                <w:sz w:val="21"/>
              </w:rPr>
              <w:t>2020</w:t>
            </w:r>
          </w:p>
        </w:tc>
      </w:tr>
      <w:tr>
        <w:trPr>
          <w:trHeight w:val="267" w:hRule="atLeast"/>
        </w:trPr>
        <w:tc>
          <w:tcPr>
            <w:tcW w:w="4480" w:type="dxa"/>
          </w:tcPr>
          <w:p>
            <w:pPr>
              <w:pStyle w:val="TableParagraph"/>
              <w:spacing w:line="248" w:lineRule="exact"/>
              <w:ind w:left="50"/>
              <w:rPr>
                <w:rFonts w:ascii="Calibri"/>
                <w:sz w:val="23"/>
              </w:rPr>
            </w:pPr>
            <w:r>
              <w:rPr>
                <w:rFonts w:ascii="Calibri"/>
                <w:sz w:val="23"/>
              </w:rPr>
              <w:t>fluvial</w:t>
            </w:r>
            <w:r>
              <w:rPr>
                <w:rFonts w:ascii="Calibri"/>
                <w:spacing w:val="-27"/>
                <w:sz w:val="23"/>
              </w:rPr>
              <w:t> </w:t>
            </w:r>
            <w:r>
              <w:rPr>
                <w:rFonts w:ascii="Calibri"/>
                <w:sz w:val="23"/>
              </w:rPr>
              <w:t>flood</w:t>
            </w:r>
            <w:r>
              <w:rPr>
                <w:rFonts w:ascii="Calibri"/>
                <w:spacing w:val="-15"/>
                <w:sz w:val="23"/>
              </w:rPr>
              <w:t> </w:t>
            </w:r>
            <w:r>
              <w:rPr>
                <w:rFonts w:ascii="Calibri"/>
                <w:sz w:val="23"/>
              </w:rPr>
              <w:t>mitigation</w:t>
            </w:r>
            <w:r>
              <w:rPr>
                <w:rFonts w:ascii="Calibri"/>
                <w:spacing w:val="-20"/>
                <w:sz w:val="23"/>
              </w:rPr>
              <w:t> </w:t>
            </w:r>
            <w:r>
              <w:rPr>
                <w:rFonts w:ascii="Calibri"/>
                <w:sz w:val="23"/>
              </w:rPr>
              <w:t>to</w:t>
            </w:r>
            <w:r>
              <w:rPr>
                <w:rFonts w:ascii="Calibri"/>
                <w:spacing w:val="-24"/>
                <w:sz w:val="23"/>
              </w:rPr>
              <w:t> </w:t>
            </w:r>
            <w:r>
              <w:rPr>
                <w:rFonts w:ascii="Calibri"/>
                <w:sz w:val="23"/>
              </w:rPr>
              <w:t>improve</w:t>
            </w:r>
            <w:r>
              <w:rPr>
                <w:rFonts w:ascii="Calibri"/>
                <w:spacing w:val="-18"/>
                <w:sz w:val="23"/>
              </w:rPr>
              <w:t> </w:t>
            </w:r>
            <w:r>
              <w:rPr>
                <w:rFonts w:ascii="Calibri"/>
                <w:sz w:val="23"/>
              </w:rPr>
              <w:t>the</w:t>
            </w:r>
            <w:r>
              <w:rPr>
                <w:rFonts w:ascii="Calibri"/>
                <w:spacing w:val="-25"/>
                <w:sz w:val="23"/>
              </w:rPr>
              <w:t> </w:t>
            </w:r>
            <w:r>
              <w:rPr>
                <w:rFonts w:ascii="Calibri"/>
                <w:sz w:val="23"/>
              </w:rPr>
              <w:t>standard</w:t>
            </w:r>
          </w:p>
        </w:tc>
        <w:tc>
          <w:tcPr>
            <w:tcW w:w="2030" w:type="dxa"/>
          </w:tcPr>
          <w:p>
            <w:pPr>
              <w:pStyle w:val="TableParagraph"/>
              <w:spacing w:line="248" w:lineRule="exact"/>
              <w:ind w:left="152"/>
              <w:rPr>
                <w:rFonts w:ascii="Calibri"/>
                <w:sz w:val="23"/>
              </w:rPr>
            </w:pPr>
            <w:r>
              <w:rPr>
                <w:rFonts w:ascii="Calibri"/>
                <w:sz w:val="23"/>
              </w:rPr>
              <w:t>Bagley Beck and</w:t>
            </w:r>
          </w:p>
        </w:tc>
        <w:tc>
          <w:tcPr>
            <w:tcW w:w="1858" w:type="dxa"/>
          </w:tcPr>
          <w:p>
            <w:pPr>
              <w:pStyle w:val="TableParagraph"/>
              <w:rPr>
                <w:rFonts w:ascii="Times New Roman"/>
                <w:sz w:val="18"/>
              </w:rPr>
            </w:pPr>
          </w:p>
        </w:tc>
        <w:tc>
          <w:tcPr>
            <w:tcW w:w="779" w:type="dxa"/>
          </w:tcPr>
          <w:p>
            <w:pPr>
              <w:pStyle w:val="TableParagraph"/>
              <w:rPr>
                <w:rFonts w:ascii="Times New Roman"/>
                <w:sz w:val="18"/>
              </w:rPr>
            </w:pPr>
          </w:p>
        </w:tc>
      </w:tr>
      <w:tr>
        <w:trPr>
          <w:trHeight w:val="268" w:hRule="atLeast"/>
        </w:trPr>
        <w:tc>
          <w:tcPr>
            <w:tcW w:w="4480" w:type="dxa"/>
          </w:tcPr>
          <w:p>
            <w:pPr>
              <w:pStyle w:val="TableParagraph"/>
              <w:spacing w:line="249" w:lineRule="exact"/>
              <w:ind w:left="53"/>
              <w:rPr>
                <w:rFonts w:ascii="Calibri"/>
                <w:sz w:val="23"/>
              </w:rPr>
            </w:pPr>
            <w:r>
              <w:rPr>
                <w:rFonts w:ascii="Calibri"/>
                <w:sz w:val="23"/>
              </w:rPr>
              <w:t>of protection along Meanwood Beck, Bagley</w:t>
            </w:r>
          </w:p>
        </w:tc>
        <w:tc>
          <w:tcPr>
            <w:tcW w:w="2030" w:type="dxa"/>
          </w:tcPr>
          <w:p>
            <w:pPr>
              <w:pStyle w:val="TableParagraph"/>
              <w:spacing w:line="249" w:lineRule="exact"/>
              <w:ind w:left="152"/>
              <w:rPr>
                <w:rFonts w:ascii="Calibri"/>
                <w:sz w:val="23"/>
              </w:rPr>
            </w:pPr>
            <w:r>
              <w:rPr>
                <w:rFonts w:ascii="Calibri"/>
                <w:sz w:val="23"/>
              </w:rPr>
              <w:t>Farnley Wood Beck</w:t>
            </w:r>
          </w:p>
        </w:tc>
        <w:tc>
          <w:tcPr>
            <w:tcW w:w="1858" w:type="dxa"/>
          </w:tcPr>
          <w:p>
            <w:pPr>
              <w:pStyle w:val="TableParagraph"/>
              <w:rPr>
                <w:rFonts w:ascii="Times New Roman"/>
                <w:sz w:val="18"/>
              </w:rPr>
            </w:pPr>
          </w:p>
        </w:tc>
        <w:tc>
          <w:tcPr>
            <w:tcW w:w="779" w:type="dxa"/>
          </w:tcPr>
          <w:p>
            <w:pPr>
              <w:pStyle w:val="TableParagraph"/>
              <w:rPr>
                <w:rFonts w:ascii="Times New Roman"/>
                <w:sz w:val="18"/>
              </w:rPr>
            </w:pPr>
          </w:p>
        </w:tc>
      </w:tr>
      <w:tr>
        <w:trPr>
          <w:trHeight w:val="388" w:hRule="atLeast"/>
        </w:trPr>
        <w:tc>
          <w:tcPr>
            <w:tcW w:w="4480" w:type="dxa"/>
          </w:tcPr>
          <w:p>
            <w:pPr>
              <w:pStyle w:val="TableParagraph"/>
              <w:spacing w:line="254" w:lineRule="exact"/>
              <w:ind w:left="54"/>
              <w:rPr>
                <w:rFonts w:ascii="Calibri"/>
                <w:sz w:val="23"/>
              </w:rPr>
            </w:pPr>
            <w:r>
              <w:rPr>
                <w:rFonts w:ascii="Calibri"/>
                <w:sz w:val="23"/>
              </w:rPr>
              <w:t>Beck and Farnley Wood Beck./</w:t>
            </w:r>
          </w:p>
        </w:tc>
        <w:tc>
          <w:tcPr>
            <w:tcW w:w="2030" w:type="dxa"/>
          </w:tcPr>
          <w:p>
            <w:pPr>
              <w:pStyle w:val="TableParagraph"/>
              <w:rPr>
                <w:rFonts w:ascii="Times New Roman"/>
                <w:sz w:val="22"/>
              </w:rPr>
            </w:pPr>
          </w:p>
        </w:tc>
        <w:tc>
          <w:tcPr>
            <w:tcW w:w="1858" w:type="dxa"/>
          </w:tcPr>
          <w:p>
            <w:pPr>
              <w:pStyle w:val="TableParagraph"/>
              <w:rPr>
                <w:rFonts w:ascii="Times New Roman"/>
                <w:sz w:val="22"/>
              </w:rPr>
            </w:pPr>
          </w:p>
        </w:tc>
        <w:tc>
          <w:tcPr>
            <w:tcW w:w="779" w:type="dxa"/>
          </w:tcPr>
          <w:p>
            <w:pPr>
              <w:pStyle w:val="TableParagraph"/>
              <w:rPr>
                <w:rFonts w:ascii="Times New Roman"/>
                <w:sz w:val="22"/>
              </w:rPr>
            </w:pPr>
          </w:p>
        </w:tc>
      </w:tr>
      <w:tr>
        <w:trPr>
          <w:trHeight w:val="388" w:hRule="atLeast"/>
        </w:trPr>
        <w:tc>
          <w:tcPr>
            <w:tcW w:w="4480" w:type="dxa"/>
          </w:tcPr>
          <w:p>
            <w:pPr>
              <w:pStyle w:val="TableParagraph"/>
              <w:spacing w:line="276" w:lineRule="exact" w:before="93"/>
              <w:ind w:left="54"/>
              <w:rPr>
                <w:rFonts w:ascii="Calibri"/>
                <w:sz w:val="23"/>
              </w:rPr>
            </w:pPr>
            <w:r>
              <w:rPr>
                <w:rFonts w:ascii="Calibri"/>
                <w:sz w:val="23"/>
              </w:rPr>
              <w:t>Improvements to surface water drainage</w:t>
            </w:r>
          </w:p>
        </w:tc>
        <w:tc>
          <w:tcPr>
            <w:tcW w:w="2030" w:type="dxa"/>
          </w:tcPr>
          <w:p>
            <w:pPr>
              <w:pStyle w:val="TableParagraph"/>
              <w:spacing w:line="266" w:lineRule="exact" w:before="102"/>
              <w:ind w:left="152"/>
              <w:rPr>
                <w:rFonts w:ascii="Calibri"/>
                <w:sz w:val="22"/>
              </w:rPr>
            </w:pPr>
            <w:r>
              <w:rPr>
                <w:rFonts w:ascii="Calibri"/>
                <w:sz w:val="22"/>
              </w:rPr>
              <w:t>City wide</w:t>
            </w:r>
          </w:p>
        </w:tc>
        <w:tc>
          <w:tcPr>
            <w:tcW w:w="1858" w:type="dxa"/>
          </w:tcPr>
          <w:p>
            <w:pPr>
              <w:pStyle w:val="TableParagraph"/>
              <w:spacing w:line="276" w:lineRule="exact" w:before="93"/>
              <w:ind w:left="127"/>
              <w:rPr>
                <w:rFonts w:ascii="Calibri"/>
                <w:sz w:val="23"/>
              </w:rPr>
            </w:pPr>
            <w:r>
              <w:rPr>
                <w:rFonts w:ascii="Calibri"/>
                <w:sz w:val="23"/>
              </w:rPr>
              <w:t>Ongoing</w:t>
            </w:r>
          </w:p>
        </w:tc>
        <w:tc>
          <w:tcPr>
            <w:tcW w:w="779" w:type="dxa"/>
          </w:tcPr>
          <w:p>
            <w:pPr>
              <w:pStyle w:val="TableParagraph"/>
              <w:spacing w:line="266" w:lineRule="exact" w:before="102"/>
              <w:ind w:left="287"/>
              <w:rPr>
                <w:rFonts w:ascii="Calibri"/>
                <w:sz w:val="22"/>
              </w:rPr>
            </w:pPr>
            <w:r>
              <w:rPr>
                <w:rFonts w:ascii="Calibri"/>
                <w:sz w:val="22"/>
              </w:rPr>
              <w:t>NA</w:t>
            </w:r>
          </w:p>
        </w:tc>
      </w:tr>
      <w:tr>
        <w:trPr>
          <w:trHeight w:val="393" w:hRule="atLeast"/>
        </w:trPr>
        <w:tc>
          <w:tcPr>
            <w:tcW w:w="4480" w:type="dxa"/>
          </w:tcPr>
          <w:p>
            <w:pPr>
              <w:pStyle w:val="TableParagraph"/>
              <w:spacing w:line="254" w:lineRule="exact"/>
              <w:ind w:left="53"/>
              <w:rPr>
                <w:rFonts w:ascii="Calibri"/>
                <w:sz w:val="23"/>
              </w:rPr>
            </w:pPr>
            <w:r>
              <w:rPr>
                <w:rFonts w:ascii="Calibri"/>
                <w:sz w:val="23"/>
              </w:rPr>
              <w:t>outfaIIs/</w:t>
            </w:r>
          </w:p>
        </w:tc>
        <w:tc>
          <w:tcPr>
            <w:tcW w:w="2030" w:type="dxa"/>
          </w:tcPr>
          <w:p>
            <w:pPr>
              <w:pStyle w:val="TableParagraph"/>
              <w:rPr>
                <w:rFonts w:ascii="Times New Roman"/>
                <w:sz w:val="22"/>
              </w:rPr>
            </w:pPr>
          </w:p>
        </w:tc>
        <w:tc>
          <w:tcPr>
            <w:tcW w:w="1858" w:type="dxa"/>
          </w:tcPr>
          <w:p>
            <w:pPr>
              <w:pStyle w:val="TableParagraph"/>
              <w:rPr>
                <w:rFonts w:ascii="Times New Roman"/>
                <w:sz w:val="22"/>
              </w:rPr>
            </w:pPr>
          </w:p>
        </w:tc>
        <w:tc>
          <w:tcPr>
            <w:tcW w:w="779" w:type="dxa"/>
          </w:tcPr>
          <w:p>
            <w:pPr>
              <w:pStyle w:val="TableParagraph"/>
              <w:rPr>
                <w:rFonts w:ascii="Times New Roman"/>
                <w:sz w:val="22"/>
              </w:rPr>
            </w:pPr>
          </w:p>
        </w:tc>
      </w:tr>
      <w:tr>
        <w:trPr>
          <w:trHeight w:val="374" w:hRule="atLeast"/>
        </w:trPr>
        <w:tc>
          <w:tcPr>
            <w:tcW w:w="4480" w:type="dxa"/>
          </w:tcPr>
          <w:p>
            <w:pPr>
              <w:pStyle w:val="TableParagraph"/>
              <w:spacing w:line="256" w:lineRule="exact" w:before="97"/>
              <w:ind w:left="54"/>
              <w:rPr>
                <w:rFonts w:ascii="Calibri"/>
                <w:sz w:val="23"/>
              </w:rPr>
            </w:pPr>
            <w:r>
              <w:rPr>
                <w:rFonts w:ascii="Calibri"/>
                <w:sz w:val="23"/>
              </w:rPr>
              <w:t>LCC Significant Maintenance/</w:t>
            </w:r>
          </w:p>
        </w:tc>
        <w:tc>
          <w:tcPr>
            <w:tcW w:w="2030" w:type="dxa"/>
          </w:tcPr>
          <w:p>
            <w:pPr>
              <w:pStyle w:val="TableParagraph"/>
              <w:spacing w:line="247" w:lineRule="exact" w:before="107"/>
              <w:ind w:left="149"/>
              <w:rPr>
                <w:rFonts w:ascii="Calibri"/>
                <w:sz w:val="22"/>
              </w:rPr>
            </w:pPr>
            <w:r>
              <w:rPr>
                <w:rFonts w:ascii="Calibri"/>
                <w:sz w:val="22"/>
              </w:rPr>
              <w:t>Across the District</w:t>
            </w:r>
          </w:p>
        </w:tc>
        <w:tc>
          <w:tcPr>
            <w:tcW w:w="1858" w:type="dxa"/>
          </w:tcPr>
          <w:p>
            <w:pPr>
              <w:pStyle w:val="TableParagraph"/>
              <w:spacing w:line="256" w:lineRule="exact" w:before="97"/>
              <w:ind w:left="127"/>
              <w:rPr>
                <w:rFonts w:ascii="Calibri"/>
                <w:sz w:val="23"/>
              </w:rPr>
            </w:pPr>
            <w:r>
              <w:rPr>
                <w:rFonts w:ascii="Calibri"/>
                <w:sz w:val="23"/>
              </w:rPr>
              <w:t>Ongoing</w:t>
            </w:r>
          </w:p>
        </w:tc>
        <w:tc>
          <w:tcPr>
            <w:tcW w:w="779" w:type="dxa"/>
          </w:tcPr>
          <w:p>
            <w:pPr>
              <w:pStyle w:val="TableParagraph"/>
              <w:spacing w:line="247" w:lineRule="exact" w:before="107"/>
              <w:ind w:left="287"/>
              <w:rPr>
                <w:rFonts w:ascii="Calibri"/>
                <w:sz w:val="22"/>
              </w:rPr>
            </w:pPr>
            <w:r>
              <w:rPr>
                <w:rFonts w:ascii="Calibri"/>
                <w:sz w:val="22"/>
              </w:rPr>
              <w:t>NA</w:t>
            </w:r>
          </w:p>
        </w:tc>
      </w:tr>
    </w:tbl>
    <w:p>
      <w:pPr>
        <w:pStyle w:val="BodyText"/>
        <w:spacing w:before="4"/>
        <w:rPr>
          <w:sz w:val="7"/>
        </w:rPr>
      </w:pPr>
    </w:p>
    <w:p>
      <w:pPr>
        <w:pStyle w:val="BodyText"/>
        <w:spacing w:before="93"/>
        <w:ind w:left="1022"/>
      </w:pPr>
      <w:r>
        <w:rPr/>
        <w:t>”Features on the EA 6-year programme</w:t>
      </w:r>
    </w:p>
    <w:p>
      <w:pPr>
        <w:pStyle w:val="BodyText"/>
        <w:spacing w:before="24"/>
        <w:ind w:left="1030"/>
      </w:pPr>
      <w:r>
        <w:rPr/>
        <w:t>/ Featured on the LCC pipeline programme</w:t>
      </w:r>
    </w:p>
    <w:p>
      <w:pPr>
        <w:spacing w:after="0"/>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before="0"/>
        <w:ind w:left="1025" w:right="0" w:firstLine="0"/>
        <w:jc w:val="left"/>
        <w:rPr>
          <w:sz w:val="20"/>
        </w:rPr>
      </w:pPr>
      <w:r>
        <w:rPr/>
        <w:pict>
          <v:group style="position:absolute;margin-left:537.554504pt;margin-top:-56.134727pt;width:5.8pt;height:34.6pt;mso-position-horizontal-relative:page;mso-position-vertical-relative:paragraph;z-index:2224" coordorigin="10751,-1123" coordsize="116,692">
            <v:shape style="position:absolute;left:10751;top:-1123;width:116;height:39" type="#_x0000_t75" stroked="false">
              <v:imagedata r:id="rId27" o:title=""/>
            </v:shape>
            <v:shape style="position:absolute;left:10827;top:-509;width:39;height:77" type="#_x0000_t75" stroked="false">
              <v:imagedata r:id="rId28" o:title=""/>
            </v:shape>
            <v:line style="position:absolute" from="10804,-1123" to="10804,-441" stroked="true" strokeweight="5.279551pt" strokecolor="#d85970">
              <v:stroke dashstyle="solid"/>
            </v:line>
            <w10:wrap type="none"/>
          </v:group>
        </w:pict>
      </w:r>
      <w:bookmarkStart w:name="Leeds LFRMS 2018 Update_Page_26" w:id="32"/>
      <w:bookmarkEnd w:id="32"/>
      <w:r>
        <w:rPr/>
      </w:r>
      <w:r>
        <w:rPr>
          <w:w w:val="110"/>
          <w:sz w:val="20"/>
        </w:rPr>
        <w:t>Table 4 </w:t>
      </w:r>
      <w:r>
        <w:rPr>
          <w:sz w:val="20"/>
        </w:rPr>
        <w:t>— </w:t>
      </w:r>
      <w:r>
        <w:rPr>
          <w:w w:val="110"/>
          <w:sz w:val="20"/>
        </w:rPr>
        <w:t>Current LCC policies</w:t>
      </w:r>
    </w:p>
    <w:p>
      <w:pPr>
        <w:pStyle w:val="BodyText"/>
        <w:spacing w:before="11"/>
        <w:rPr>
          <w:sz w:val="16"/>
        </w:rPr>
      </w:pPr>
    </w:p>
    <w:p>
      <w:pPr>
        <w:spacing w:after="0"/>
        <w:rPr>
          <w:sz w:val="16"/>
        </w:rPr>
        <w:sectPr>
          <w:pgSz w:w="11920" w:h="16850"/>
          <w:pgMar w:header="0" w:footer="1246" w:top="580" w:bottom="1440" w:left="400" w:right="540"/>
        </w:sectPr>
      </w:pPr>
    </w:p>
    <w:p>
      <w:pPr>
        <w:spacing w:before="93"/>
        <w:ind w:left="1139" w:right="0" w:firstLine="0"/>
        <w:jc w:val="left"/>
        <w:rPr>
          <w:sz w:val="20"/>
        </w:rPr>
      </w:pPr>
      <w:r>
        <w:rPr/>
        <w:pict>
          <v:line style="position:absolute;mso-position-horizontal-relative:page;mso-position-vertical-relative:paragraph;z-index:2200" from="71.513947pt,19.429415pt" to="561.312312pt,19.429415pt" stroked="true" strokeweight="1.1999pt" strokecolor="#af5767">
            <v:stroke dashstyle="solid"/>
            <w10:wrap type="none"/>
          </v:line>
        </w:pict>
      </w:r>
      <w:r>
        <w:rPr>
          <w:color w:val="FF444B"/>
          <w:w w:val="110"/>
          <w:sz w:val="20"/>
        </w:rPr>
        <w:t>Policy</w:t>
      </w:r>
    </w:p>
    <w:p>
      <w:pPr>
        <w:pStyle w:val="BodyText"/>
        <w:spacing w:before="1"/>
        <w:rPr>
          <w:sz w:val="20"/>
        </w:rPr>
      </w:pPr>
    </w:p>
    <w:p>
      <w:pPr>
        <w:spacing w:line="241" w:lineRule="exact" w:before="0"/>
        <w:ind w:left="1138" w:right="0" w:firstLine="0"/>
        <w:jc w:val="left"/>
        <w:rPr>
          <w:sz w:val="21"/>
        </w:rPr>
      </w:pPr>
      <w:r>
        <w:rPr>
          <w:color w:val="1F1F1F"/>
          <w:sz w:val="21"/>
        </w:rPr>
        <w:t>Provide</w:t>
      </w:r>
      <w:r>
        <w:rPr>
          <w:color w:val="1F1F1F"/>
          <w:spacing w:val="-38"/>
          <w:sz w:val="21"/>
        </w:rPr>
        <w:t> </w:t>
      </w:r>
      <w:r>
        <w:rPr>
          <w:color w:val="161616"/>
          <w:sz w:val="21"/>
        </w:rPr>
        <w:t>regular</w:t>
      </w:r>
      <w:r>
        <w:rPr>
          <w:color w:val="161616"/>
          <w:spacing w:val="-35"/>
          <w:sz w:val="21"/>
        </w:rPr>
        <w:t> </w:t>
      </w:r>
      <w:r>
        <w:rPr>
          <w:color w:val="262626"/>
          <w:sz w:val="21"/>
        </w:rPr>
        <w:t>feedback</w:t>
      </w:r>
      <w:r>
        <w:rPr>
          <w:color w:val="262626"/>
          <w:spacing w:val="-36"/>
          <w:sz w:val="21"/>
        </w:rPr>
        <w:t> </w:t>
      </w:r>
      <w:r>
        <w:rPr>
          <w:color w:val="242424"/>
          <w:sz w:val="21"/>
        </w:rPr>
        <w:t>to</w:t>
      </w:r>
      <w:r>
        <w:rPr>
          <w:color w:val="242424"/>
          <w:spacing w:val="-39"/>
          <w:sz w:val="21"/>
        </w:rPr>
        <w:t> </w:t>
      </w:r>
      <w:r>
        <w:rPr>
          <w:color w:val="1F1F1F"/>
          <w:sz w:val="21"/>
        </w:rPr>
        <w:t>senior</w:t>
      </w:r>
      <w:r>
        <w:rPr>
          <w:color w:val="1F1F1F"/>
          <w:spacing w:val="-34"/>
          <w:sz w:val="21"/>
        </w:rPr>
        <w:t> </w:t>
      </w:r>
      <w:r>
        <w:rPr>
          <w:color w:val="313131"/>
          <w:sz w:val="21"/>
        </w:rPr>
        <w:t>officers</w:t>
      </w:r>
      <w:r>
        <w:rPr>
          <w:color w:val="313131"/>
          <w:spacing w:val="-37"/>
          <w:sz w:val="21"/>
        </w:rPr>
        <w:t> </w:t>
      </w:r>
      <w:r>
        <w:rPr>
          <w:color w:val="232323"/>
          <w:sz w:val="21"/>
        </w:rPr>
        <w:t>and</w:t>
      </w:r>
      <w:r>
        <w:rPr>
          <w:color w:val="232323"/>
          <w:spacing w:val="-34"/>
          <w:sz w:val="21"/>
        </w:rPr>
        <w:t> </w:t>
      </w:r>
      <w:r>
        <w:rPr>
          <w:color w:val="232323"/>
          <w:sz w:val="21"/>
        </w:rPr>
        <w:t>elected</w:t>
      </w:r>
      <w:r>
        <w:rPr>
          <w:color w:val="232323"/>
          <w:spacing w:val="-35"/>
          <w:sz w:val="21"/>
        </w:rPr>
        <w:t> </w:t>
      </w:r>
      <w:r>
        <w:rPr>
          <w:color w:val="1F1F1F"/>
          <w:sz w:val="21"/>
        </w:rPr>
        <w:t>members</w:t>
      </w:r>
      <w:r>
        <w:rPr>
          <w:color w:val="1F1F1F"/>
          <w:spacing w:val="-35"/>
          <w:sz w:val="21"/>
        </w:rPr>
        <w:t> </w:t>
      </w:r>
      <w:r>
        <w:rPr>
          <w:color w:val="313131"/>
          <w:sz w:val="21"/>
        </w:rPr>
        <w:t>on</w:t>
      </w:r>
      <w:r>
        <w:rPr>
          <w:color w:val="313131"/>
          <w:spacing w:val="-38"/>
          <w:sz w:val="21"/>
        </w:rPr>
        <w:t> </w:t>
      </w:r>
      <w:r>
        <w:rPr>
          <w:color w:val="212121"/>
          <w:sz w:val="21"/>
        </w:rPr>
        <w:t>FRM</w:t>
      </w:r>
      <w:r>
        <w:rPr>
          <w:color w:val="212121"/>
          <w:spacing w:val="-40"/>
          <w:sz w:val="21"/>
        </w:rPr>
        <w:t> </w:t>
      </w:r>
      <w:r>
        <w:rPr>
          <w:color w:val="1D1D1D"/>
          <w:sz w:val="21"/>
        </w:rPr>
        <w:t>progress,</w:t>
      </w:r>
      <w:r>
        <w:rPr>
          <w:color w:val="1D1D1D"/>
          <w:spacing w:val="-33"/>
          <w:sz w:val="21"/>
        </w:rPr>
        <w:t> </w:t>
      </w:r>
      <w:r>
        <w:rPr>
          <w:color w:val="282828"/>
          <w:sz w:val="21"/>
        </w:rPr>
        <w:t>working</w:t>
      </w:r>
    </w:p>
    <w:p>
      <w:pPr>
        <w:spacing w:line="229" w:lineRule="exact" w:before="0"/>
        <w:ind w:left="1139" w:right="0" w:firstLine="0"/>
        <w:jc w:val="left"/>
        <w:rPr>
          <w:sz w:val="20"/>
        </w:rPr>
      </w:pPr>
      <w:r>
        <w:rPr>
          <w:color w:val="131313"/>
          <w:sz w:val="20"/>
        </w:rPr>
        <w:t>groups, </w:t>
      </w:r>
      <w:r>
        <w:rPr>
          <w:color w:val="2D2D2D"/>
          <w:sz w:val="20"/>
        </w:rPr>
        <w:t>and </w:t>
      </w:r>
      <w:r>
        <w:rPr>
          <w:color w:val="1C1C1C"/>
          <w:sz w:val="20"/>
        </w:rPr>
        <w:t>strategies </w:t>
      </w:r>
      <w:r>
        <w:rPr>
          <w:color w:val="262626"/>
          <w:sz w:val="20"/>
        </w:rPr>
        <w:t>such </w:t>
      </w:r>
      <w:r>
        <w:rPr>
          <w:color w:val="212121"/>
          <w:sz w:val="20"/>
        </w:rPr>
        <w:t>as:</w:t>
      </w:r>
    </w:p>
    <w:p>
      <w:pPr>
        <w:pStyle w:val="ListParagraph"/>
        <w:numPr>
          <w:ilvl w:val="0"/>
          <w:numId w:val="9"/>
        </w:numPr>
        <w:tabs>
          <w:tab w:pos="1255" w:val="left" w:leader="none"/>
        </w:tabs>
        <w:spacing w:line="240" w:lineRule="auto" w:before="1" w:after="0"/>
        <w:ind w:left="1254" w:right="0" w:hanging="125"/>
        <w:jc w:val="left"/>
        <w:rPr>
          <w:color w:val="424242"/>
          <w:sz w:val="20"/>
        </w:rPr>
      </w:pPr>
      <w:r>
        <w:rPr>
          <w:color w:val="1F1F1F"/>
          <w:sz w:val="20"/>
        </w:rPr>
        <w:t>Director </w:t>
      </w:r>
      <w:r>
        <w:rPr>
          <w:color w:val="333333"/>
          <w:sz w:val="20"/>
        </w:rPr>
        <w:t>of </w:t>
      </w:r>
      <w:r>
        <w:rPr>
          <w:color w:val="242424"/>
          <w:sz w:val="20"/>
        </w:rPr>
        <w:t>City </w:t>
      </w:r>
      <w:r>
        <w:rPr>
          <w:color w:val="282828"/>
          <w:sz w:val="20"/>
        </w:rPr>
        <w:t>Development</w:t>
      </w:r>
      <w:r>
        <w:rPr>
          <w:color w:val="282828"/>
          <w:spacing w:val="-7"/>
          <w:sz w:val="20"/>
        </w:rPr>
        <w:t> </w:t>
      </w:r>
      <w:r>
        <w:rPr>
          <w:color w:val="212121"/>
          <w:sz w:val="20"/>
        </w:rPr>
        <w:t>(quarterly);</w:t>
      </w:r>
    </w:p>
    <w:p>
      <w:pPr>
        <w:pStyle w:val="ListParagraph"/>
        <w:numPr>
          <w:ilvl w:val="0"/>
          <w:numId w:val="9"/>
        </w:numPr>
        <w:tabs>
          <w:tab w:pos="1251" w:val="left" w:leader="none"/>
        </w:tabs>
        <w:spacing w:line="225" w:lineRule="exact" w:before="0" w:after="0"/>
        <w:ind w:left="1250" w:right="0" w:hanging="121"/>
        <w:jc w:val="left"/>
        <w:rPr>
          <w:color w:val="444444"/>
          <w:sz w:val="20"/>
        </w:rPr>
      </w:pPr>
      <w:r>
        <w:rPr>
          <w:color w:val="262626"/>
          <w:sz w:val="20"/>
        </w:rPr>
        <w:t>City </w:t>
      </w:r>
      <w:r>
        <w:rPr>
          <w:color w:val="282828"/>
          <w:sz w:val="20"/>
        </w:rPr>
        <w:t>Development</w:t>
      </w:r>
      <w:r>
        <w:rPr>
          <w:color w:val="282828"/>
          <w:spacing w:val="40"/>
          <w:sz w:val="20"/>
        </w:rPr>
        <w:t> </w:t>
      </w:r>
      <w:r>
        <w:rPr>
          <w:color w:val="262626"/>
          <w:sz w:val="20"/>
        </w:rPr>
        <w:t>(annually);</w:t>
      </w:r>
    </w:p>
    <w:p>
      <w:pPr>
        <w:pStyle w:val="ListParagraph"/>
        <w:numPr>
          <w:ilvl w:val="0"/>
          <w:numId w:val="9"/>
        </w:numPr>
        <w:tabs>
          <w:tab w:pos="1251" w:val="left" w:leader="none"/>
        </w:tabs>
        <w:spacing w:line="236" w:lineRule="exact" w:before="0" w:after="0"/>
        <w:ind w:left="1250" w:right="0" w:hanging="121"/>
        <w:jc w:val="left"/>
        <w:rPr>
          <w:color w:val="424242"/>
          <w:sz w:val="21"/>
        </w:rPr>
      </w:pPr>
      <w:r>
        <w:rPr>
          <w:color w:val="262626"/>
          <w:sz w:val="21"/>
        </w:rPr>
        <w:t>City </w:t>
      </w:r>
      <w:r>
        <w:rPr>
          <w:color w:val="282828"/>
          <w:sz w:val="21"/>
        </w:rPr>
        <w:t>Development </w:t>
      </w:r>
      <w:r>
        <w:rPr>
          <w:color w:val="232323"/>
          <w:sz w:val="21"/>
        </w:rPr>
        <w:t>Scrutiny </w:t>
      </w:r>
      <w:r>
        <w:rPr>
          <w:color w:val="151515"/>
          <w:sz w:val="21"/>
        </w:rPr>
        <w:t>Board </w:t>
      </w:r>
      <w:r>
        <w:rPr>
          <w:color w:val="1A1A1A"/>
          <w:sz w:val="21"/>
        </w:rPr>
        <w:t>(annually),</w:t>
      </w:r>
      <w:r>
        <w:rPr>
          <w:color w:val="1A1A1A"/>
          <w:spacing w:val="-8"/>
          <w:sz w:val="21"/>
        </w:rPr>
        <w:t> </w:t>
      </w:r>
      <w:r>
        <w:rPr>
          <w:color w:val="242424"/>
          <w:sz w:val="21"/>
        </w:rPr>
        <w:t>and</w:t>
      </w:r>
    </w:p>
    <w:p>
      <w:pPr>
        <w:pStyle w:val="ListParagraph"/>
        <w:numPr>
          <w:ilvl w:val="0"/>
          <w:numId w:val="9"/>
        </w:numPr>
        <w:tabs>
          <w:tab w:pos="1252" w:val="left" w:leader="none"/>
        </w:tabs>
        <w:spacing w:line="229" w:lineRule="exact" w:before="0" w:after="0"/>
        <w:ind w:left="1251" w:right="0" w:hanging="122"/>
        <w:jc w:val="left"/>
        <w:rPr>
          <w:color w:val="444444"/>
          <w:sz w:val="20"/>
        </w:rPr>
      </w:pPr>
      <w:r>
        <w:rPr>
          <w:color w:val="282828"/>
          <w:sz w:val="20"/>
        </w:rPr>
        <w:t>All </w:t>
      </w:r>
      <w:r>
        <w:rPr>
          <w:color w:val="232323"/>
          <w:sz w:val="20"/>
        </w:rPr>
        <w:t>Area Committees</w:t>
      </w:r>
      <w:r>
        <w:rPr>
          <w:color w:val="232323"/>
          <w:spacing w:val="10"/>
          <w:sz w:val="20"/>
        </w:rPr>
        <w:t> </w:t>
      </w:r>
      <w:r>
        <w:rPr>
          <w:color w:val="131313"/>
          <w:sz w:val="20"/>
        </w:rPr>
        <w:t>(two-yearly).</w:t>
      </w:r>
    </w:p>
    <w:p>
      <w:pPr>
        <w:pStyle w:val="BodyText"/>
        <w:spacing w:before="9"/>
        <w:rPr>
          <w:sz w:val="21"/>
        </w:rPr>
      </w:pPr>
    </w:p>
    <w:p>
      <w:pPr>
        <w:spacing w:line="240" w:lineRule="auto" w:before="0"/>
        <w:ind w:left="1132" w:right="0" w:firstLine="6"/>
        <w:jc w:val="left"/>
        <w:rPr>
          <w:sz w:val="20"/>
        </w:rPr>
      </w:pPr>
      <w:r>
        <w:rPr>
          <w:color w:val="232323"/>
          <w:sz w:val="20"/>
        </w:rPr>
        <w:t>Review</w:t>
      </w:r>
      <w:r>
        <w:rPr>
          <w:color w:val="232323"/>
          <w:spacing w:val="-3"/>
          <w:sz w:val="20"/>
        </w:rPr>
        <w:t> </w:t>
      </w:r>
      <w:r>
        <w:rPr>
          <w:color w:val="313131"/>
          <w:sz w:val="20"/>
        </w:rPr>
        <w:t>Council</w:t>
      </w:r>
      <w:r>
        <w:rPr>
          <w:color w:val="313131"/>
          <w:spacing w:val="-2"/>
          <w:sz w:val="20"/>
        </w:rPr>
        <w:t> </w:t>
      </w:r>
      <w:r>
        <w:rPr>
          <w:color w:val="1D1D1D"/>
          <w:sz w:val="20"/>
        </w:rPr>
        <w:t>Policy</w:t>
      </w:r>
      <w:r>
        <w:rPr>
          <w:color w:val="1D1D1D"/>
          <w:spacing w:val="4"/>
          <w:sz w:val="20"/>
        </w:rPr>
        <w:t> </w:t>
      </w:r>
      <w:r>
        <w:rPr>
          <w:color w:val="383838"/>
          <w:sz w:val="20"/>
        </w:rPr>
        <w:t>on</w:t>
      </w:r>
      <w:r>
        <w:rPr>
          <w:color w:val="383838"/>
          <w:spacing w:val="-11"/>
          <w:sz w:val="20"/>
        </w:rPr>
        <w:t> </w:t>
      </w:r>
      <w:r>
        <w:rPr>
          <w:color w:val="2D2D2D"/>
          <w:sz w:val="20"/>
        </w:rPr>
        <w:t>FRM</w:t>
      </w:r>
      <w:r>
        <w:rPr>
          <w:color w:val="2D2D2D"/>
          <w:spacing w:val="-8"/>
          <w:sz w:val="20"/>
        </w:rPr>
        <w:t> </w:t>
      </w:r>
      <w:r>
        <w:rPr>
          <w:color w:val="2A2A2A"/>
          <w:sz w:val="20"/>
        </w:rPr>
        <w:t>e.g.</w:t>
      </w:r>
      <w:r>
        <w:rPr>
          <w:color w:val="2A2A2A"/>
          <w:spacing w:val="-17"/>
          <w:sz w:val="20"/>
        </w:rPr>
        <w:t> </w:t>
      </w:r>
      <w:r>
        <w:rPr>
          <w:color w:val="212121"/>
          <w:sz w:val="20"/>
        </w:rPr>
        <w:t>‘Maintaining</w:t>
      </w:r>
      <w:r>
        <w:rPr>
          <w:color w:val="212121"/>
          <w:spacing w:val="-4"/>
          <w:sz w:val="20"/>
        </w:rPr>
        <w:t> </w:t>
      </w:r>
      <w:r>
        <w:rPr>
          <w:color w:val="232323"/>
          <w:sz w:val="20"/>
        </w:rPr>
        <w:t>Water</w:t>
      </w:r>
      <w:r>
        <w:rPr>
          <w:color w:val="232323"/>
          <w:spacing w:val="-8"/>
          <w:sz w:val="20"/>
        </w:rPr>
        <w:t> </w:t>
      </w:r>
      <w:r>
        <w:rPr>
          <w:color w:val="1F1F1F"/>
          <w:sz w:val="20"/>
        </w:rPr>
        <w:t>Resources</w:t>
      </w:r>
      <w:r>
        <w:rPr>
          <w:color w:val="1F1F1F"/>
          <w:spacing w:val="-2"/>
          <w:sz w:val="20"/>
        </w:rPr>
        <w:t> </w:t>
      </w:r>
      <w:r>
        <w:rPr>
          <w:color w:val="232323"/>
          <w:sz w:val="20"/>
        </w:rPr>
        <w:t>and</w:t>
      </w:r>
      <w:r>
        <w:rPr>
          <w:color w:val="232323"/>
          <w:spacing w:val="-10"/>
          <w:sz w:val="20"/>
        </w:rPr>
        <w:t> </w:t>
      </w:r>
      <w:r>
        <w:rPr>
          <w:color w:val="262626"/>
          <w:sz w:val="20"/>
        </w:rPr>
        <w:t>Responding</w:t>
      </w:r>
      <w:r>
        <w:rPr>
          <w:color w:val="262626"/>
          <w:spacing w:val="-4"/>
          <w:sz w:val="20"/>
        </w:rPr>
        <w:t> </w:t>
      </w:r>
      <w:r>
        <w:rPr>
          <w:color w:val="2D2D2D"/>
          <w:sz w:val="20"/>
        </w:rPr>
        <w:t>to</w:t>
      </w:r>
      <w:r>
        <w:rPr>
          <w:color w:val="2D2D2D"/>
          <w:spacing w:val="-7"/>
          <w:sz w:val="20"/>
        </w:rPr>
        <w:t> </w:t>
      </w:r>
      <w:r>
        <w:rPr>
          <w:color w:val="2D2D2D"/>
          <w:sz w:val="20"/>
        </w:rPr>
        <w:t>Flood </w:t>
      </w:r>
      <w:r>
        <w:rPr>
          <w:color w:val="262626"/>
          <w:sz w:val="20"/>
        </w:rPr>
        <w:t>Incidents’ </w:t>
      </w:r>
      <w:r>
        <w:rPr>
          <w:color w:val="282828"/>
          <w:sz w:val="20"/>
        </w:rPr>
        <w:t>approved </w:t>
      </w:r>
      <w:r>
        <w:rPr>
          <w:color w:val="2F2F2F"/>
          <w:sz w:val="20"/>
        </w:rPr>
        <w:t>by </w:t>
      </w:r>
      <w:r>
        <w:rPr>
          <w:color w:val="282828"/>
          <w:sz w:val="20"/>
        </w:rPr>
        <w:t>Exec Board </w:t>
      </w:r>
      <w:r>
        <w:rPr>
          <w:color w:val="2D2D2D"/>
          <w:sz w:val="20"/>
        </w:rPr>
        <w:t>on </w:t>
      </w:r>
      <w:r>
        <w:rPr>
          <w:color w:val="343434"/>
          <w:sz w:val="20"/>
        </w:rPr>
        <w:t>17 </w:t>
      </w:r>
      <w:r>
        <w:rPr>
          <w:color w:val="1D1D1D"/>
          <w:sz w:val="20"/>
        </w:rPr>
        <w:t>May </w:t>
      </w:r>
      <w:r>
        <w:rPr>
          <w:color w:val="212121"/>
          <w:sz w:val="20"/>
        </w:rPr>
        <w:t>2006 </w:t>
      </w:r>
      <w:r>
        <w:rPr>
          <w:color w:val="1F1F1F"/>
          <w:sz w:val="20"/>
        </w:rPr>
        <w:t>to </w:t>
      </w:r>
      <w:r>
        <w:rPr>
          <w:color w:val="262626"/>
          <w:sz w:val="20"/>
        </w:rPr>
        <w:t>ensure </w:t>
      </w:r>
      <w:r>
        <w:rPr>
          <w:color w:val="2D2D2D"/>
          <w:sz w:val="20"/>
        </w:rPr>
        <w:t>that </w:t>
      </w:r>
      <w:r>
        <w:rPr>
          <w:color w:val="363636"/>
          <w:sz w:val="20"/>
        </w:rPr>
        <w:t>it </w:t>
      </w:r>
      <w:r>
        <w:rPr>
          <w:color w:val="2D2D2D"/>
          <w:sz w:val="20"/>
        </w:rPr>
        <w:t>conform </w:t>
      </w:r>
      <w:r>
        <w:rPr>
          <w:color w:val="1F1F1F"/>
          <w:sz w:val="20"/>
        </w:rPr>
        <w:t>s </w:t>
      </w:r>
      <w:r>
        <w:rPr>
          <w:color w:val="333333"/>
          <w:sz w:val="20"/>
        </w:rPr>
        <w:t>to the </w:t>
      </w:r>
      <w:r>
        <w:rPr>
          <w:color w:val="262626"/>
          <w:sz w:val="20"/>
        </w:rPr>
        <w:t>requirements </w:t>
      </w:r>
      <w:r>
        <w:rPr>
          <w:color w:val="282828"/>
          <w:sz w:val="20"/>
        </w:rPr>
        <w:t>of </w:t>
      </w:r>
      <w:r>
        <w:rPr>
          <w:color w:val="2D2D2D"/>
          <w:sz w:val="20"/>
        </w:rPr>
        <w:t>the FWMA </w:t>
      </w:r>
      <w:r>
        <w:rPr>
          <w:color w:val="262626"/>
          <w:sz w:val="20"/>
        </w:rPr>
        <w:t>that </w:t>
      </w:r>
      <w:r>
        <w:rPr>
          <w:color w:val="1D1D1D"/>
          <w:sz w:val="20"/>
        </w:rPr>
        <w:t>Local </w:t>
      </w:r>
      <w:r>
        <w:rPr>
          <w:color w:val="131313"/>
          <w:sz w:val="20"/>
        </w:rPr>
        <w:t>authorities </w:t>
      </w:r>
      <w:r>
        <w:rPr>
          <w:color w:val="262626"/>
          <w:sz w:val="20"/>
        </w:rPr>
        <w:t>should </w:t>
      </w:r>
      <w:r>
        <w:rPr>
          <w:color w:val="282828"/>
          <w:sz w:val="20"/>
        </w:rPr>
        <w:t>lead </w:t>
      </w:r>
      <w:r>
        <w:rPr>
          <w:color w:val="333333"/>
          <w:sz w:val="20"/>
        </w:rPr>
        <w:t>on </w:t>
      </w:r>
      <w:r>
        <w:rPr>
          <w:color w:val="2A2A2A"/>
          <w:sz w:val="20"/>
        </w:rPr>
        <w:t>the </w:t>
      </w:r>
      <w:r>
        <w:rPr>
          <w:color w:val="282828"/>
          <w:sz w:val="20"/>
        </w:rPr>
        <w:t>management </w:t>
      </w:r>
      <w:r>
        <w:rPr>
          <w:color w:val="333333"/>
          <w:sz w:val="20"/>
        </w:rPr>
        <w:t>of </w:t>
      </w:r>
      <w:r>
        <w:rPr>
          <w:color w:val="2F2F2F"/>
          <w:sz w:val="20"/>
        </w:rPr>
        <w:t>local </w:t>
      </w:r>
      <w:r>
        <w:rPr>
          <w:color w:val="262626"/>
          <w:sz w:val="20"/>
        </w:rPr>
        <w:t>flood </w:t>
      </w:r>
      <w:r>
        <w:rPr>
          <w:color w:val="242424"/>
          <w:sz w:val="20"/>
        </w:rPr>
        <w:t>risk, </w:t>
      </w:r>
      <w:r>
        <w:rPr>
          <w:color w:val="1F1F1F"/>
          <w:sz w:val="20"/>
        </w:rPr>
        <w:t>with </w:t>
      </w:r>
      <w:r>
        <w:rPr>
          <w:color w:val="161616"/>
          <w:sz w:val="20"/>
        </w:rPr>
        <w:t>the </w:t>
      </w:r>
      <w:r>
        <w:rPr>
          <w:color w:val="2A2A2A"/>
          <w:sz w:val="20"/>
        </w:rPr>
        <w:t>support </w:t>
      </w:r>
      <w:r>
        <w:rPr>
          <w:color w:val="2F2F2F"/>
          <w:sz w:val="20"/>
        </w:rPr>
        <w:t>of </w:t>
      </w:r>
      <w:r>
        <w:rPr>
          <w:color w:val="1C1C1C"/>
          <w:sz w:val="20"/>
        </w:rPr>
        <w:t>the </w:t>
      </w:r>
      <w:r>
        <w:rPr>
          <w:color w:val="232323"/>
          <w:sz w:val="20"/>
        </w:rPr>
        <w:t>relevant</w:t>
      </w:r>
      <w:r>
        <w:rPr>
          <w:color w:val="232323"/>
          <w:spacing w:val="31"/>
          <w:sz w:val="20"/>
        </w:rPr>
        <w:t> </w:t>
      </w:r>
      <w:r>
        <w:rPr>
          <w:color w:val="242424"/>
          <w:sz w:val="20"/>
        </w:rPr>
        <w:t>organisations.</w:t>
      </w:r>
    </w:p>
    <w:p>
      <w:pPr>
        <w:spacing w:before="93"/>
        <w:ind w:left="382" w:right="0" w:firstLine="0"/>
        <w:jc w:val="left"/>
        <w:rPr>
          <w:sz w:val="20"/>
        </w:rPr>
      </w:pPr>
      <w:r>
        <w:rPr/>
        <w:br w:type="column"/>
      </w:r>
      <w:r>
        <w:rPr>
          <w:color w:val="D44657"/>
          <w:w w:val="105"/>
          <w:sz w:val="20"/>
        </w:rPr>
        <w:t>Frequency</w:t>
      </w:r>
    </w:p>
    <w:p>
      <w:pPr>
        <w:pStyle w:val="BodyText"/>
        <w:rPr>
          <w:sz w:val="22"/>
        </w:rPr>
      </w:pPr>
    </w:p>
    <w:p>
      <w:pPr>
        <w:pStyle w:val="BodyText"/>
        <w:rPr>
          <w:sz w:val="22"/>
        </w:rPr>
      </w:pPr>
    </w:p>
    <w:p>
      <w:pPr>
        <w:pStyle w:val="BodyText"/>
        <w:rPr>
          <w:sz w:val="27"/>
        </w:rPr>
      </w:pPr>
    </w:p>
    <w:p>
      <w:pPr>
        <w:spacing w:before="0"/>
        <w:ind w:left="382" w:right="0" w:firstLine="0"/>
        <w:jc w:val="left"/>
        <w:rPr>
          <w:sz w:val="20"/>
        </w:rPr>
      </w:pPr>
      <w:r>
        <w:rPr>
          <w:color w:val="242424"/>
          <w:sz w:val="20"/>
        </w:rPr>
        <w:t>6</w:t>
      </w:r>
      <w:r>
        <w:rPr>
          <w:color w:val="242424"/>
          <w:spacing w:val="-19"/>
          <w:sz w:val="20"/>
        </w:rPr>
        <w:t> </w:t>
      </w:r>
      <w:r>
        <w:rPr>
          <w:color w:val="1C1C1C"/>
          <w:sz w:val="20"/>
        </w:rPr>
        <w:t>Monthly</w:t>
      </w:r>
    </w:p>
    <w:p>
      <w:pPr>
        <w:pStyle w:val="BodyText"/>
        <w:rPr>
          <w:sz w:val="22"/>
        </w:rPr>
      </w:pPr>
    </w:p>
    <w:p>
      <w:pPr>
        <w:pStyle w:val="BodyText"/>
        <w:rPr>
          <w:sz w:val="22"/>
        </w:rPr>
      </w:pPr>
    </w:p>
    <w:p>
      <w:pPr>
        <w:pStyle w:val="BodyText"/>
        <w:rPr>
          <w:sz w:val="22"/>
        </w:rPr>
      </w:pPr>
    </w:p>
    <w:p>
      <w:pPr>
        <w:pStyle w:val="BodyText"/>
        <w:rPr>
          <w:sz w:val="22"/>
        </w:rPr>
      </w:pPr>
    </w:p>
    <w:p>
      <w:pPr>
        <w:spacing w:before="150"/>
        <w:ind w:left="382" w:right="0" w:firstLine="0"/>
        <w:jc w:val="left"/>
        <w:rPr>
          <w:sz w:val="20"/>
        </w:rPr>
      </w:pPr>
      <w:r>
        <w:rPr>
          <w:color w:val="3B3B3B"/>
          <w:sz w:val="20"/>
        </w:rPr>
        <w:t>6</w:t>
      </w:r>
      <w:r>
        <w:rPr>
          <w:color w:val="3B3B3B"/>
          <w:spacing w:val="-19"/>
          <w:sz w:val="20"/>
        </w:rPr>
        <w:t> </w:t>
      </w:r>
      <w:r>
        <w:rPr>
          <w:color w:val="282828"/>
          <w:sz w:val="20"/>
        </w:rPr>
        <w:t>Monthly</w:t>
      </w:r>
    </w:p>
    <w:p>
      <w:pPr>
        <w:spacing w:after="0"/>
        <w:jc w:val="left"/>
        <w:rPr>
          <w:sz w:val="20"/>
        </w:rPr>
        <w:sectPr>
          <w:type w:val="continuous"/>
          <w:pgSz w:w="11920" w:h="16850"/>
          <w:pgMar w:top="1220" w:bottom="0" w:left="400" w:right="540"/>
          <w:cols w:num="2" w:equalWidth="0">
            <w:col w:w="9260" w:space="40"/>
            <w:col w:w="1680"/>
          </w:cols>
        </w:sectPr>
      </w:pPr>
    </w:p>
    <w:p>
      <w:pPr>
        <w:pStyle w:val="BodyText"/>
        <w:spacing w:before="10"/>
        <w:rPr>
          <w:sz w:val="12"/>
        </w:rPr>
      </w:pPr>
    </w:p>
    <w:p>
      <w:pPr>
        <w:tabs>
          <w:tab w:pos="9679" w:val="left" w:leader="none"/>
        </w:tabs>
        <w:spacing w:line="158" w:lineRule="auto" w:before="116"/>
        <w:ind w:left="1139" w:right="540" w:hanging="1"/>
        <w:jc w:val="left"/>
        <w:rPr>
          <w:sz w:val="20"/>
        </w:rPr>
      </w:pPr>
      <w:r>
        <w:rPr>
          <w:color w:val="2A2A2A"/>
          <w:sz w:val="20"/>
        </w:rPr>
        <w:t>Review </w:t>
      </w:r>
      <w:r>
        <w:rPr>
          <w:color w:val="262626"/>
          <w:sz w:val="20"/>
        </w:rPr>
        <w:t>and </w:t>
      </w:r>
      <w:r>
        <w:rPr>
          <w:color w:val="2A2A2A"/>
          <w:sz w:val="20"/>
        </w:rPr>
        <w:t>update </w:t>
      </w:r>
      <w:r>
        <w:rPr>
          <w:color w:val="232323"/>
          <w:sz w:val="20"/>
        </w:rPr>
        <w:t>Emergency Handbook, </w:t>
      </w:r>
      <w:r>
        <w:rPr>
          <w:color w:val="282828"/>
          <w:sz w:val="20"/>
        </w:rPr>
        <w:t>Generic </w:t>
      </w:r>
      <w:r>
        <w:rPr>
          <w:color w:val="262626"/>
          <w:sz w:val="20"/>
        </w:rPr>
        <w:t>Flooding Plan,</w:t>
      </w:r>
      <w:r>
        <w:rPr>
          <w:color w:val="262626"/>
          <w:spacing w:val="-40"/>
          <w:sz w:val="20"/>
        </w:rPr>
        <w:t> </w:t>
      </w:r>
      <w:r>
        <w:rPr>
          <w:color w:val="262626"/>
          <w:sz w:val="20"/>
        </w:rPr>
        <w:t>Community </w:t>
      </w:r>
      <w:r>
        <w:rPr>
          <w:color w:val="313131"/>
          <w:sz w:val="20"/>
        </w:rPr>
        <w:t>Flood Action</w:t>
        <w:tab/>
      </w:r>
      <w:r>
        <w:rPr>
          <w:color w:val="2A2A2A"/>
          <w:w w:val="95"/>
          <w:position w:val="-11"/>
          <w:sz w:val="20"/>
        </w:rPr>
        <w:t>Annually </w:t>
      </w:r>
      <w:r>
        <w:rPr>
          <w:color w:val="2D2D2D"/>
          <w:sz w:val="20"/>
        </w:rPr>
        <w:t>Plans, </w:t>
      </w:r>
      <w:r>
        <w:rPr>
          <w:color w:val="262626"/>
          <w:sz w:val="20"/>
        </w:rPr>
        <w:t>West </w:t>
      </w:r>
      <w:r>
        <w:rPr>
          <w:color w:val="2A2A2A"/>
          <w:sz w:val="20"/>
        </w:rPr>
        <w:t>Yorkshire </w:t>
      </w:r>
      <w:r>
        <w:rPr>
          <w:color w:val="313131"/>
          <w:sz w:val="20"/>
        </w:rPr>
        <w:t>Major </w:t>
      </w:r>
      <w:r>
        <w:rPr>
          <w:color w:val="2A2A2A"/>
          <w:sz w:val="20"/>
        </w:rPr>
        <w:t>Flood </w:t>
      </w:r>
      <w:r>
        <w:rPr>
          <w:color w:val="212121"/>
          <w:sz w:val="20"/>
        </w:rPr>
        <w:t>Incident </w:t>
      </w:r>
      <w:r>
        <w:rPr>
          <w:color w:val="242424"/>
          <w:sz w:val="20"/>
        </w:rPr>
        <w:t>Plan, </w:t>
      </w:r>
      <w:r>
        <w:rPr>
          <w:color w:val="232323"/>
          <w:sz w:val="20"/>
        </w:rPr>
        <w:t>Reservoir </w:t>
      </w:r>
      <w:r>
        <w:rPr>
          <w:color w:val="282828"/>
          <w:sz w:val="20"/>
        </w:rPr>
        <w:t>Emergency</w:t>
      </w:r>
      <w:r>
        <w:rPr>
          <w:color w:val="282828"/>
          <w:spacing w:val="27"/>
          <w:sz w:val="20"/>
        </w:rPr>
        <w:t> </w:t>
      </w:r>
      <w:r>
        <w:rPr>
          <w:color w:val="262626"/>
          <w:sz w:val="20"/>
        </w:rPr>
        <w:t>Plan.</w:t>
      </w:r>
    </w:p>
    <w:p>
      <w:pPr>
        <w:pStyle w:val="BodyText"/>
        <w:rPr>
          <w:sz w:val="14"/>
        </w:rPr>
      </w:pPr>
    </w:p>
    <w:p>
      <w:pPr>
        <w:spacing w:after="0"/>
        <w:rPr>
          <w:sz w:val="14"/>
        </w:rPr>
        <w:sectPr>
          <w:type w:val="continuous"/>
          <w:pgSz w:w="11920" w:h="16850"/>
          <w:pgMar w:top="1220" w:bottom="0" w:left="400" w:right="540"/>
        </w:sectPr>
      </w:pPr>
    </w:p>
    <w:p>
      <w:pPr>
        <w:spacing w:before="94"/>
        <w:ind w:left="1139" w:right="0" w:firstLine="0"/>
        <w:jc w:val="left"/>
        <w:rPr>
          <w:sz w:val="20"/>
        </w:rPr>
      </w:pPr>
      <w:r>
        <w:rPr>
          <w:color w:val="181818"/>
          <w:sz w:val="20"/>
        </w:rPr>
        <w:t>Review </w:t>
      </w:r>
      <w:r>
        <w:rPr>
          <w:color w:val="2A2A2A"/>
          <w:sz w:val="20"/>
        </w:rPr>
        <w:t>LFRMS </w:t>
      </w:r>
      <w:r>
        <w:rPr>
          <w:color w:val="262626"/>
          <w:sz w:val="20"/>
        </w:rPr>
        <w:t>List </w:t>
      </w:r>
      <w:r>
        <w:rPr>
          <w:color w:val="2F2F2F"/>
          <w:sz w:val="20"/>
        </w:rPr>
        <w:t>of </w:t>
      </w:r>
      <w:r>
        <w:rPr>
          <w:color w:val="1F1F1F"/>
          <w:sz w:val="20"/>
        </w:rPr>
        <w:t>Measures</w:t>
      </w:r>
    </w:p>
    <w:p>
      <w:pPr>
        <w:pStyle w:val="BodyText"/>
        <w:spacing w:before="10"/>
        <w:rPr>
          <w:sz w:val="20"/>
        </w:rPr>
      </w:pPr>
    </w:p>
    <w:p>
      <w:pPr>
        <w:spacing w:line="241" w:lineRule="exact" w:before="0"/>
        <w:ind w:left="1129" w:right="0" w:firstLine="0"/>
        <w:jc w:val="left"/>
        <w:rPr>
          <w:sz w:val="21"/>
        </w:rPr>
      </w:pPr>
      <w:r>
        <w:rPr>
          <w:color w:val="1D1D1D"/>
          <w:sz w:val="21"/>
        </w:rPr>
        <w:t>Maintain</w:t>
      </w:r>
      <w:r>
        <w:rPr>
          <w:color w:val="1D1D1D"/>
          <w:spacing w:val="-24"/>
          <w:sz w:val="21"/>
        </w:rPr>
        <w:t> </w:t>
      </w:r>
      <w:r>
        <w:rPr>
          <w:color w:val="2F2F2F"/>
          <w:sz w:val="21"/>
        </w:rPr>
        <w:t>internet</w:t>
      </w:r>
      <w:r>
        <w:rPr>
          <w:color w:val="2F2F2F"/>
          <w:spacing w:val="-16"/>
          <w:sz w:val="21"/>
        </w:rPr>
        <w:t> </w:t>
      </w:r>
      <w:r>
        <w:rPr>
          <w:color w:val="212121"/>
          <w:sz w:val="21"/>
        </w:rPr>
        <w:t>and</w:t>
      </w:r>
      <w:r>
        <w:rPr>
          <w:color w:val="212121"/>
          <w:spacing w:val="-27"/>
          <w:sz w:val="21"/>
        </w:rPr>
        <w:t> </w:t>
      </w:r>
      <w:r>
        <w:rPr>
          <w:color w:val="232323"/>
          <w:sz w:val="21"/>
        </w:rPr>
        <w:t>intranet</w:t>
      </w:r>
      <w:r>
        <w:rPr>
          <w:color w:val="232323"/>
          <w:spacing w:val="-17"/>
          <w:sz w:val="21"/>
        </w:rPr>
        <w:t> </w:t>
      </w:r>
      <w:r>
        <w:rPr>
          <w:color w:val="262626"/>
          <w:sz w:val="21"/>
        </w:rPr>
        <w:t>web</w:t>
      </w:r>
      <w:r>
        <w:rPr>
          <w:color w:val="262626"/>
          <w:spacing w:val="-23"/>
          <w:sz w:val="21"/>
        </w:rPr>
        <w:t> </w:t>
      </w:r>
      <w:r>
        <w:rPr>
          <w:color w:val="232323"/>
          <w:sz w:val="21"/>
        </w:rPr>
        <w:t>pages</w:t>
      </w:r>
      <w:r>
        <w:rPr>
          <w:color w:val="232323"/>
          <w:spacing w:val="-26"/>
          <w:sz w:val="21"/>
        </w:rPr>
        <w:t> </w:t>
      </w:r>
      <w:r>
        <w:rPr>
          <w:color w:val="282828"/>
          <w:sz w:val="21"/>
        </w:rPr>
        <w:t>to</w:t>
      </w:r>
      <w:r>
        <w:rPr>
          <w:color w:val="282828"/>
          <w:spacing w:val="-31"/>
          <w:sz w:val="21"/>
        </w:rPr>
        <w:t> </w:t>
      </w:r>
      <w:r>
        <w:rPr>
          <w:color w:val="181818"/>
          <w:sz w:val="21"/>
        </w:rPr>
        <w:t>provide</w:t>
      </w:r>
      <w:r>
        <w:rPr>
          <w:color w:val="181818"/>
          <w:spacing w:val="-27"/>
          <w:sz w:val="21"/>
        </w:rPr>
        <w:t> </w:t>
      </w:r>
      <w:r>
        <w:rPr>
          <w:color w:val="212121"/>
          <w:sz w:val="21"/>
        </w:rPr>
        <w:t>comprehensive</w:t>
      </w:r>
      <w:r>
        <w:rPr>
          <w:color w:val="212121"/>
          <w:spacing w:val="-20"/>
          <w:sz w:val="21"/>
        </w:rPr>
        <w:t> </w:t>
      </w:r>
      <w:r>
        <w:rPr>
          <w:color w:val="232323"/>
          <w:sz w:val="21"/>
        </w:rPr>
        <w:t>information</w:t>
      </w:r>
      <w:r>
        <w:rPr>
          <w:color w:val="232323"/>
          <w:spacing w:val="-20"/>
          <w:sz w:val="21"/>
        </w:rPr>
        <w:t> </w:t>
      </w:r>
      <w:r>
        <w:rPr>
          <w:color w:val="2A2A2A"/>
          <w:sz w:val="21"/>
        </w:rPr>
        <w:t>to</w:t>
      </w:r>
      <w:r>
        <w:rPr>
          <w:color w:val="2A2A2A"/>
          <w:spacing w:val="-22"/>
          <w:sz w:val="21"/>
        </w:rPr>
        <w:t> </w:t>
      </w:r>
      <w:r>
        <w:rPr>
          <w:color w:val="313131"/>
          <w:sz w:val="21"/>
        </w:rPr>
        <w:t>all</w:t>
      </w:r>
    </w:p>
    <w:p>
      <w:pPr>
        <w:spacing w:line="229" w:lineRule="exact" w:before="0"/>
        <w:ind w:left="1139" w:right="0" w:firstLine="0"/>
        <w:jc w:val="left"/>
        <w:rPr>
          <w:sz w:val="20"/>
        </w:rPr>
      </w:pPr>
      <w:r>
        <w:rPr>
          <w:color w:val="242424"/>
          <w:sz w:val="20"/>
        </w:rPr>
        <w:t>stakeholders </w:t>
      </w:r>
      <w:r>
        <w:rPr>
          <w:color w:val="282828"/>
          <w:sz w:val="20"/>
        </w:rPr>
        <w:t>on:</w:t>
      </w:r>
    </w:p>
    <w:p>
      <w:pPr>
        <w:pStyle w:val="ListParagraph"/>
        <w:numPr>
          <w:ilvl w:val="0"/>
          <w:numId w:val="10"/>
        </w:numPr>
        <w:tabs>
          <w:tab w:pos="1247" w:val="left" w:leader="none"/>
        </w:tabs>
        <w:spacing w:line="225" w:lineRule="exact" w:before="1" w:after="0"/>
        <w:ind w:left="1131" w:right="0" w:hanging="2"/>
        <w:jc w:val="left"/>
        <w:rPr>
          <w:color w:val="2D2D2D"/>
          <w:sz w:val="20"/>
        </w:rPr>
      </w:pPr>
      <w:r>
        <w:rPr>
          <w:color w:val="2D2D2D"/>
          <w:sz w:val="20"/>
        </w:rPr>
        <w:t>The </w:t>
      </w:r>
      <w:r>
        <w:rPr>
          <w:color w:val="1C1C1C"/>
          <w:sz w:val="20"/>
        </w:rPr>
        <w:t>sources </w:t>
      </w:r>
      <w:r>
        <w:rPr>
          <w:color w:val="2A2A2A"/>
          <w:sz w:val="20"/>
        </w:rPr>
        <w:t>of </w:t>
      </w:r>
      <w:r>
        <w:rPr>
          <w:color w:val="232323"/>
          <w:sz w:val="20"/>
        </w:rPr>
        <w:t>flooding </w:t>
      </w:r>
      <w:r>
        <w:rPr>
          <w:color w:val="181818"/>
          <w:sz w:val="20"/>
        </w:rPr>
        <w:t>and </w:t>
      </w:r>
      <w:r>
        <w:rPr>
          <w:color w:val="131313"/>
          <w:sz w:val="20"/>
        </w:rPr>
        <w:t>who </w:t>
      </w:r>
      <w:r>
        <w:rPr>
          <w:color w:val="313131"/>
          <w:sz w:val="20"/>
        </w:rPr>
        <w:t>is </w:t>
      </w:r>
      <w:r>
        <w:rPr>
          <w:color w:val="262626"/>
          <w:sz w:val="20"/>
        </w:rPr>
        <w:t>responsible </w:t>
      </w:r>
      <w:r>
        <w:rPr>
          <w:color w:val="1C1C1C"/>
          <w:sz w:val="20"/>
        </w:rPr>
        <w:t>for</w:t>
      </w:r>
      <w:r>
        <w:rPr>
          <w:color w:val="1C1C1C"/>
          <w:spacing w:val="35"/>
          <w:sz w:val="20"/>
        </w:rPr>
        <w:t> </w:t>
      </w:r>
      <w:r>
        <w:rPr>
          <w:color w:val="212121"/>
          <w:sz w:val="20"/>
        </w:rPr>
        <w:t>what;</w:t>
      </w:r>
    </w:p>
    <w:p>
      <w:pPr>
        <w:pStyle w:val="ListParagraph"/>
        <w:numPr>
          <w:ilvl w:val="0"/>
          <w:numId w:val="10"/>
        </w:numPr>
        <w:tabs>
          <w:tab w:pos="1245" w:val="left" w:leader="none"/>
        </w:tabs>
        <w:spacing w:line="225" w:lineRule="exact" w:before="0" w:after="0"/>
        <w:ind w:left="1244" w:right="0" w:hanging="115"/>
        <w:jc w:val="left"/>
        <w:rPr>
          <w:color w:val="363636"/>
          <w:sz w:val="20"/>
        </w:rPr>
      </w:pPr>
      <w:r>
        <w:rPr>
          <w:color w:val="3A3A3A"/>
          <w:sz w:val="20"/>
        </w:rPr>
        <w:t>How </w:t>
      </w:r>
      <w:r>
        <w:rPr>
          <w:color w:val="1A1A1A"/>
          <w:sz w:val="20"/>
        </w:rPr>
        <w:t>to </w:t>
      </w:r>
      <w:r>
        <w:rPr>
          <w:color w:val="181818"/>
          <w:sz w:val="20"/>
        </w:rPr>
        <w:t>prepare </w:t>
      </w:r>
      <w:r>
        <w:rPr>
          <w:color w:val="3F3F3F"/>
          <w:sz w:val="20"/>
        </w:rPr>
        <w:t>for </w:t>
      </w:r>
      <w:r>
        <w:rPr>
          <w:color w:val="2B2B2B"/>
          <w:sz w:val="20"/>
        </w:rPr>
        <w:t>flooding</w:t>
      </w:r>
      <w:r>
        <w:rPr>
          <w:color w:val="2B2B2B"/>
          <w:spacing w:val="20"/>
          <w:sz w:val="20"/>
        </w:rPr>
        <w:t> </w:t>
      </w:r>
      <w:r>
        <w:rPr>
          <w:color w:val="232323"/>
          <w:sz w:val="20"/>
        </w:rPr>
        <w:t>emergencies;</w:t>
      </w:r>
    </w:p>
    <w:p>
      <w:pPr>
        <w:pStyle w:val="ListParagraph"/>
        <w:numPr>
          <w:ilvl w:val="0"/>
          <w:numId w:val="10"/>
        </w:numPr>
        <w:tabs>
          <w:tab w:pos="1249" w:val="left" w:leader="none"/>
        </w:tabs>
        <w:spacing w:line="225" w:lineRule="exact" w:before="10" w:after="0"/>
        <w:ind w:left="1248" w:right="0" w:hanging="119"/>
        <w:jc w:val="left"/>
        <w:rPr>
          <w:color w:val="2D2D2D"/>
          <w:sz w:val="20"/>
        </w:rPr>
      </w:pPr>
      <w:r>
        <w:rPr>
          <w:color w:val="282828"/>
          <w:sz w:val="20"/>
        </w:rPr>
        <w:t>What </w:t>
      </w:r>
      <w:r>
        <w:rPr>
          <w:color w:val="1C1C1C"/>
          <w:sz w:val="20"/>
        </w:rPr>
        <w:t>to do </w:t>
      </w:r>
      <w:r>
        <w:rPr>
          <w:color w:val="242424"/>
          <w:sz w:val="20"/>
        </w:rPr>
        <w:t>when flooding </w:t>
      </w:r>
      <w:r>
        <w:rPr>
          <w:color w:val="262626"/>
          <w:sz w:val="20"/>
        </w:rPr>
        <w:t>occurs </w:t>
      </w:r>
      <w:r>
        <w:rPr>
          <w:color w:val="1D1D1D"/>
          <w:sz w:val="20"/>
        </w:rPr>
        <w:t>and </w:t>
      </w:r>
      <w:r>
        <w:rPr>
          <w:color w:val="262626"/>
          <w:sz w:val="20"/>
        </w:rPr>
        <w:t>who to </w:t>
      </w:r>
      <w:r>
        <w:rPr>
          <w:color w:val="282828"/>
          <w:sz w:val="20"/>
        </w:rPr>
        <w:t>report </w:t>
      </w:r>
      <w:r>
        <w:rPr>
          <w:color w:val="232323"/>
          <w:sz w:val="20"/>
        </w:rPr>
        <w:t>this </w:t>
      </w:r>
      <w:r>
        <w:rPr>
          <w:color w:val="1D1D1D"/>
          <w:sz w:val="20"/>
        </w:rPr>
        <w:t>to,</w:t>
      </w:r>
      <w:r>
        <w:rPr>
          <w:color w:val="1D1D1D"/>
          <w:spacing w:val="29"/>
          <w:sz w:val="20"/>
        </w:rPr>
        <w:t> </w:t>
      </w:r>
      <w:r>
        <w:rPr>
          <w:color w:val="1F1F1F"/>
          <w:sz w:val="20"/>
        </w:rPr>
        <w:t>and</w:t>
      </w:r>
    </w:p>
    <w:p>
      <w:pPr>
        <w:pStyle w:val="ListParagraph"/>
        <w:numPr>
          <w:ilvl w:val="0"/>
          <w:numId w:val="10"/>
        </w:numPr>
        <w:tabs>
          <w:tab w:pos="1245" w:val="left" w:leader="none"/>
        </w:tabs>
        <w:spacing w:line="225" w:lineRule="exact" w:before="0" w:after="0"/>
        <w:ind w:left="1244" w:right="0" w:hanging="115"/>
        <w:jc w:val="left"/>
        <w:rPr>
          <w:color w:val="363636"/>
          <w:sz w:val="20"/>
        </w:rPr>
      </w:pPr>
      <w:r>
        <w:rPr>
          <w:color w:val="383838"/>
          <w:sz w:val="20"/>
        </w:rPr>
        <w:t>How </w:t>
      </w:r>
      <w:r>
        <w:rPr>
          <w:color w:val="212121"/>
          <w:sz w:val="20"/>
        </w:rPr>
        <w:t>flood </w:t>
      </w:r>
      <w:r>
        <w:rPr>
          <w:color w:val="232323"/>
          <w:sz w:val="20"/>
        </w:rPr>
        <w:t>risk </w:t>
      </w:r>
      <w:r>
        <w:rPr>
          <w:color w:val="242424"/>
          <w:sz w:val="20"/>
        </w:rPr>
        <w:t>is treated </w:t>
      </w:r>
      <w:r>
        <w:rPr>
          <w:color w:val="282828"/>
          <w:sz w:val="20"/>
        </w:rPr>
        <w:t>within </w:t>
      </w:r>
      <w:r>
        <w:rPr>
          <w:color w:val="1A1A1A"/>
          <w:sz w:val="20"/>
        </w:rPr>
        <w:t>the </w:t>
      </w:r>
      <w:r>
        <w:rPr>
          <w:color w:val="242424"/>
          <w:sz w:val="20"/>
        </w:rPr>
        <w:t>planning</w:t>
      </w:r>
      <w:r>
        <w:rPr>
          <w:color w:val="242424"/>
          <w:spacing w:val="20"/>
          <w:sz w:val="20"/>
        </w:rPr>
        <w:t> </w:t>
      </w:r>
      <w:r>
        <w:rPr>
          <w:color w:val="232323"/>
          <w:sz w:val="20"/>
        </w:rPr>
        <w:t>process.</w:t>
      </w:r>
    </w:p>
    <w:p>
      <w:pPr>
        <w:pStyle w:val="BodyText"/>
        <w:spacing w:before="8"/>
        <w:rPr>
          <w:sz w:val="21"/>
        </w:rPr>
      </w:pPr>
    </w:p>
    <w:p>
      <w:pPr>
        <w:spacing w:before="0"/>
        <w:ind w:left="1134" w:right="0" w:firstLine="5"/>
        <w:jc w:val="left"/>
        <w:rPr>
          <w:sz w:val="20"/>
        </w:rPr>
      </w:pPr>
      <w:r>
        <w:rPr>
          <w:color w:val="282828"/>
          <w:sz w:val="20"/>
        </w:rPr>
        <w:t>Develop</w:t>
      </w:r>
      <w:r>
        <w:rPr>
          <w:color w:val="282828"/>
          <w:spacing w:val="-3"/>
          <w:sz w:val="20"/>
        </w:rPr>
        <w:t> </w:t>
      </w:r>
      <w:r>
        <w:rPr>
          <w:color w:val="2D2D2D"/>
          <w:sz w:val="20"/>
        </w:rPr>
        <w:t>register</w:t>
      </w:r>
      <w:r>
        <w:rPr>
          <w:color w:val="2D2D2D"/>
          <w:spacing w:val="3"/>
          <w:sz w:val="20"/>
        </w:rPr>
        <w:t> </w:t>
      </w:r>
      <w:r>
        <w:rPr>
          <w:color w:val="313131"/>
          <w:sz w:val="20"/>
        </w:rPr>
        <w:t>of</w:t>
      </w:r>
      <w:r>
        <w:rPr>
          <w:color w:val="313131"/>
          <w:spacing w:val="-15"/>
          <w:sz w:val="20"/>
        </w:rPr>
        <w:t> </w:t>
      </w:r>
      <w:r>
        <w:rPr>
          <w:color w:val="1A1A1A"/>
          <w:sz w:val="20"/>
        </w:rPr>
        <w:t>structures</w:t>
      </w:r>
      <w:r>
        <w:rPr>
          <w:color w:val="1A1A1A"/>
          <w:spacing w:val="-1"/>
          <w:sz w:val="20"/>
        </w:rPr>
        <w:t> </w:t>
      </w:r>
      <w:r>
        <w:rPr>
          <w:color w:val="242424"/>
          <w:sz w:val="20"/>
        </w:rPr>
        <w:t>and</w:t>
      </w:r>
      <w:r>
        <w:rPr>
          <w:color w:val="242424"/>
          <w:spacing w:val="-13"/>
          <w:sz w:val="20"/>
        </w:rPr>
        <w:t> </w:t>
      </w:r>
      <w:r>
        <w:rPr>
          <w:color w:val="2B2B2B"/>
          <w:sz w:val="20"/>
        </w:rPr>
        <w:t>features</w:t>
      </w:r>
      <w:r>
        <w:rPr>
          <w:color w:val="2B2B2B"/>
          <w:spacing w:val="2"/>
          <w:sz w:val="20"/>
        </w:rPr>
        <w:t> </w:t>
      </w:r>
      <w:r>
        <w:rPr>
          <w:color w:val="262626"/>
          <w:sz w:val="20"/>
        </w:rPr>
        <w:t>which</w:t>
      </w:r>
      <w:r>
        <w:rPr>
          <w:color w:val="262626"/>
          <w:spacing w:val="1"/>
          <w:sz w:val="20"/>
        </w:rPr>
        <w:t> </w:t>
      </w:r>
      <w:r>
        <w:rPr>
          <w:color w:val="1F1F1F"/>
          <w:sz w:val="20"/>
        </w:rPr>
        <w:t>are</w:t>
      </w:r>
      <w:r>
        <w:rPr>
          <w:color w:val="1F1F1F"/>
          <w:spacing w:val="-8"/>
          <w:sz w:val="20"/>
        </w:rPr>
        <w:t> </w:t>
      </w:r>
      <w:r>
        <w:rPr>
          <w:color w:val="1F1F1F"/>
          <w:sz w:val="20"/>
        </w:rPr>
        <w:t>likely</w:t>
      </w:r>
      <w:r>
        <w:rPr>
          <w:color w:val="1F1F1F"/>
          <w:spacing w:val="1"/>
          <w:sz w:val="20"/>
        </w:rPr>
        <w:t> </w:t>
      </w:r>
      <w:r>
        <w:rPr>
          <w:color w:val="212121"/>
          <w:sz w:val="20"/>
        </w:rPr>
        <w:t>to</w:t>
      </w:r>
      <w:r>
        <w:rPr>
          <w:color w:val="212121"/>
          <w:spacing w:val="-9"/>
          <w:sz w:val="20"/>
        </w:rPr>
        <w:t> </w:t>
      </w:r>
      <w:r>
        <w:rPr>
          <w:color w:val="242424"/>
          <w:sz w:val="20"/>
        </w:rPr>
        <w:t>have</w:t>
      </w:r>
      <w:r>
        <w:rPr>
          <w:color w:val="242424"/>
          <w:spacing w:val="-1"/>
          <w:sz w:val="20"/>
        </w:rPr>
        <w:t> </w:t>
      </w:r>
      <w:r>
        <w:rPr>
          <w:color w:val="3A3A3A"/>
          <w:sz w:val="20"/>
        </w:rPr>
        <w:t>a</w:t>
      </w:r>
      <w:r>
        <w:rPr>
          <w:color w:val="3A3A3A"/>
          <w:spacing w:val="-13"/>
          <w:sz w:val="20"/>
        </w:rPr>
        <w:t> </w:t>
      </w:r>
      <w:r>
        <w:rPr>
          <w:color w:val="2A2A2A"/>
          <w:sz w:val="20"/>
        </w:rPr>
        <w:t>significant</w:t>
      </w:r>
      <w:r>
        <w:rPr>
          <w:color w:val="2A2A2A"/>
          <w:spacing w:val="12"/>
          <w:sz w:val="20"/>
        </w:rPr>
        <w:t> </w:t>
      </w:r>
      <w:r>
        <w:rPr>
          <w:color w:val="212121"/>
          <w:sz w:val="20"/>
        </w:rPr>
        <w:t>effect</w:t>
      </w:r>
      <w:r>
        <w:rPr>
          <w:color w:val="212121"/>
          <w:spacing w:val="-4"/>
          <w:sz w:val="20"/>
        </w:rPr>
        <w:t> </w:t>
      </w:r>
      <w:r>
        <w:rPr>
          <w:color w:val="2A2A2A"/>
          <w:sz w:val="20"/>
        </w:rPr>
        <w:t>on </w:t>
      </w:r>
      <w:r>
        <w:rPr>
          <w:color w:val="2D2D2D"/>
          <w:sz w:val="20"/>
        </w:rPr>
        <w:t>flood</w:t>
      </w:r>
      <w:r>
        <w:rPr>
          <w:color w:val="2D2D2D"/>
          <w:spacing w:val="10"/>
          <w:sz w:val="20"/>
        </w:rPr>
        <w:t> </w:t>
      </w:r>
      <w:r>
        <w:rPr>
          <w:color w:val="212121"/>
          <w:sz w:val="20"/>
        </w:rPr>
        <w:t>risk.</w:t>
      </w:r>
    </w:p>
    <w:p>
      <w:pPr>
        <w:pStyle w:val="BodyText"/>
        <w:spacing w:before="11"/>
        <w:rPr>
          <w:sz w:val="20"/>
        </w:rPr>
      </w:pPr>
    </w:p>
    <w:p>
      <w:pPr>
        <w:spacing w:line="501" w:lineRule="auto" w:before="0"/>
        <w:ind w:left="1133" w:right="153" w:firstLine="3"/>
        <w:jc w:val="left"/>
        <w:rPr>
          <w:sz w:val="20"/>
        </w:rPr>
      </w:pPr>
      <w:r>
        <w:rPr>
          <w:color w:val="232323"/>
          <w:sz w:val="20"/>
        </w:rPr>
        <w:t>Identify </w:t>
      </w:r>
      <w:r>
        <w:rPr>
          <w:color w:val="1F1F1F"/>
          <w:sz w:val="20"/>
        </w:rPr>
        <w:t>locations </w:t>
      </w:r>
      <w:r>
        <w:rPr>
          <w:color w:val="232323"/>
          <w:sz w:val="20"/>
        </w:rPr>
        <w:t>where </w:t>
      </w:r>
      <w:r>
        <w:rPr>
          <w:color w:val="1F1F1F"/>
          <w:sz w:val="20"/>
        </w:rPr>
        <w:t>culverts </w:t>
      </w:r>
      <w:r>
        <w:rPr>
          <w:color w:val="2A2A2A"/>
          <w:sz w:val="20"/>
        </w:rPr>
        <w:t>can </w:t>
      </w:r>
      <w:r>
        <w:rPr>
          <w:color w:val="232323"/>
          <w:sz w:val="20"/>
        </w:rPr>
        <w:t>be </w:t>
      </w:r>
      <w:r>
        <w:rPr>
          <w:color w:val="1F1F1F"/>
          <w:sz w:val="20"/>
        </w:rPr>
        <w:t>removed </w:t>
      </w:r>
      <w:r>
        <w:rPr>
          <w:color w:val="2F2F2F"/>
          <w:sz w:val="20"/>
        </w:rPr>
        <w:t>or </w:t>
      </w:r>
      <w:r>
        <w:rPr>
          <w:color w:val="1F1F1F"/>
          <w:sz w:val="20"/>
        </w:rPr>
        <w:t>improved </w:t>
      </w:r>
      <w:r>
        <w:rPr>
          <w:color w:val="232323"/>
          <w:sz w:val="20"/>
        </w:rPr>
        <w:t>through </w:t>
      </w:r>
      <w:r>
        <w:rPr>
          <w:color w:val="1F1F1F"/>
          <w:sz w:val="20"/>
        </w:rPr>
        <w:t>redevelopm </w:t>
      </w:r>
      <w:r>
        <w:rPr>
          <w:color w:val="232323"/>
          <w:sz w:val="20"/>
        </w:rPr>
        <w:t>ent. </w:t>
      </w:r>
      <w:r>
        <w:rPr>
          <w:color w:val="282828"/>
          <w:sz w:val="20"/>
        </w:rPr>
        <w:t>Watercourse </w:t>
      </w:r>
      <w:r>
        <w:rPr>
          <w:color w:val="242424"/>
          <w:sz w:val="20"/>
        </w:rPr>
        <w:t>and </w:t>
      </w:r>
      <w:r>
        <w:rPr>
          <w:color w:val="282828"/>
          <w:sz w:val="20"/>
        </w:rPr>
        <w:t>beck </w:t>
      </w:r>
      <w:r>
        <w:rPr>
          <w:color w:val="2A2A2A"/>
          <w:sz w:val="20"/>
        </w:rPr>
        <w:t>condition </w:t>
      </w:r>
      <w:r>
        <w:rPr>
          <w:color w:val="1F1F1F"/>
          <w:sz w:val="20"/>
        </w:rPr>
        <w:t>surveys.</w:t>
      </w:r>
    </w:p>
    <w:p>
      <w:pPr>
        <w:spacing w:before="94"/>
        <w:ind w:left="670" w:right="0" w:firstLine="0"/>
        <w:jc w:val="left"/>
        <w:rPr>
          <w:sz w:val="20"/>
        </w:rPr>
      </w:pPr>
      <w:r>
        <w:rPr/>
        <w:br w:type="column"/>
      </w:r>
      <w:r>
        <w:rPr>
          <w:color w:val="282828"/>
          <w:sz w:val="20"/>
        </w:rPr>
        <w:t>Annually</w:t>
      </w:r>
    </w:p>
    <w:p>
      <w:pPr>
        <w:pStyle w:val="BodyText"/>
        <w:rPr>
          <w:sz w:val="22"/>
        </w:rPr>
      </w:pPr>
    </w:p>
    <w:p>
      <w:pPr>
        <w:pStyle w:val="BodyText"/>
        <w:rPr>
          <w:sz w:val="22"/>
        </w:rPr>
      </w:pPr>
    </w:p>
    <w:p>
      <w:pPr>
        <w:pStyle w:val="BodyText"/>
        <w:spacing w:before="11"/>
        <w:rPr>
          <w:sz w:val="26"/>
        </w:rPr>
      </w:pPr>
    </w:p>
    <w:p>
      <w:pPr>
        <w:spacing w:before="0"/>
        <w:ind w:left="670" w:right="0" w:firstLine="0"/>
        <w:jc w:val="left"/>
        <w:rPr>
          <w:sz w:val="20"/>
        </w:rPr>
      </w:pPr>
      <w:r>
        <w:rPr>
          <w:color w:val="232323"/>
          <w:sz w:val="20"/>
        </w:rPr>
        <w:t>Annually</w:t>
      </w:r>
    </w:p>
    <w:p>
      <w:pPr>
        <w:pStyle w:val="BodyText"/>
        <w:rPr>
          <w:sz w:val="22"/>
        </w:rPr>
      </w:pPr>
    </w:p>
    <w:p>
      <w:pPr>
        <w:pStyle w:val="BodyText"/>
        <w:rPr>
          <w:sz w:val="22"/>
        </w:rPr>
      </w:pPr>
    </w:p>
    <w:p>
      <w:pPr>
        <w:pStyle w:val="BodyText"/>
        <w:rPr>
          <w:sz w:val="22"/>
        </w:rPr>
      </w:pPr>
    </w:p>
    <w:p>
      <w:pPr>
        <w:spacing w:before="182"/>
        <w:ind w:left="669" w:right="0" w:firstLine="0"/>
        <w:jc w:val="left"/>
        <w:rPr>
          <w:sz w:val="20"/>
        </w:rPr>
      </w:pPr>
      <w:r>
        <w:rPr>
          <w:color w:val="2A2A2A"/>
          <w:sz w:val="20"/>
        </w:rPr>
        <w:t>Continual</w:t>
      </w:r>
    </w:p>
    <w:p>
      <w:pPr>
        <w:pStyle w:val="BodyText"/>
        <w:spacing w:before="11"/>
        <w:rPr>
          <w:sz w:val="30"/>
        </w:rPr>
      </w:pPr>
    </w:p>
    <w:p>
      <w:pPr>
        <w:spacing w:line="501" w:lineRule="auto" w:before="0"/>
        <w:ind w:left="669" w:right="0" w:firstLine="0"/>
        <w:jc w:val="left"/>
        <w:rPr>
          <w:sz w:val="20"/>
        </w:rPr>
      </w:pPr>
      <w:r>
        <w:rPr>
          <w:color w:val="232323"/>
          <w:w w:val="95"/>
          <w:sz w:val="20"/>
        </w:rPr>
        <w:t>Continual </w:t>
      </w:r>
      <w:r>
        <w:rPr>
          <w:color w:val="262626"/>
          <w:w w:val="95"/>
          <w:sz w:val="20"/>
        </w:rPr>
        <w:t>Continual</w:t>
      </w:r>
    </w:p>
    <w:p>
      <w:pPr>
        <w:spacing w:after="0" w:line="501" w:lineRule="auto"/>
        <w:jc w:val="left"/>
        <w:rPr>
          <w:sz w:val="20"/>
        </w:rPr>
        <w:sectPr>
          <w:type w:val="continuous"/>
          <w:pgSz w:w="11920" w:h="16850"/>
          <w:pgMar w:top="1220" w:bottom="0" w:left="400" w:right="540"/>
          <w:cols w:num="2" w:equalWidth="0">
            <w:col w:w="8969" w:space="40"/>
            <w:col w:w="1971"/>
          </w:cols>
        </w:sectPr>
      </w:pPr>
    </w:p>
    <w:p>
      <w:pPr>
        <w:tabs>
          <w:tab w:pos="9678" w:val="left" w:leader="none"/>
        </w:tabs>
        <w:spacing w:line="215" w:lineRule="exact" w:before="0"/>
        <w:ind w:left="1136" w:right="0" w:firstLine="0"/>
        <w:jc w:val="left"/>
        <w:rPr>
          <w:sz w:val="20"/>
        </w:rPr>
      </w:pPr>
      <w:r>
        <w:rPr>
          <w:color w:val="2A2A2A"/>
          <w:sz w:val="20"/>
        </w:rPr>
        <w:t>Improve </w:t>
      </w:r>
      <w:r>
        <w:rPr>
          <w:color w:val="1C1C1C"/>
          <w:sz w:val="20"/>
        </w:rPr>
        <w:t>communications, </w:t>
      </w:r>
      <w:r>
        <w:rPr>
          <w:color w:val="262626"/>
          <w:sz w:val="20"/>
        </w:rPr>
        <w:t>engagement </w:t>
      </w:r>
      <w:r>
        <w:rPr>
          <w:color w:val="313131"/>
          <w:sz w:val="20"/>
        </w:rPr>
        <w:t>and </w:t>
      </w:r>
      <w:r>
        <w:rPr>
          <w:color w:val="232323"/>
          <w:sz w:val="20"/>
        </w:rPr>
        <w:t>coordination </w:t>
      </w:r>
      <w:r>
        <w:rPr>
          <w:color w:val="363636"/>
          <w:sz w:val="20"/>
        </w:rPr>
        <w:t>of </w:t>
      </w:r>
      <w:r>
        <w:rPr>
          <w:color w:val="1F1F1F"/>
          <w:sz w:val="20"/>
        </w:rPr>
        <w:t>activities </w:t>
      </w:r>
      <w:r>
        <w:rPr>
          <w:color w:val="313131"/>
          <w:sz w:val="20"/>
        </w:rPr>
        <w:t>with </w:t>
      </w:r>
      <w:r>
        <w:rPr>
          <w:color w:val="262626"/>
          <w:sz w:val="20"/>
        </w:rPr>
        <w:t>internal</w:t>
      </w:r>
      <w:r>
        <w:rPr>
          <w:color w:val="262626"/>
          <w:spacing w:val="-30"/>
          <w:sz w:val="20"/>
        </w:rPr>
        <w:t> </w:t>
      </w:r>
      <w:r>
        <w:rPr>
          <w:color w:val="282828"/>
          <w:sz w:val="20"/>
        </w:rPr>
        <w:t>and</w:t>
      </w:r>
      <w:r>
        <w:rPr>
          <w:color w:val="282828"/>
          <w:spacing w:val="-11"/>
          <w:sz w:val="20"/>
        </w:rPr>
        <w:t> </w:t>
      </w:r>
      <w:r>
        <w:rPr>
          <w:color w:val="262626"/>
          <w:sz w:val="20"/>
        </w:rPr>
        <w:t>external</w:t>
        <w:tab/>
      </w:r>
      <w:r>
        <w:rPr>
          <w:color w:val="1C1C1C"/>
          <w:sz w:val="20"/>
        </w:rPr>
        <w:t>Continual</w:t>
      </w:r>
    </w:p>
    <w:p>
      <w:pPr>
        <w:spacing w:line="237" w:lineRule="exact" w:before="0"/>
        <w:ind w:left="1131" w:right="0" w:firstLine="0"/>
        <w:jc w:val="left"/>
        <w:rPr>
          <w:sz w:val="21"/>
        </w:rPr>
      </w:pPr>
      <w:r>
        <w:rPr>
          <w:color w:val="232323"/>
          <w:sz w:val="21"/>
        </w:rPr>
        <w:t>partners </w:t>
      </w:r>
      <w:r>
        <w:rPr>
          <w:color w:val="262626"/>
          <w:sz w:val="21"/>
        </w:rPr>
        <w:t>(including </w:t>
      </w:r>
      <w:r>
        <w:rPr>
          <w:color w:val="2F2F2F"/>
          <w:sz w:val="21"/>
        </w:rPr>
        <w:t>RMAs).</w:t>
      </w:r>
    </w:p>
    <w:p>
      <w:pPr>
        <w:pStyle w:val="BodyText"/>
        <w:spacing w:before="6"/>
        <w:rPr>
          <w:sz w:val="12"/>
        </w:rPr>
      </w:pPr>
    </w:p>
    <w:p>
      <w:pPr>
        <w:spacing w:after="0"/>
        <w:rPr>
          <w:sz w:val="12"/>
        </w:rPr>
        <w:sectPr>
          <w:type w:val="continuous"/>
          <w:pgSz w:w="11920" w:h="16850"/>
          <w:pgMar w:top="1220" w:bottom="0" w:left="400" w:right="540"/>
        </w:sectPr>
      </w:pPr>
    </w:p>
    <w:p>
      <w:pPr>
        <w:spacing w:line="501" w:lineRule="auto" w:before="94"/>
        <w:ind w:left="1136" w:right="941" w:firstLine="0"/>
        <w:jc w:val="left"/>
        <w:rPr>
          <w:sz w:val="20"/>
        </w:rPr>
      </w:pPr>
      <w:r>
        <w:rPr>
          <w:color w:val="1F1F1F"/>
          <w:sz w:val="20"/>
        </w:rPr>
        <w:t>Investigate opportunities </w:t>
      </w:r>
      <w:r>
        <w:rPr>
          <w:color w:val="242424"/>
          <w:sz w:val="20"/>
        </w:rPr>
        <w:t>to </w:t>
      </w:r>
      <w:r>
        <w:rPr>
          <w:color w:val="232323"/>
          <w:sz w:val="20"/>
        </w:rPr>
        <w:t>reduce </w:t>
      </w:r>
      <w:r>
        <w:rPr>
          <w:color w:val="212121"/>
          <w:sz w:val="20"/>
        </w:rPr>
        <w:t>carbon </w:t>
      </w:r>
      <w:r>
        <w:rPr>
          <w:color w:val="313131"/>
          <w:sz w:val="20"/>
        </w:rPr>
        <w:t>from </w:t>
      </w:r>
      <w:r>
        <w:rPr>
          <w:color w:val="1D1D1D"/>
          <w:sz w:val="20"/>
        </w:rPr>
        <w:t>pump </w:t>
      </w:r>
      <w:r>
        <w:rPr>
          <w:color w:val="1F1F1F"/>
          <w:sz w:val="20"/>
        </w:rPr>
        <w:t>operations. </w:t>
      </w:r>
      <w:r>
        <w:rPr>
          <w:color w:val="1A1A1A"/>
          <w:sz w:val="20"/>
        </w:rPr>
        <w:t>Implement </w:t>
      </w:r>
      <w:r>
        <w:rPr>
          <w:i/>
          <w:color w:val="1C1C1C"/>
          <w:sz w:val="20"/>
        </w:rPr>
        <w:t>SuDS </w:t>
      </w:r>
      <w:r>
        <w:rPr>
          <w:color w:val="1C1C1C"/>
          <w:sz w:val="20"/>
        </w:rPr>
        <w:t>through </w:t>
      </w:r>
      <w:r>
        <w:rPr>
          <w:color w:val="282828"/>
          <w:sz w:val="20"/>
        </w:rPr>
        <w:t>Planning.</w:t>
      </w:r>
    </w:p>
    <w:p>
      <w:pPr>
        <w:spacing w:line="219" w:lineRule="exact" w:before="0"/>
        <w:ind w:left="1139" w:right="0" w:firstLine="0"/>
        <w:jc w:val="left"/>
        <w:rPr>
          <w:sz w:val="20"/>
        </w:rPr>
      </w:pPr>
      <w:r>
        <w:rPr>
          <w:color w:val="282828"/>
          <w:sz w:val="20"/>
        </w:rPr>
        <w:t>Engagement </w:t>
      </w:r>
      <w:r>
        <w:rPr>
          <w:color w:val="2D2D2D"/>
          <w:sz w:val="20"/>
        </w:rPr>
        <w:t>and </w:t>
      </w:r>
      <w:r>
        <w:rPr>
          <w:color w:val="212121"/>
          <w:sz w:val="20"/>
        </w:rPr>
        <w:t>communication </w:t>
      </w:r>
      <w:r>
        <w:rPr>
          <w:color w:val="0F0F0F"/>
          <w:sz w:val="20"/>
        </w:rPr>
        <w:t>with </w:t>
      </w:r>
      <w:r>
        <w:rPr>
          <w:color w:val="232323"/>
          <w:sz w:val="20"/>
        </w:rPr>
        <w:t>public </w:t>
      </w:r>
      <w:r>
        <w:rPr>
          <w:color w:val="313131"/>
          <w:sz w:val="20"/>
        </w:rPr>
        <w:t>on </w:t>
      </w:r>
      <w:r>
        <w:rPr>
          <w:color w:val="333333"/>
          <w:sz w:val="20"/>
        </w:rPr>
        <w:t>FRM </w:t>
      </w:r>
      <w:r>
        <w:rPr>
          <w:color w:val="1F1F1F"/>
          <w:sz w:val="20"/>
        </w:rPr>
        <w:t>issues; </w:t>
      </w:r>
      <w:r>
        <w:rPr>
          <w:color w:val="232323"/>
          <w:sz w:val="20"/>
        </w:rPr>
        <w:t>such as:</w:t>
      </w:r>
    </w:p>
    <w:p>
      <w:pPr>
        <w:pStyle w:val="ListParagraph"/>
        <w:numPr>
          <w:ilvl w:val="0"/>
          <w:numId w:val="10"/>
        </w:numPr>
        <w:tabs>
          <w:tab w:pos="1247" w:val="left" w:leader="none"/>
        </w:tabs>
        <w:spacing w:line="225" w:lineRule="exact" w:before="0" w:after="0"/>
        <w:ind w:left="1131" w:right="0" w:hanging="2"/>
        <w:jc w:val="left"/>
        <w:rPr>
          <w:color w:val="363636"/>
          <w:sz w:val="20"/>
        </w:rPr>
      </w:pPr>
      <w:r>
        <w:rPr>
          <w:color w:val="1A1A1A"/>
          <w:sz w:val="20"/>
        </w:rPr>
        <w:t>Targeted </w:t>
      </w:r>
      <w:r>
        <w:rPr>
          <w:color w:val="1C1C1C"/>
          <w:sz w:val="20"/>
        </w:rPr>
        <w:t>‘flood </w:t>
      </w:r>
      <w:r>
        <w:rPr>
          <w:color w:val="282828"/>
          <w:sz w:val="20"/>
        </w:rPr>
        <w:t>fairs’ </w:t>
      </w:r>
      <w:r>
        <w:rPr>
          <w:color w:val="242424"/>
          <w:sz w:val="20"/>
        </w:rPr>
        <w:t>held </w:t>
      </w:r>
      <w:r>
        <w:rPr>
          <w:color w:val="343434"/>
          <w:sz w:val="20"/>
        </w:rPr>
        <w:t>in </w:t>
      </w:r>
      <w:r>
        <w:rPr>
          <w:color w:val="1D1D1D"/>
          <w:sz w:val="20"/>
        </w:rPr>
        <w:t>at-risk </w:t>
      </w:r>
      <w:r>
        <w:rPr>
          <w:color w:val="212121"/>
          <w:sz w:val="20"/>
        </w:rPr>
        <w:t>locations </w:t>
      </w:r>
      <w:r>
        <w:rPr>
          <w:color w:val="1F1F1F"/>
          <w:sz w:val="20"/>
        </w:rPr>
        <w:t>highlighting </w:t>
      </w:r>
      <w:r>
        <w:rPr>
          <w:color w:val="2A2A2A"/>
          <w:sz w:val="20"/>
        </w:rPr>
        <w:t>flood </w:t>
      </w:r>
      <w:r>
        <w:rPr>
          <w:color w:val="1C1C1C"/>
          <w:sz w:val="20"/>
        </w:rPr>
        <w:t>protection</w:t>
      </w:r>
      <w:r>
        <w:rPr>
          <w:color w:val="1C1C1C"/>
          <w:spacing w:val="-17"/>
          <w:sz w:val="20"/>
        </w:rPr>
        <w:t> </w:t>
      </w:r>
      <w:r>
        <w:rPr>
          <w:color w:val="181818"/>
          <w:sz w:val="20"/>
        </w:rPr>
        <w:t>products;</w:t>
      </w:r>
    </w:p>
    <w:p>
      <w:pPr>
        <w:pStyle w:val="ListParagraph"/>
        <w:numPr>
          <w:ilvl w:val="0"/>
          <w:numId w:val="10"/>
        </w:numPr>
        <w:tabs>
          <w:tab w:pos="1249" w:val="left" w:leader="none"/>
        </w:tabs>
        <w:spacing w:line="228" w:lineRule="auto" w:before="6" w:after="0"/>
        <w:ind w:left="1131" w:right="0" w:hanging="2"/>
        <w:jc w:val="left"/>
        <w:rPr>
          <w:color w:val="363636"/>
          <w:sz w:val="21"/>
        </w:rPr>
      </w:pPr>
      <w:r>
        <w:rPr>
          <w:color w:val="212121"/>
          <w:w w:val="95"/>
          <w:sz w:val="21"/>
        </w:rPr>
        <w:t>Wider </w:t>
      </w:r>
      <w:r>
        <w:rPr>
          <w:color w:val="1A1A1A"/>
          <w:w w:val="95"/>
          <w:sz w:val="21"/>
        </w:rPr>
        <w:t>public </w:t>
      </w:r>
      <w:r>
        <w:rPr>
          <w:color w:val="181818"/>
          <w:w w:val="95"/>
          <w:sz w:val="21"/>
        </w:rPr>
        <w:t>information </w:t>
      </w:r>
      <w:r>
        <w:rPr>
          <w:color w:val="1F1F1F"/>
          <w:w w:val="95"/>
          <w:sz w:val="21"/>
        </w:rPr>
        <w:t>campaigns </w:t>
      </w:r>
      <w:r>
        <w:rPr>
          <w:color w:val="2D2D2D"/>
          <w:w w:val="95"/>
          <w:sz w:val="21"/>
        </w:rPr>
        <w:t>for </w:t>
      </w:r>
      <w:r>
        <w:rPr>
          <w:color w:val="212121"/>
          <w:w w:val="95"/>
          <w:sz w:val="21"/>
        </w:rPr>
        <w:t>at-risk households </w:t>
      </w:r>
      <w:r>
        <w:rPr>
          <w:color w:val="232323"/>
          <w:w w:val="95"/>
          <w:sz w:val="21"/>
        </w:rPr>
        <w:t>drawing </w:t>
      </w:r>
      <w:r>
        <w:rPr>
          <w:color w:val="1C1C1C"/>
          <w:w w:val="95"/>
          <w:sz w:val="21"/>
        </w:rPr>
        <w:t>attention </w:t>
      </w:r>
      <w:r>
        <w:rPr>
          <w:color w:val="212121"/>
          <w:w w:val="95"/>
          <w:sz w:val="21"/>
        </w:rPr>
        <w:t>to </w:t>
      </w:r>
      <w:r>
        <w:rPr>
          <w:color w:val="242424"/>
          <w:w w:val="95"/>
          <w:sz w:val="21"/>
        </w:rPr>
        <w:t>useful</w:t>
      </w:r>
      <w:r>
        <w:rPr>
          <w:color w:val="1D1D1D"/>
          <w:w w:val="95"/>
          <w:sz w:val="21"/>
        </w:rPr>
        <w:t> </w:t>
      </w:r>
      <w:r>
        <w:rPr>
          <w:color w:val="1D1D1D"/>
          <w:sz w:val="21"/>
        </w:rPr>
        <w:t>resources,</w:t>
      </w:r>
      <w:r>
        <w:rPr>
          <w:color w:val="1D1D1D"/>
          <w:spacing w:val="22"/>
          <w:sz w:val="21"/>
        </w:rPr>
        <w:t> </w:t>
      </w:r>
      <w:r>
        <w:rPr>
          <w:color w:val="232323"/>
          <w:sz w:val="21"/>
        </w:rPr>
        <w:t>and</w:t>
      </w:r>
    </w:p>
    <w:p>
      <w:pPr>
        <w:pStyle w:val="ListParagraph"/>
        <w:numPr>
          <w:ilvl w:val="0"/>
          <w:numId w:val="10"/>
        </w:numPr>
        <w:tabs>
          <w:tab w:pos="1255" w:val="left" w:leader="none"/>
        </w:tabs>
        <w:spacing w:line="240" w:lineRule="auto" w:before="1" w:after="0"/>
        <w:ind w:left="1254" w:right="0" w:hanging="125"/>
        <w:jc w:val="left"/>
        <w:rPr>
          <w:color w:val="383838"/>
          <w:sz w:val="20"/>
        </w:rPr>
      </w:pPr>
      <w:r>
        <w:rPr>
          <w:color w:val="1C1C1C"/>
          <w:sz w:val="20"/>
        </w:rPr>
        <w:t>Engagement </w:t>
      </w:r>
      <w:r>
        <w:rPr>
          <w:color w:val="282828"/>
          <w:sz w:val="20"/>
        </w:rPr>
        <w:t>with </w:t>
      </w:r>
      <w:r>
        <w:rPr>
          <w:color w:val="212121"/>
          <w:sz w:val="20"/>
        </w:rPr>
        <w:t>local </w:t>
      </w:r>
      <w:r>
        <w:rPr>
          <w:color w:val="232323"/>
          <w:sz w:val="20"/>
        </w:rPr>
        <w:t>flood </w:t>
      </w:r>
      <w:r>
        <w:rPr>
          <w:color w:val="1F1F1F"/>
          <w:sz w:val="20"/>
        </w:rPr>
        <w:t>action groups </w:t>
      </w:r>
      <w:r>
        <w:rPr>
          <w:color w:val="2A2A2A"/>
          <w:sz w:val="20"/>
        </w:rPr>
        <w:t>(EA </w:t>
      </w:r>
      <w:r>
        <w:rPr>
          <w:color w:val="262626"/>
          <w:sz w:val="20"/>
        </w:rPr>
        <w:t>and</w:t>
      </w:r>
      <w:r>
        <w:rPr>
          <w:color w:val="262626"/>
          <w:spacing w:val="-2"/>
          <w:sz w:val="20"/>
        </w:rPr>
        <w:t> </w:t>
      </w:r>
      <w:r>
        <w:rPr>
          <w:color w:val="1C1C1C"/>
          <w:sz w:val="20"/>
        </w:rPr>
        <w:t>RET).</w:t>
      </w:r>
    </w:p>
    <w:p>
      <w:pPr>
        <w:spacing w:line="496" w:lineRule="auto" w:before="94"/>
        <w:ind w:left="867" w:right="472" w:firstLine="0"/>
        <w:jc w:val="both"/>
        <w:rPr>
          <w:sz w:val="20"/>
        </w:rPr>
      </w:pPr>
      <w:r>
        <w:rPr/>
        <w:br w:type="column"/>
      </w:r>
      <w:r>
        <w:rPr>
          <w:color w:val="1F1F1F"/>
          <w:w w:val="95"/>
          <w:sz w:val="20"/>
        </w:rPr>
        <w:t>Continual </w:t>
      </w:r>
      <w:r>
        <w:rPr>
          <w:color w:val="232323"/>
          <w:w w:val="95"/>
          <w:sz w:val="20"/>
        </w:rPr>
        <w:t>Continual </w:t>
      </w:r>
      <w:r>
        <w:rPr>
          <w:color w:val="1C1C1C"/>
          <w:w w:val="95"/>
          <w:sz w:val="20"/>
        </w:rPr>
        <w:t>Continual</w:t>
      </w:r>
    </w:p>
    <w:p>
      <w:pPr>
        <w:spacing w:after="0" w:line="496" w:lineRule="auto"/>
        <w:jc w:val="both"/>
        <w:rPr>
          <w:sz w:val="20"/>
        </w:rPr>
        <w:sectPr>
          <w:type w:val="continuous"/>
          <w:pgSz w:w="11920" w:h="16850"/>
          <w:pgMar w:top="1220" w:bottom="0" w:left="400" w:right="540"/>
          <w:cols w:num="2" w:equalWidth="0">
            <w:col w:w="8772" w:space="40"/>
            <w:col w:w="2168"/>
          </w:cols>
        </w:sectPr>
      </w:pPr>
    </w:p>
    <w:p>
      <w:pPr>
        <w:pStyle w:val="BodyText"/>
        <w:spacing w:before="9"/>
        <w:rPr>
          <w:sz w:val="12"/>
        </w:rPr>
      </w:pPr>
    </w:p>
    <w:p>
      <w:pPr>
        <w:tabs>
          <w:tab w:pos="9678" w:val="left" w:leader="none"/>
        </w:tabs>
        <w:spacing w:line="225" w:lineRule="exact" w:before="94"/>
        <w:ind w:left="1140" w:right="0" w:firstLine="0"/>
        <w:jc w:val="left"/>
        <w:rPr>
          <w:sz w:val="20"/>
        </w:rPr>
      </w:pPr>
      <w:r>
        <w:rPr>
          <w:color w:val="151515"/>
          <w:sz w:val="20"/>
        </w:rPr>
        <w:t>Leeds </w:t>
      </w:r>
      <w:r>
        <w:rPr>
          <w:color w:val="232323"/>
          <w:sz w:val="20"/>
        </w:rPr>
        <w:t>City </w:t>
      </w:r>
      <w:r>
        <w:rPr>
          <w:color w:val="1A1A1A"/>
          <w:sz w:val="20"/>
        </w:rPr>
        <w:t>Council </w:t>
      </w:r>
      <w:r>
        <w:rPr>
          <w:color w:val="1F1F1F"/>
          <w:sz w:val="20"/>
        </w:rPr>
        <w:t>to </w:t>
      </w:r>
      <w:r>
        <w:rPr>
          <w:color w:val="232323"/>
          <w:sz w:val="20"/>
        </w:rPr>
        <w:t>increase their </w:t>
      </w:r>
      <w:r>
        <w:rPr>
          <w:color w:val="2D2D2D"/>
          <w:sz w:val="20"/>
        </w:rPr>
        <w:t>flood </w:t>
      </w:r>
      <w:r>
        <w:rPr>
          <w:color w:val="313131"/>
          <w:sz w:val="20"/>
        </w:rPr>
        <w:t>risk </w:t>
      </w:r>
      <w:r>
        <w:rPr>
          <w:color w:val="232323"/>
          <w:sz w:val="20"/>
        </w:rPr>
        <w:t>management capacity, knowledge and</w:t>
      </w:r>
      <w:r>
        <w:rPr>
          <w:color w:val="232323"/>
          <w:spacing w:val="-21"/>
          <w:sz w:val="20"/>
        </w:rPr>
        <w:t> </w:t>
      </w:r>
      <w:r>
        <w:rPr>
          <w:color w:val="313131"/>
          <w:sz w:val="20"/>
        </w:rPr>
        <w:t>skills</w:t>
      </w:r>
      <w:r>
        <w:rPr>
          <w:color w:val="313131"/>
          <w:spacing w:val="-10"/>
          <w:sz w:val="20"/>
        </w:rPr>
        <w:t> </w:t>
      </w:r>
      <w:r>
        <w:rPr>
          <w:color w:val="111111"/>
          <w:sz w:val="20"/>
        </w:rPr>
        <w:t>(as</w:t>
        <w:tab/>
      </w:r>
      <w:r>
        <w:rPr>
          <w:color w:val="232323"/>
          <w:sz w:val="20"/>
        </w:rPr>
        <w:t>Continual</w:t>
      </w:r>
    </w:p>
    <w:p>
      <w:pPr>
        <w:spacing w:line="237" w:lineRule="exact" w:before="0"/>
        <w:ind w:left="1139" w:right="0" w:firstLine="0"/>
        <w:jc w:val="left"/>
        <w:rPr>
          <w:sz w:val="21"/>
        </w:rPr>
      </w:pPr>
      <w:r>
        <w:rPr>
          <w:color w:val="151515"/>
          <w:sz w:val="21"/>
        </w:rPr>
        <w:t>LLFA) </w:t>
      </w:r>
      <w:r>
        <w:rPr>
          <w:color w:val="333333"/>
          <w:sz w:val="21"/>
        </w:rPr>
        <w:t>in </w:t>
      </w:r>
      <w:r>
        <w:rPr>
          <w:color w:val="2D2D2D"/>
          <w:sz w:val="21"/>
        </w:rPr>
        <w:t>order </w:t>
      </w:r>
      <w:r>
        <w:rPr>
          <w:color w:val="212121"/>
          <w:sz w:val="21"/>
        </w:rPr>
        <w:t>to </w:t>
      </w:r>
      <w:r>
        <w:rPr>
          <w:color w:val="262626"/>
          <w:sz w:val="21"/>
        </w:rPr>
        <w:t>deliver </w:t>
      </w:r>
      <w:r>
        <w:rPr>
          <w:color w:val="232323"/>
          <w:sz w:val="21"/>
        </w:rPr>
        <w:t>their </w:t>
      </w:r>
      <w:r>
        <w:rPr>
          <w:color w:val="1F1F1F"/>
          <w:sz w:val="21"/>
        </w:rPr>
        <w:t>new </w:t>
      </w:r>
      <w:r>
        <w:rPr>
          <w:color w:val="232323"/>
          <w:sz w:val="21"/>
        </w:rPr>
        <w:t>responsibilities </w:t>
      </w:r>
      <w:r>
        <w:rPr>
          <w:color w:val="262626"/>
          <w:sz w:val="21"/>
        </w:rPr>
        <w:t>as conferred </w:t>
      </w:r>
      <w:r>
        <w:rPr>
          <w:color w:val="2A2A2A"/>
          <w:sz w:val="21"/>
        </w:rPr>
        <w:t>under </w:t>
      </w:r>
      <w:r>
        <w:rPr>
          <w:color w:val="1F1F1F"/>
          <w:sz w:val="21"/>
        </w:rPr>
        <w:t>the </w:t>
      </w:r>
      <w:r>
        <w:rPr>
          <w:color w:val="313131"/>
          <w:sz w:val="21"/>
        </w:rPr>
        <w:t>FWMA </w:t>
      </w:r>
      <w:r>
        <w:rPr>
          <w:color w:val="1F1F1F"/>
          <w:sz w:val="21"/>
        </w:rPr>
        <w:t>2010.</w:t>
      </w:r>
    </w:p>
    <w:p>
      <w:pPr>
        <w:pStyle w:val="BodyText"/>
        <w:spacing w:before="6"/>
        <w:rPr>
          <w:sz w:val="21"/>
        </w:rPr>
      </w:pPr>
    </w:p>
    <w:p>
      <w:pPr>
        <w:tabs>
          <w:tab w:pos="9678" w:val="left" w:leader="none"/>
        </w:tabs>
        <w:spacing w:before="0"/>
        <w:ind w:left="1134" w:right="472" w:firstLine="2"/>
        <w:jc w:val="left"/>
        <w:rPr>
          <w:sz w:val="20"/>
        </w:rPr>
      </w:pPr>
      <w:r>
        <w:rPr>
          <w:color w:val="282828"/>
          <w:sz w:val="20"/>
        </w:rPr>
        <w:t>Significantly </w:t>
      </w:r>
      <w:r>
        <w:rPr>
          <w:color w:val="262626"/>
          <w:sz w:val="20"/>
        </w:rPr>
        <w:t>increase </w:t>
      </w:r>
      <w:r>
        <w:rPr>
          <w:color w:val="151515"/>
          <w:sz w:val="20"/>
        </w:rPr>
        <w:t>the </w:t>
      </w:r>
      <w:r>
        <w:rPr>
          <w:color w:val="262626"/>
          <w:sz w:val="20"/>
        </w:rPr>
        <w:t>percentage take-up </w:t>
      </w:r>
      <w:r>
        <w:rPr>
          <w:color w:val="2D2D2D"/>
          <w:sz w:val="20"/>
        </w:rPr>
        <w:t>of </w:t>
      </w:r>
      <w:r>
        <w:rPr>
          <w:color w:val="181818"/>
          <w:sz w:val="20"/>
        </w:rPr>
        <w:t>properties </w:t>
      </w:r>
      <w:r>
        <w:rPr>
          <w:color w:val="212121"/>
          <w:sz w:val="20"/>
        </w:rPr>
        <w:t>registered </w:t>
      </w:r>
      <w:r>
        <w:rPr>
          <w:color w:val="2D2D2D"/>
          <w:sz w:val="20"/>
        </w:rPr>
        <w:t>for flood</w:t>
      </w:r>
      <w:r>
        <w:rPr>
          <w:color w:val="2D2D2D"/>
          <w:spacing w:val="-35"/>
          <w:sz w:val="20"/>
        </w:rPr>
        <w:t> </w:t>
      </w:r>
      <w:r>
        <w:rPr>
          <w:color w:val="111111"/>
          <w:sz w:val="20"/>
        </w:rPr>
        <w:t>warnings</w:t>
      </w:r>
      <w:r>
        <w:rPr>
          <w:color w:val="111111"/>
          <w:spacing w:val="-10"/>
          <w:sz w:val="20"/>
        </w:rPr>
        <w:t> </w:t>
      </w:r>
      <w:r>
        <w:rPr>
          <w:color w:val="3B3B3B"/>
          <w:sz w:val="20"/>
        </w:rPr>
        <w:t>in</w:t>
        <w:tab/>
      </w:r>
      <w:r>
        <w:rPr>
          <w:color w:val="242424"/>
          <w:w w:val="95"/>
          <w:sz w:val="20"/>
        </w:rPr>
        <w:t>Continual </w:t>
      </w:r>
      <w:r>
        <w:rPr>
          <w:color w:val="262626"/>
          <w:sz w:val="20"/>
        </w:rPr>
        <w:t>flood </w:t>
      </w:r>
      <w:r>
        <w:rPr>
          <w:color w:val="111111"/>
          <w:sz w:val="20"/>
        </w:rPr>
        <w:t>warning </w:t>
      </w:r>
      <w:r>
        <w:rPr>
          <w:color w:val="212121"/>
          <w:sz w:val="20"/>
        </w:rPr>
        <w:t>areas </w:t>
      </w:r>
      <w:r>
        <w:rPr>
          <w:color w:val="2F2F2F"/>
          <w:sz w:val="20"/>
        </w:rPr>
        <w:t>across </w:t>
      </w:r>
      <w:r>
        <w:rPr>
          <w:color w:val="1F1F1F"/>
          <w:sz w:val="20"/>
        </w:rPr>
        <w:t>city. City </w:t>
      </w:r>
      <w:r>
        <w:rPr>
          <w:color w:val="2B2B2B"/>
          <w:sz w:val="20"/>
        </w:rPr>
        <w:t>wide </w:t>
      </w:r>
      <w:r>
        <w:rPr>
          <w:color w:val="232323"/>
          <w:sz w:val="20"/>
        </w:rPr>
        <w:t>campaign </w:t>
      </w:r>
      <w:r>
        <w:rPr>
          <w:color w:val="212121"/>
          <w:sz w:val="20"/>
        </w:rPr>
        <w:t>as </w:t>
      </w:r>
      <w:r>
        <w:rPr>
          <w:color w:val="1D1D1D"/>
          <w:sz w:val="20"/>
        </w:rPr>
        <w:t>current </w:t>
      </w:r>
      <w:r>
        <w:rPr>
          <w:color w:val="282828"/>
          <w:sz w:val="20"/>
        </w:rPr>
        <w:t>take-up </w:t>
      </w:r>
      <w:r>
        <w:rPr>
          <w:color w:val="1F1F1F"/>
          <w:sz w:val="20"/>
        </w:rPr>
        <w:t>is</w:t>
      </w:r>
      <w:r>
        <w:rPr>
          <w:color w:val="1F1F1F"/>
          <w:spacing w:val="7"/>
          <w:sz w:val="20"/>
        </w:rPr>
        <w:t> </w:t>
      </w:r>
      <w:r>
        <w:rPr>
          <w:color w:val="1F1F1F"/>
          <w:sz w:val="20"/>
        </w:rPr>
        <w:t>low.</w:t>
      </w:r>
    </w:p>
    <w:p>
      <w:pPr>
        <w:pStyle w:val="BodyText"/>
        <w:spacing w:before="11"/>
        <w:rPr>
          <w:sz w:val="20"/>
        </w:rPr>
      </w:pPr>
    </w:p>
    <w:p>
      <w:pPr>
        <w:tabs>
          <w:tab w:pos="9678" w:val="left" w:leader="none"/>
        </w:tabs>
        <w:spacing w:before="0"/>
        <w:ind w:left="1132" w:right="472" w:firstLine="7"/>
        <w:jc w:val="left"/>
        <w:rPr>
          <w:sz w:val="20"/>
        </w:rPr>
      </w:pPr>
      <w:r>
        <w:rPr>
          <w:color w:val="2D2D2D"/>
          <w:sz w:val="20"/>
        </w:rPr>
        <w:t>Prom</w:t>
      </w:r>
      <w:r>
        <w:rPr>
          <w:color w:val="2D2D2D"/>
          <w:spacing w:val="-31"/>
          <w:sz w:val="20"/>
        </w:rPr>
        <w:t> </w:t>
      </w:r>
      <w:r>
        <w:rPr>
          <w:color w:val="262626"/>
          <w:sz w:val="20"/>
        </w:rPr>
        <w:t>ote</w:t>
      </w:r>
      <w:r>
        <w:rPr>
          <w:color w:val="262626"/>
          <w:spacing w:val="-16"/>
          <w:sz w:val="20"/>
        </w:rPr>
        <w:t> </w:t>
      </w:r>
      <w:r>
        <w:rPr>
          <w:color w:val="1F1F1F"/>
          <w:sz w:val="20"/>
        </w:rPr>
        <w:t>the</w:t>
      </w:r>
      <w:r>
        <w:rPr>
          <w:color w:val="1F1F1F"/>
          <w:spacing w:val="-14"/>
          <w:sz w:val="20"/>
        </w:rPr>
        <w:t> </w:t>
      </w:r>
      <w:r>
        <w:rPr>
          <w:color w:val="2A2A2A"/>
          <w:sz w:val="20"/>
        </w:rPr>
        <w:t>use</w:t>
      </w:r>
      <w:r>
        <w:rPr>
          <w:color w:val="2A2A2A"/>
          <w:spacing w:val="-8"/>
          <w:sz w:val="20"/>
        </w:rPr>
        <w:t> </w:t>
      </w:r>
      <w:r>
        <w:rPr>
          <w:color w:val="2D2D2D"/>
          <w:sz w:val="20"/>
        </w:rPr>
        <w:t>of</w:t>
      </w:r>
      <w:r>
        <w:rPr>
          <w:color w:val="2D2D2D"/>
          <w:spacing w:val="-4"/>
          <w:sz w:val="20"/>
        </w:rPr>
        <w:t> </w:t>
      </w:r>
      <w:r>
        <w:rPr>
          <w:color w:val="232323"/>
          <w:sz w:val="20"/>
        </w:rPr>
        <w:t>sustainable</w:t>
      </w:r>
      <w:r>
        <w:rPr>
          <w:color w:val="232323"/>
          <w:spacing w:val="6"/>
          <w:sz w:val="20"/>
        </w:rPr>
        <w:t> </w:t>
      </w:r>
      <w:r>
        <w:rPr>
          <w:color w:val="2A2A2A"/>
          <w:sz w:val="20"/>
        </w:rPr>
        <w:t>design</w:t>
      </w:r>
      <w:r>
        <w:rPr>
          <w:color w:val="2A2A2A"/>
          <w:spacing w:val="-6"/>
          <w:sz w:val="20"/>
        </w:rPr>
        <w:t> </w:t>
      </w:r>
      <w:r>
        <w:rPr>
          <w:color w:val="2A2A2A"/>
          <w:sz w:val="20"/>
        </w:rPr>
        <w:t>principles</w:t>
      </w:r>
      <w:r>
        <w:rPr>
          <w:color w:val="2A2A2A"/>
          <w:spacing w:val="-3"/>
          <w:sz w:val="20"/>
        </w:rPr>
        <w:t> </w:t>
      </w:r>
      <w:r>
        <w:rPr>
          <w:color w:val="313131"/>
          <w:sz w:val="20"/>
        </w:rPr>
        <w:t>in</w:t>
      </w:r>
      <w:r>
        <w:rPr>
          <w:color w:val="313131"/>
          <w:spacing w:val="-16"/>
          <w:sz w:val="20"/>
        </w:rPr>
        <w:t> </w:t>
      </w:r>
      <w:r>
        <w:rPr>
          <w:color w:val="343434"/>
          <w:sz w:val="20"/>
        </w:rPr>
        <w:t>all</w:t>
      </w:r>
      <w:r>
        <w:rPr>
          <w:color w:val="343434"/>
          <w:spacing w:val="-2"/>
          <w:sz w:val="20"/>
        </w:rPr>
        <w:t> </w:t>
      </w:r>
      <w:r>
        <w:rPr>
          <w:color w:val="262626"/>
          <w:sz w:val="20"/>
        </w:rPr>
        <w:t>future</w:t>
      </w:r>
      <w:r>
        <w:rPr>
          <w:color w:val="262626"/>
          <w:spacing w:val="3"/>
          <w:sz w:val="20"/>
        </w:rPr>
        <w:t> </w:t>
      </w:r>
      <w:r>
        <w:rPr>
          <w:color w:val="1F1F1F"/>
          <w:sz w:val="20"/>
        </w:rPr>
        <w:t>developments </w:t>
      </w:r>
      <w:r>
        <w:rPr>
          <w:color w:val="2A2A2A"/>
          <w:sz w:val="20"/>
        </w:rPr>
        <w:t>to</w:t>
      </w:r>
      <w:r>
        <w:rPr>
          <w:color w:val="2A2A2A"/>
          <w:spacing w:val="-10"/>
          <w:sz w:val="20"/>
        </w:rPr>
        <w:t> </w:t>
      </w:r>
      <w:r>
        <w:rPr>
          <w:color w:val="232323"/>
          <w:sz w:val="20"/>
        </w:rPr>
        <w:t>ensure </w:t>
      </w:r>
      <w:r>
        <w:rPr>
          <w:color w:val="1A1A1A"/>
          <w:sz w:val="20"/>
        </w:rPr>
        <w:t>that</w:t>
      </w:r>
      <w:r>
        <w:rPr>
          <w:color w:val="1A1A1A"/>
          <w:spacing w:val="-8"/>
          <w:sz w:val="20"/>
        </w:rPr>
        <w:t> </w:t>
      </w:r>
      <w:r>
        <w:rPr>
          <w:color w:val="1C1C1C"/>
          <w:sz w:val="20"/>
        </w:rPr>
        <w:t>the</w:t>
        <w:tab/>
      </w:r>
      <w:r>
        <w:rPr>
          <w:color w:val="1C1C1C"/>
          <w:w w:val="95"/>
          <w:sz w:val="20"/>
        </w:rPr>
        <w:t>Continual </w:t>
      </w:r>
      <w:r>
        <w:rPr>
          <w:color w:val="2F2F2F"/>
          <w:sz w:val="20"/>
        </w:rPr>
        <w:t>risk of </w:t>
      </w:r>
      <w:r>
        <w:rPr>
          <w:color w:val="262626"/>
          <w:sz w:val="20"/>
        </w:rPr>
        <w:t>flooding </w:t>
      </w:r>
      <w:r>
        <w:rPr>
          <w:color w:val="2A2A2A"/>
          <w:sz w:val="20"/>
        </w:rPr>
        <w:t>and </w:t>
      </w:r>
      <w:r>
        <w:rPr>
          <w:color w:val="343434"/>
          <w:sz w:val="20"/>
        </w:rPr>
        <w:t>clim </w:t>
      </w:r>
      <w:r>
        <w:rPr>
          <w:color w:val="262626"/>
          <w:sz w:val="20"/>
        </w:rPr>
        <w:t>ate </w:t>
      </w:r>
      <w:r>
        <w:rPr>
          <w:color w:val="2A2A2A"/>
          <w:sz w:val="20"/>
        </w:rPr>
        <w:t>change </w:t>
      </w:r>
      <w:r>
        <w:rPr>
          <w:color w:val="232323"/>
          <w:sz w:val="20"/>
        </w:rPr>
        <w:t>are </w:t>
      </w:r>
      <w:r>
        <w:rPr>
          <w:color w:val="282828"/>
          <w:sz w:val="20"/>
        </w:rPr>
        <w:t>fully taken </w:t>
      </w:r>
      <w:r>
        <w:rPr>
          <w:color w:val="2A2A2A"/>
          <w:sz w:val="20"/>
        </w:rPr>
        <w:t>into </w:t>
      </w:r>
      <w:r>
        <w:rPr>
          <w:color w:val="262626"/>
          <w:sz w:val="20"/>
        </w:rPr>
        <w:t>account</w:t>
      </w:r>
      <w:r>
        <w:rPr>
          <w:color w:val="262626"/>
          <w:spacing w:val="-10"/>
          <w:sz w:val="20"/>
        </w:rPr>
        <w:t> </w:t>
      </w:r>
      <w:r>
        <w:rPr>
          <w:color w:val="232323"/>
          <w:sz w:val="20"/>
        </w:rPr>
        <w:t>e.g.</w:t>
      </w:r>
    </w:p>
    <w:p>
      <w:pPr>
        <w:spacing w:after="0"/>
        <w:jc w:val="left"/>
        <w:rPr>
          <w:sz w:val="20"/>
        </w:rPr>
        <w:sectPr>
          <w:type w:val="continuous"/>
          <w:pgSz w:w="11920" w:h="16850"/>
          <w:pgMar w:top="1220" w:bottom="0" w:left="40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ListParagraph"/>
        <w:numPr>
          <w:ilvl w:val="0"/>
          <w:numId w:val="10"/>
        </w:numPr>
        <w:tabs>
          <w:tab w:pos="1255" w:val="left" w:leader="none"/>
        </w:tabs>
        <w:spacing w:line="240" w:lineRule="auto" w:before="0" w:after="0"/>
        <w:ind w:left="1254" w:right="0" w:hanging="125"/>
        <w:jc w:val="left"/>
        <w:rPr>
          <w:color w:val="2D2D2D"/>
          <w:sz w:val="20"/>
        </w:rPr>
      </w:pPr>
      <w:r>
        <w:rPr/>
        <w:pict>
          <v:group style="position:absolute;margin-left:123.349602pt;margin-top:-58.53463pt;width:5.3pt;height:35.050pt;mso-position-horizontal-relative:page;mso-position-vertical-relative:paragraph;z-index:2248" coordorigin="2467,-1171" coordsize="106,701">
            <v:shape style="position:absolute;left:2467;top:-1171;width:106;height:48" type="#_x0000_t75" stroked="false">
              <v:imagedata r:id="rId14" o:title=""/>
            </v:shape>
            <v:shape style="position:absolute;left:2486;top:-509;width:87;height:39" type="#_x0000_t75" stroked="false">
              <v:imagedata r:id="rId15" o:title=""/>
            </v:shape>
            <v:line style="position:absolute" from="2515,-1171" to="2515,-480" stroked="true" strokeweight="4.799592pt" strokecolor="#ff6477">
              <v:stroke dashstyle="solid"/>
            </v:line>
            <w10:wrap type="none"/>
          </v:group>
        </w:pict>
      </w:r>
      <w:r>
        <w:rPr/>
        <w:pict>
          <v:group style="position:absolute;margin-left:72.473862pt;margin-top:-58.054623pt;width:23.55pt;height:18.25pt;mso-position-horizontal-relative:page;mso-position-vertical-relative:paragraph;z-index:2272" coordorigin="1449,-1161" coordsize="471,365">
            <v:shape style="position:absolute;left:1449;top:-1162;width:202;height:365" type="#_x0000_t75" stroked="false">
              <v:imagedata r:id="rId42" o:title=""/>
            </v:shape>
            <v:shape style="position:absolute;left:1718;top:-1162;width:202;height:365" type="#_x0000_t75" stroked="false">
              <v:imagedata r:id="rId43" o:title=""/>
            </v:shape>
            <w10:wrap type="none"/>
          </v:group>
        </w:pict>
      </w:r>
      <w:r>
        <w:rPr/>
        <w:drawing>
          <wp:anchor distT="0" distB="0" distL="0" distR="0" allowOverlap="1" layoutInCell="1" locked="0" behindDoc="0" simplePos="0" relativeHeight="2296">
            <wp:simplePos x="0" y="0"/>
            <wp:positionH relativeFrom="page">
              <wp:posOffset>1286146</wp:posOffset>
            </wp:positionH>
            <wp:positionV relativeFrom="paragraph">
              <wp:posOffset>-737293</wp:posOffset>
            </wp:positionV>
            <wp:extent cx="207263" cy="231648"/>
            <wp:effectExtent l="0" t="0" r="0" b="0"/>
            <wp:wrapNone/>
            <wp:docPr id="45" name="image28.jpeg" descr=""/>
            <wp:cNvGraphicFramePr>
              <a:graphicFrameLocks noChangeAspect="1"/>
            </wp:cNvGraphicFramePr>
            <a:graphic>
              <a:graphicData uri="http://schemas.openxmlformats.org/drawingml/2006/picture">
                <pic:pic>
                  <pic:nvPicPr>
                    <pic:cNvPr id="46" name="image28.jpeg"/>
                    <pic:cNvPicPr/>
                  </pic:nvPicPr>
                  <pic:blipFill>
                    <a:blip r:embed="rId44" cstate="print"/>
                    <a:stretch>
                      <a:fillRect/>
                    </a:stretch>
                  </pic:blipFill>
                  <pic:spPr>
                    <a:xfrm>
                      <a:off x="0" y="0"/>
                      <a:ext cx="207263" cy="231648"/>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1731117</wp:posOffset>
            </wp:positionH>
            <wp:positionV relativeFrom="paragraph">
              <wp:posOffset>-737293</wp:posOffset>
            </wp:positionV>
            <wp:extent cx="97535" cy="231648"/>
            <wp:effectExtent l="0" t="0" r="0" b="0"/>
            <wp:wrapNone/>
            <wp:docPr id="47" name="image29.jpeg" descr=""/>
            <wp:cNvGraphicFramePr>
              <a:graphicFrameLocks noChangeAspect="1"/>
            </wp:cNvGraphicFramePr>
            <a:graphic>
              <a:graphicData uri="http://schemas.openxmlformats.org/drawingml/2006/picture">
                <pic:pic>
                  <pic:nvPicPr>
                    <pic:cNvPr id="48" name="image29.jpeg"/>
                    <pic:cNvPicPr/>
                  </pic:nvPicPr>
                  <pic:blipFill>
                    <a:blip r:embed="rId45" cstate="print"/>
                    <a:stretch>
                      <a:fillRect/>
                    </a:stretch>
                  </pic:blipFill>
                  <pic:spPr>
                    <a:xfrm>
                      <a:off x="0" y="0"/>
                      <a:ext cx="97535" cy="231648"/>
                    </a:xfrm>
                    <a:prstGeom prst="rect">
                      <a:avLst/>
                    </a:prstGeom>
                  </pic:spPr>
                </pic:pic>
              </a:graphicData>
            </a:graphic>
          </wp:anchor>
        </w:drawing>
      </w:r>
      <w:bookmarkStart w:name="Leeds LFRMS 2018 Update_Page_27" w:id="33"/>
      <w:bookmarkEnd w:id="33"/>
      <w:r>
        <w:rPr/>
      </w:r>
      <w:bookmarkStart w:name="Leeds LFRMS 2018 Update_Page_27" w:id="34"/>
      <w:bookmarkEnd w:id="34"/>
      <w:r>
        <w:rPr>
          <w:color w:val="242424"/>
          <w:sz w:val="20"/>
        </w:rPr>
        <w:t>Promotin</w:t>
      </w:r>
      <w:r>
        <w:rPr>
          <w:color w:val="242424"/>
          <w:sz w:val="20"/>
        </w:rPr>
        <w:t>g </w:t>
      </w:r>
      <w:r>
        <w:rPr>
          <w:color w:val="282828"/>
          <w:sz w:val="20"/>
        </w:rPr>
        <w:t>use </w:t>
      </w:r>
      <w:r>
        <w:rPr>
          <w:color w:val="242424"/>
          <w:sz w:val="20"/>
        </w:rPr>
        <w:t>of</w:t>
      </w:r>
      <w:r>
        <w:rPr>
          <w:color w:val="242424"/>
          <w:spacing w:val="24"/>
          <w:sz w:val="20"/>
        </w:rPr>
        <w:t> </w:t>
      </w:r>
      <w:r>
        <w:rPr>
          <w:color w:val="232323"/>
          <w:sz w:val="20"/>
        </w:rPr>
        <w:t>SuDS,</w:t>
      </w:r>
    </w:p>
    <w:p>
      <w:pPr>
        <w:pStyle w:val="ListParagraph"/>
        <w:numPr>
          <w:ilvl w:val="0"/>
          <w:numId w:val="10"/>
        </w:numPr>
        <w:tabs>
          <w:tab w:pos="1252" w:val="left" w:leader="none"/>
        </w:tabs>
        <w:spacing w:line="240" w:lineRule="auto" w:before="0" w:after="0"/>
        <w:ind w:left="1251" w:right="0" w:hanging="122"/>
        <w:jc w:val="left"/>
        <w:rPr>
          <w:color w:val="2D2D2D"/>
          <w:sz w:val="20"/>
        </w:rPr>
      </w:pPr>
      <w:r>
        <w:rPr>
          <w:color w:val="1C1C1C"/>
          <w:sz w:val="20"/>
        </w:rPr>
        <w:t>Incorporating policies </w:t>
      </w:r>
      <w:r>
        <w:rPr>
          <w:color w:val="232323"/>
          <w:sz w:val="20"/>
        </w:rPr>
        <w:t>and </w:t>
      </w:r>
      <w:r>
        <w:rPr>
          <w:color w:val="181818"/>
          <w:sz w:val="20"/>
        </w:rPr>
        <w:t>recommendations </w:t>
      </w:r>
      <w:r>
        <w:rPr>
          <w:color w:val="282828"/>
          <w:sz w:val="20"/>
        </w:rPr>
        <w:t>within </w:t>
      </w:r>
      <w:r>
        <w:rPr>
          <w:color w:val="2D2D2D"/>
          <w:sz w:val="20"/>
        </w:rPr>
        <w:t>Leeds</w:t>
      </w:r>
      <w:r>
        <w:rPr>
          <w:color w:val="2D2D2D"/>
          <w:spacing w:val="40"/>
          <w:sz w:val="20"/>
        </w:rPr>
        <w:t> </w:t>
      </w:r>
      <w:r>
        <w:rPr>
          <w:color w:val="1C1C1C"/>
          <w:sz w:val="20"/>
        </w:rPr>
        <w:t>LDF;</w:t>
      </w:r>
    </w:p>
    <w:p>
      <w:pPr>
        <w:pStyle w:val="ListParagraph"/>
        <w:numPr>
          <w:ilvl w:val="0"/>
          <w:numId w:val="10"/>
        </w:numPr>
        <w:tabs>
          <w:tab w:pos="1255" w:val="left" w:leader="none"/>
        </w:tabs>
        <w:spacing w:line="240" w:lineRule="auto" w:before="1" w:after="0"/>
        <w:ind w:left="1254" w:right="0" w:hanging="125"/>
        <w:jc w:val="left"/>
        <w:rPr>
          <w:color w:val="2D2D2D"/>
          <w:sz w:val="20"/>
        </w:rPr>
      </w:pPr>
      <w:r>
        <w:rPr>
          <w:color w:val="242424"/>
          <w:sz w:val="20"/>
        </w:rPr>
        <w:t>Developer </w:t>
      </w:r>
      <w:r>
        <w:rPr>
          <w:color w:val="1A1A1A"/>
          <w:sz w:val="20"/>
        </w:rPr>
        <w:t>contributions </w:t>
      </w:r>
      <w:r>
        <w:rPr>
          <w:color w:val="343434"/>
          <w:sz w:val="20"/>
        </w:rPr>
        <w:t>in </w:t>
      </w:r>
      <w:r>
        <w:rPr>
          <w:color w:val="2D2D2D"/>
          <w:sz w:val="20"/>
        </w:rPr>
        <w:t>Core</w:t>
      </w:r>
      <w:r>
        <w:rPr>
          <w:color w:val="2D2D2D"/>
          <w:spacing w:val="-20"/>
          <w:sz w:val="20"/>
        </w:rPr>
        <w:t> </w:t>
      </w:r>
      <w:r>
        <w:rPr>
          <w:color w:val="1D1D1D"/>
          <w:sz w:val="20"/>
        </w:rPr>
        <w:t>Strategy;</w:t>
      </w:r>
    </w:p>
    <w:p>
      <w:pPr>
        <w:pStyle w:val="ListParagraph"/>
        <w:numPr>
          <w:ilvl w:val="0"/>
          <w:numId w:val="10"/>
        </w:numPr>
        <w:tabs>
          <w:tab w:pos="1256" w:val="left" w:leader="none"/>
        </w:tabs>
        <w:spacing w:line="240" w:lineRule="auto" w:before="0" w:after="0"/>
        <w:ind w:left="1255" w:right="0" w:hanging="126"/>
        <w:jc w:val="left"/>
        <w:rPr>
          <w:color w:val="2D2D2D"/>
          <w:sz w:val="20"/>
        </w:rPr>
      </w:pPr>
      <w:r>
        <w:rPr>
          <w:color w:val="212121"/>
          <w:sz w:val="20"/>
        </w:rPr>
        <w:t>Biodiversity </w:t>
      </w:r>
      <w:r>
        <w:rPr>
          <w:color w:val="2D2D2D"/>
          <w:sz w:val="20"/>
        </w:rPr>
        <w:t>and </w:t>
      </w:r>
      <w:r>
        <w:rPr>
          <w:color w:val="242424"/>
          <w:sz w:val="20"/>
        </w:rPr>
        <w:t>local </w:t>
      </w:r>
      <w:r>
        <w:rPr>
          <w:color w:val="232323"/>
          <w:sz w:val="20"/>
        </w:rPr>
        <w:t>amenity,</w:t>
      </w:r>
      <w:r>
        <w:rPr>
          <w:color w:val="232323"/>
          <w:spacing w:val="-7"/>
          <w:sz w:val="20"/>
        </w:rPr>
        <w:t> </w:t>
      </w:r>
      <w:r>
        <w:rPr>
          <w:color w:val="1D1D1D"/>
          <w:sz w:val="20"/>
        </w:rPr>
        <w:t>and</w:t>
      </w:r>
    </w:p>
    <w:p>
      <w:pPr>
        <w:spacing w:before="1"/>
        <w:ind w:left="1126" w:right="0" w:firstLine="0"/>
        <w:jc w:val="left"/>
        <w:rPr>
          <w:sz w:val="20"/>
        </w:rPr>
      </w:pPr>
      <w:r>
        <w:rPr>
          <w:i/>
          <w:color w:val="2D2D2D"/>
          <w:sz w:val="20"/>
        </w:rPr>
        <w:t>- </w:t>
      </w:r>
      <w:r>
        <w:rPr>
          <w:color w:val="242424"/>
          <w:sz w:val="20"/>
        </w:rPr>
        <w:t>Climate </w:t>
      </w:r>
      <w:r>
        <w:rPr>
          <w:color w:val="282828"/>
          <w:sz w:val="20"/>
        </w:rPr>
        <w:t>Change </w:t>
      </w:r>
      <w:r>
        <w:rPr>
          <w:color w:val="1D1D1D"/>
          <w:sz w:val="20"/>
        </w:rPr>
        <w:t>Adaptation.</w:t>
      </w:r>
    </w:p>
    <w:p>
      <w:pPr>
        <w:pStyle w:val="BodyText"/>
        <w:spacing w:before="10"/>
        <w:rPr>
          <w:sz w:val="22"/>
        </w:rPr>
      </w:pPr>
    </w:p>
    <w:p>
      <w:pPr>
        <w:tabs>
          <w:tab w:pos="9678" w:val="left" w:leader="none"/>
        </w:tabs>
        <w:spacing w:line="158" w:lineRule="auto" w:before="0"/>
        <w:ind w:left="1132" w:right="472" w:firstLine="6"/>
        <w:jc w:val="left"/>
        <w:rPr>
          <w:sz w:val="20"/>
        </w:rPr>
      </w:pPr>
      <w:r>
        <w:rPr>
          <w:color w:val="282828"/>
          <w:sz w:val="20"/>
        </w:rPr>
        <w:t>Review</w:t>
      </w:r>
      <w:r>
        <w:rPr>
          <w:color w:val="282828"/>
          <w:spacing w:val="5"/>
          <w:sz w:val="20"/>
        </w:rPr>
        <w:t> </w:t>
      </w:r>
      <w:r>
        <w:rPr>
          <w:color w:val="2D2D2D"/>
          <w:sz w:val="20"/>
        </w:rPr>
        <w:t>of</w:t>
      </w:r>
      <w:r>
        <w:rPr>
          <w:color w:val="2D2D2D"/>
          <w:spacing w:val="-9"/>
          <w:sz w:val="20"/>
        </w:rPr>
        <w:t> </w:t>
      </w:r>
      <w:r>
        <w:rPr>
          <w:color w:val="181818"/>
          <w:sz w:val="20"/>
        </w:rPr>
        <w:t>SFRA</w:t>
      </w:r>
      <w:r>
        <w:rPr>
          <w:color w:val="181818"/>
          <w:spacing w:val="-5"/>
          <w:sz w:val="20"/>
        </w:rPr>
        <w:t> </w:t>
      </w:r>
      <w:r>
        <w:rPr>
          <w:color w:val="1F1F1F"/>
          <w:sz w:val="20"/>
        </w:rPr>
        <w:t>produced</w:t>
      </w:r>
      <w:r>
        <w:rPr>
          <w:color w:val="1F1F1F"/>
          <w:spacing w:val="-1"/>
          <w:sz w:val="20"/>
        </w:rPr>
        <w:t> </w:t>
      </w:r>
      <w:r>
        <w:rPr>
          <w:color w:val="2B2B2B"/>
          <w:sz w:val="20"/>
        </w:rPr>
        <w:t>by</w:t>
      </w:r>
      <w:r>
        <w:rPr>
          <w:color w:val="2B2B2B"/>
          <w:spacing w:val="-4"/>
          <w:sz w:val="20"/>
        </w:rPr>
        <w:t> </w:t>
      </w:r>
      <w:r>
        <w:rPr>
          <w:color w:val="1A1A1A"/>
          <w:sz w:val="20"/>
        </w:rPr>
        <w:t>Jacobs</w:t>
      </w:r>
      <w:r>
        <w:rPr>
          <w:color w:val="1A1A1A"/>
          <w:spacing w:val="1"/>
          <w:sz w:val="20"/>
        </w:rPr>
        <w:t> </w:t>
      </w:r>
      <w:r>
        <w:rPr>
          <w:color w:val="2D2D2D"/>
          <w:sz w:val="20"/>
        </w:rPr>
        <w:t>in</w:t>
      </w:r>
      <w:r>
        <w:rPr>
          <w:color w:val="2D2D2D"/>
          <w:spacing w:val="-3"/>
          <w:sz w:val="20"/>
        </w:rPr>
        <w:t> </w:t>
      </w:r>
      <w:r>
        <w:rPr>
          <w:color w:val="2B2B2B"/>
          <w:sz w:val="20"/>
        </w:rPr>
        <w:t>October</w:t>
      </w:r>
      <w:r>
        <w:rPr>
          <w:color w:val="2B2B2B"/>
          <w:spacing w:val="7"/>
          <w:sz w:val="20"/>
        </w:rPr>
        <w:t> </w:t>
      </w:r>
      <w:r>
        <w:rPr>
          <w:color w:val="1A1A1A"/>
          <w:sz w:val="20"/>
        </w:rPr>
        <w:t>2007;</w:t>
      </w:r>
      <w:r>
        <w:rPr>
          <w:color w:val="1A1A1A"/>
          <w:spacing w:val="1"/>
          <w:sz w:val="20"/>
        </w:rPr>
        <w:t> </w:t>
      </w:r>
      <w:r>
        <w:rPr>
          <w:color w:val="262626"/>
          <w:sz w:val="20"/>
        </w:rPr>
        <w:t>assess</w:t>
      </w:r>
      <w:r>
        <w:rPr>
          <w:color w:val="262626"/>
          <w:spacing w:val="-12"/>
          <w:sz w:val="20"/>
        </w:rPr>
        <w:t> </w:t>
      </w:r>
      <w:r>
        <w:rPr>
          <w:color w:val="282828"/>
          <w:sz w:val="20"/>
        </w:rPr>
        <w:t>the</w:t>
      </w:r>
      <w:r>
        <w:rPr>
          <w:color w:val="282828"/>
          <w:spacing w:val="-14"/>
          <w:sz w:val="20"/>
        </w:rPr>
        <w:t> </w:t>
      </w:r>
      <w:r>
        <w:rPr>
          <w:color w:val="282828"/>
          <w:sz w:val="20"/>
        </w:rPr>
        <w:t>need</w:t>
      </w:r>
      <w:r>
        <w:rPr>
          <w:color w:val="282828"/>
          <w:spacing w:val="-7"/>
          <w:sz w:val="20"/>
        </w:rPr>
        <w:t> </w:t>
      </w:r>
      <w:r>
        <w:rPr>
          <w:color w:val="2D2D2D"/>
          <w:sz w:val="20"/>
        </w:rPr>
        <w:t>for</w:t>
      </w:r>
      <w:r>
        <w:rPr>
          <w:color w:val="2D2D2D"/>
          <w:spacing w:val="-7"/>
          <w:sz w:val="20"/>
        </w:rPr>
        <w:t> </w:t>
      </w:r>
      <w:r>
        <w:rPr>
          <w:color w:val="1C1C1C"/>
          <w:sz w:val="20"/>
        </w:rPr>
        <w:t>a</w:t>
      </w:r>
      <w:r>
        <w:rPr>
          <w:color w:val="1C1C1C"/>
          <w:spacing w:val="-2"/>
          <w:sz w:val="20"/>
        </w:rPr>
        <w:t> </w:t>
      </w:r>
      <w:r>
        <w:rPr>
          <w:color w:val="232323"/>
          <w:sz w:val="20"/>
        </w:rPr>
        <w:t>Level</w:t>
      </w:r>
      <w:r>
        <w:rPr>
          <w:color w:val="232323"/>
          <w:spacing w:val="-2"/>
          <w:sz w:val="20"/>
        </w:rPr>
        <w:t> </w:t>
      </w:r>
      <w:r>
        <w:rPr>
          <w:color w:val="2F2F2F"/>
          <w:sz w:val="20"/>
        </w:rPr>
        <w:t>2</w:t>
      </w:r>
      <w:r>
        <w:rPr>
          <w:color w:val="2F2F2F"/>
          <w:spacing w:val="-7"/>
          <w:sz w:val="20"/>
        </w:rPr>
        <w:t> </w:t>
      </w:r>
      <w:r>
        <w:rPr>
          <w:color w:val="212121"/>
          <w:sz w:val="20"/>
        </w:rPr>
        <w:t>SFRA</w:t>
        <w:tab/>
      </w:r>
      <w:r>
        <w:rPr>
          <w:color w:val="2A2A2A"/>
          <w:w w:val="95"/>
          <w:position w:val="-11"/>
          <w:sz w:val="20"/>
        </w:rPr>
        <w:t>Continual </w:t>
      </w:r>
      <w:r>
        <w:rPr>
          <w:color w:val="313131"/>
          <w:sz w:val="20"/>
        </w:rPr>
        <w:t>to </w:t>
      </w:r>
      <w:r>
        <w:rPr>
          <w:color w:val="2D2D2D"/>
          <w:sz w:val="20"/>
        </w:rPr>
        <w:t>be</w:t>
      </w:r>
      <w:r>
        <w:rPr>
          <w:color w:val="2D2D2D"/>
          <w:spacing w:val="7"/>
          <w:sz w:val="20"/>
        </w:rPr>
        <w:t> </w:t>
      </w:r>
      <w:r>
        <w:rPr>
          <w:color w:val="1A1A1A"/>
          <w:sz w:val="20"/>
        </w:rPr>
        <w:t>undertaken.</w:t>
      </w:r>
    </w:p>
    <w:p>
      <w:pPr>
        <w:spacing w:after="0" w:line="158" w:lineRule="auto"/>
        <w:jc w:val="left"/>
        <w:rPr>
          <w:sz w:val="20"/>
        </w:rPr>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ListParagraph"/>
        <w:numPr>
          <w:ilvl w:val="0"/>
          <w:numId w:val="8"/>
        </w:numPr>
        <w:tabs>
          <w:tab w:pos="1015" w:val="left" w:leader="none"/>
          <w:tab w:pos="1016" w:val="left" w:leader="none"/>
        </w:tabs>
        <w:spacing w:line="240" w:lineRule="auto" w:before="90" w:after="0"/>
        <w:ind w:left="1015" w:right="0" w:hanging="853"/>
        <w:jc w:val="left"/>
        <w:rPr>
          <w:sz w:val="32"/>
        </w:rPr>
      </w:pPr>
      <w:r>
        <w:rPr/>
        <w:pict>
          <v:line style="position:absolute;mso-position-horizontal-relative:page;mso-position-vertical-relative:paragraph;z-index:296;mso-wrap-distance-left:0;mso-wrap-distance-right:0" from="27.837641pt,25.867392pt" to="562.272212pt,25.867392pt" stroked="true" strokeweight="1.1999pt" strokecolor="#bc5460">
            <v:stroke dashstyle="solid"/>
            <w10:wrap type="topAndBottom"/>
          </v:line>
        </w:pict>
      </w:r>
      <w:r>
        <w:rPr/>
        <w:pict>
          <v:group style="position:absolute;margin-left:537.554504pt;margin-top:-50.806358pt;width:5.8pt;height:34.6pt;mso-position-horizontal-relative:page;mso-position-vertical-relative:paragraph;z-index:2368" coordorigin="10751,-1016" coordsize="116,692">
            <v:shape style="position:absolute;left:10751;top:-1017;width:116;height:39" type="#_x0000_t75" stroked="false">
              <v:imagedata r:id="rId27" o:title=""/>
            </v:shape>
            <v:shape style="position:absolute;left:10827;top:-402;width:39;height:77" type="#_x0000_t75" stroked="false">
              <v:imagedata r:id="rId28" o:title=""/>
            </v:shape>
            <v:line style="position:absolute" from="10804,-1016" to="10804,-335" stroked="true" strokeweight="5.279551pt" strokecolor="#d85970">
              <v:stroke dashstyle="solid"/>
            </v:line>
            <w10:wrap type="none"/>
          </v:group>
        </w:pict>
      </w:r>
      <w:bookmarkStart w:name="Leeds LFRMS 2018 Update_Page_28" w:id="35"/>
      <w:bookmarkEnd w:id="35"/>
      <w:r>
        <w:rPr/>
      </w:r>
      <w:bookmarkStart w:name="Leeds LFRMS 2018 Update_Page_28" w:id="36"/>
      <w:bookmarkEnd w:id="36"/>
      <w:r>
        <w:rPr>
          <w:sz w:val="32"/>
        </w:rPr>
        <w:t>DUTIE</w:t>
      </w:r>
      <w:r>
        <w:rPr>
          <w:sz w:val="32"/>
        </w:rPr>
        <w:t>S OF RISK MANAGEMENT</w:t>
      </w:r>
      <w:r>
        <w:rPr>
          <w:spacing w:val="80"/>
          <w:sz w:val="32"/>
        </w:rPr>
        <w:t> </w:t>
      </w:r>
      <w:r>
        <w:rPr>
          <w:sz w:val="32"/>
        </w:rPr>
        <w:t>AUTHORITIES</w:t>
      </w:r>
    </w:p>
    <w:p>
      <w:pPr>
        <w:pStyle w:val="ListParagraph"/>
        <w:numPr>
          <w:ilvl w:val="1"/>
          <w:numId w:val="11"/>
        </w:numPr>
        <w:tabs>
          <w:tab w:pos="1013" w:val="left" w:leader="none"/>
          <w:tab w:pos="1014" w:val="left" w:leader="none"/>
        </w:tabs>
        <w:spacing w:line="240" w:lineRule="auto" w:before="222" w:after="0"/>
        <w:ind w:left="1013" w:right="0" w:hanging="849"/>
        <w:jc w:val="left"/>
        <w:rPr>
          <w:sz w:val="28"/>
        </w:rPr>
      </w:pPr>
      <w:r>
        <w:rPr>
          <w:sz w:val="28"/>
        </w:rPr>
        <w:t>INTRODUCTION</w:t>
      </w:r>
    </w:p>
    <w:p>
      <w:pPr>
        <w:pStyle w:val="BodyText"/>
        <w:spacing w:line="261" w:lineRule="auto" w:before="157"/>
        <w:ind w:left="1016" w:right="212" w:firstLine="4"/>
      </w:pPr>
      <w:r>
        <w:rPr/>
        <w:t>Flood</w:t>
      </w:r>
      <w:r>
        <w:rPr>
          <w:spacing w:val="-29"/>
        </w:rPr>
        <w:t> </w:t>
      </w:r>
      <w:r>
        <w:rPr/>
        <w:t>risk</w:t>
      </w:r>
      <w:r>
        <w:rPr>
          <w:spacing w:val="-34"/>
        </w:rPr>
        <w:t> </w:t>
      </w:r>
      <w:r>
        <w:rPr/>
        <w:t>in</w:t>
      </w:r>
      <w:r>
        <w:rPr>
          <w:spacing w:val="-35"/>
        </w:rPr>
        <w:t> </w:t>
      </w:r>
      <w:r>
        <w:rPr/>
        <w:t>the</w:t>
      </w:r>
      <w:r>
        <w:rPr>
          <w:spacing w:val="-34"/>
        </w:rPr>
        <w:t> </w:t>
      </w:r>
      <w:r>
        <w:rPr/>
        <w:t>district</w:t>
      </w:r>
      <w:r>
        <w:rPr>
          <w:spacing w:val="-32"/>
        </w:rPr>
        <w:t> </w:t>
      </w:r>
      <w:r>
        <w:rPr/>
        <w:t>is</w:t>
      </w:r>
      <w:r>
        <w:rPr>
          <w:spacing w:val="-38"/>
        </w:rPr>
        <w:t> </w:t>
      </w:r>
      <w:r>
        <w:rPr/>
        <w:t>managed</w:t>
      </w:r>
      <w:r>
        <w:rPr>
          <w:spacing w:val="-25"/>
        </w:rPr>
        <w:t> </w:t>
      </w:r>
      <w:r>
        <w:rPr/>
        <w:t>the</w:t>
      </w:r>
      <w:r>
        <w:rPr>
          <w:spacing w:val="-34"/>
        </w:rPr>
        <w:t> </w:t>
      </w:r>
      <w:r>
        <w:rPr/>
        <w:t>Risk</w:t>
      </w:r>
      <w:r>
        <w:rPr>
          <w:spacing w:val="-28"/>
        </w:rPr>
        <w:t> </w:t>
      </w:r>
      <w:r>
        <w:rPr/>
        <w:t>Management</w:t>
      </w:r>
      <w:r>
        <w:rPr>
          <w:spacing w:val="-22"/>
        </w:rPr>
        <w:t> </w:t>
      </w:r>
      <w:r>
        <w:rPr/>
        <w:t>Authorities</w:t>
      </w:r>
      <w:r>
        <w:rPr>
          <w:spacing w:val="-27"/>
        </w:rPr>
        <w:t> </w:t>
      </w:r>
      <w:r>
        <w:rPr/>
        <w:t>(RMAs),</w:t>
      </w:r>
      <w:r>
        <w:rPr>
          <w:spacing w:val="-30"/>
        </w:rPr>
        <w:t> </w:t>
      </w:r>
      <w:r>
        <w:rPr/>
        <w:t>which</w:t>
      </w:r>
      <w:r>
        <w:rPr>
          <w:spacing w:val="-31"/>
        </w:rPr>
        <w:t> </w:t>
      </w:r>
      <w:r>
        <w:rPr/>
        <w:t>are</w:t>
      </w:r>
      <w:r>
        <w:rPr>
          <w:spacing w:val="-35"/>
        </w:rPr>
        <w:t> </w:t>
      </w:r>
      <w:r>
        <w:rPr/>
        <w:t>defined</w:t>
      </w:r>
      <w:r>
        <w:rPr>
          <w:spacing w:val="-33"/>
        </w:rPr>
        <w:t> </w:t>
      </w:r>
      <w:r>
        <w:rPr/>
        <w:t>in the FWMA. For Leeds district, these are identified</w:t>
      </w:r>
      <w:r>
        <w:rPr>
          <w:spacing w:val="33"/>
        </w:rPr>
        <w:t> </w:t>
      </w:r>
      <w:r>
        <w:rPr/>
        <w:t>as:</w:t>
      </w:r>
    </w:p>
    <w:p>
      <w:pPr>
        <w:pStyle w:val="ListParagraph"/>
        <w:numPr>
          <w:ilvl w:val="2"/>
          <w:numId w:val="11"/>
        </w:numPr>
        <w:tabs>
          <w:tab w:pos="1446" w:val="left" w:leader="none"/>
        </w:tabs>
        <w:spacing w:line="240" w:lineRule="auto" w:before="124" w:after="0"/>
        <w:ind w:left="1437" w:right="0" w:hanging="266"/>
        <w:jc w:val="left"/>
        <w:rPr>
          <w:color w:val="FF3F3A"/>
          <w:sz w:val="23"/>
        </w:rPr>
      </w:pPr>
      <w:r>
        <w:rPr>
          <w:sz w:val="23"/>
        </w:rPr>
        <w:t>Leeds City Council, as the</w:t>
      </w:r>
      <w:r>
        <w:rPr>
          <w:spacing w:val="18"/>
          <w:sz w:val="23"/>
        </w:rPr>
        <w:t> </w:t>
      </w:r>
      <w:r>
        <w:rPr>
          <w:sz w:val="23"/>
        </w:rPr>
        <w:t>LLFA;</w:t>
      </w:r>
    </w:p>
    <w:p>
      <w:pPr>
        <w:pStyle w:val="ListParagraph"/>
        <w:numPr>
          <w:ilvl w:val="2"/>
          <w:numId w:val="11"/>
        </w:numPr>
        <w:tabs>
          <w:tab w:pos="1446" w:val="left" w:leader="none"/>
        </w:tabs>
        <w:spacing w:line="240" w:lineRule="auto" w:before="33" w:after="0"/>
        <w:ind w:left="1437" w:right="0" w:hanging="266"/>
        <w:jc w:val="left"/>
        <w:rPr>
          <w:color w:val="FF362F"/>
          <w:sz w:val="23"/>
        </w:rPr>
      </w:pPr>
      <w:r>
        <w:rPr>
          <w:sz w:val="23"/>
        </w:rPr>
        <w:t>Leeds City Council, as Highway</w:t>
      </w:r>
      <w:r>
        <w:rPr>
          <w:spacing w:val="22"/>
          <w:sz w:val="23"/>
        </w:rPr>
        <w:t> </w:t>
      </w:r>
      <w:r>
        <w:rPr>
          <w:sz w:val="23"/>
        </w:rPr>
        <w:t>Authority;</w:t>
      </w:r>
    </w:p>
    <w:p>
      <w:pPr>
        <w:pStyle w:val="ListParagraph"/>
        <w:numPr>
          <w:ilvl w:val="2"/>
          <w:numId w:val="11"/>
        </w:numPr>
        <w:tabs>
          <w:tab w:pos="1443" w:val="left" w:leader="none"/>
        </w:tabs>
        <w:spacing w:line="240" w:lineRule="auto" w:before="23" w:after="0"/>
        <w:ind w:left="1442" w:right="0" w:hanging="271"/>
        <w:jc w:val="left"/>
        <w:rPr>
          <w:color w:val="FF2626"/>
          <w:sz w:val="23"/>
        </w:rPr>
      </w:pPr>
      <w:r>
        <w:rPr>
          <w:sz w:val="23"/>
        </w:rPr>
        <w:t>Yorkshire</w:t>
      </w:r>
      <w:r>
        <w:rPr>
          <w:spacing w:val="-15"/>
          <w:sz w:val="23"/>
        </w:rPr>
        <w:t> </w:t>
      </w:r>
      <w:r>
        <w:rPr>
          <w:sz w:val="23"/>
        </w:rPr>
        <w:t>Water</w:t>
      </w:r>
      <w:r>
        <w:rPr>
          <w:spacing w:val="-16"/>
          <w:sz w:val="23"/>
        </w:rPr>
        <w:t> </w:t>
      </w:r>
      <w:r>
        <w:rPr>
          <w:sz w:val="23"/>
        </w:rPr>
        <w:t>Services</w:t>
      </w:r>
      <w:r>
        <w:rPr>
          <w:spacing w:val="-12"/>
          <w:sz w:val="23"/>
        </w:rPr>
        <w:t> </w:t>
      </w:r>
      <w:r>
        <w:rPr>
          <w:sz w:val="23"/>
        </w:rPr>
        <w:t>Limited</w:t>
      </w:r>
      <w:r>
        <w:rPr>
          <w:spacing w:val="-17"/>
          <w:sz w:val="23"/>
        </w:rPr>
        <w:t> </w:t>
      </w:r>
      <w:r>
        <w:rPr>
          <w:sz w:val="23"/>
        </w:rPr>
        <w:t>(YWS),</w:t>
      </w:r>
      <w:r>
        <w:rPr>
          <w:spacing w:val="-10"/>
          <w:sz w:val="23"/>
        </w:rPr>
        <w:t> </w:t>
      </w:r>
      <w:r>
        <w:rPr>
          <w:sz w:val="23"/>
        </w:rPr>
        <w:t>as</w:t>
      </w:r>
      <w:r>
        <w:rPr>
          <w:spacing w:val="-26"/>
          <w:sz w:val="23"/>
        </w:rPr>
        <w:t> </w:t>
      </w:r>
      <w:r>
        <w:rPr>
          <w:sz w:val="23"/>
        </w:rPr>
        <w:t>the</w:t>
      </w:r>
      <w:r>
        <w:rPr>
          <w:spacing w:val="-16"/>
          <w:sz w:val="23"/>
        </w:rPr>
        <w:t> </w:t>
      </w:r>
      <w:r>
        <w:rPr>
          <w:sz w:val="23"/>
        </w:rPr>
        <w:t>Water</w:t>
      </w:r>
      <w:r>
        <w:rPr>
          <w:spacing w:val="-13"/>
          <w:sz w:val="23"/>
        </w:rPr>
        <w:t> </w:t>
      </w:r>
      <w:r>
        <w:rPr>
          <w:sz w:val="23"/>
        </w:rPr>
        <w:t>and</w:t>
      </w:r>
      <w:r>
        <w:rPr>
          <w:spacing w:val="-18"/>
          <w:sz w:val="23"/>
        </w:rPr>
        <w:t> </w:t>
      </w:r>
      <w:r>
        <w:rPr>
          <w:sz w:val="23"/>
        </w:rPr>
        <w:t>Sewerage</w:t>
      </w:r>
      <w:r>
        <w:rPr>
          <w:spacing w:val="-16"/>
          <w:sz w:val="23"/>
        </w:rPr>
        <w:t> </w:t>
      </w:r>
      <w:r>
        <w:rPr>
          <w:sz w:val="23"/>
        </w:rPr>
        <w:t>Company</w:t>
      </w:r>
      <w:r>
        <w:rPr>
          <w:spacing w:val="-10"/>
          <w:sz w:val="23"/>
        </w:rPr>
        <w:t> </w:t>
      </w:r>
      <w:r>
        <w:rPr>
          <w:sz w:val="23"/>
        </w:rPr>
        <w:t>(WaSC);</w:t>
      </w:r>
    </w:p>
    <w:p>
      <w:pPr>
        <w:pStyle w:val="ListParagraph"/>
        <w:numPr>
          <w:ilvl w:val="2"/>
          <w:numId w:val="11"/>
        </w:numPr>
        <w:tabs>
          <w:tab w:pos="1445" w:val="left" w:leader="none"/>
        </w:tabs>
        <w:spacing w:line="240" w:lineRule="auto" w:before="24" w:after="0"/>
        <w:ind w:left="1444" w:right="0" w:hanging="273"/>
        <w:jc w:val="left"/>
        <w:rPr>
          <w:color w:val="FF2F2A"/>
          <w:sz w:val="23"/>
        </w:rPr>
      </w:pPr>
      <w:r>
        <w:rPr>
          <w:sz w:val="23"/>
        </w:rPr>
        <w:t>Environment</w:t>
      </w:r>
      <w:r>
        <w:rPr>
          <w:spacing w:val="7"/>
          <w:sz w:val="23"/>
        </w:rPr>
        <w:t> </w:t>
      </w:r>
      <w:r>
        <w:rPr>
          <w:sz w:val="23"/>
        </w:rPr>
        <w:t>Agency,</w:t>
      </w:r>
      <w:r>
        <w:rPr>
          <w:spacing w:val="-1"/>
          <w:sz w:val="23"/>
        </w:rPr>
        <w:t> </w:t>
      </w:r>
      <w:r>
        <w:rPr>
          <w:sz w:val="23"/>
        </w:rPr>
        <w:t>who</w:t>
      </w:r>
      <w:r>
        <w:rPr>
          <w:spacing w:val="-18"/>
          <w:sz w:val="23"/>
        </w:rPr>
        <w:t> </w:t>
      </w:r>
      <w:r>
        <w:rPr>
          <w:sz w:val="23"/>
        </w:rPr>
        <w:t>have</w:t>
      </w:r>
      <w:r>
        <w:rPr>
          <w:spacing w:val="-16"/>
          <w:sz w:val="23"/>
        </w:rPr>
        <w:t> </w:t>
      </w:r>
      <w:r>
        <w:rPr>
          <w:sz w:val="23"/>
        </w:rPr>
        <w:t>responsibility</w:t>
      </w:r>
      <w:r>
        <w:rPr>
          <w:spacing w:val="-18"/>
          <w:sz w:val="23"/>
        </w:rPr>
        <w:t> </w:t>
      </w:r>
      <w:r>
        <w:rPr>
          <w:sz w:val="23"/>
        </w:rPr>
        <w:t>for</w:t>
      </w:r>
      <w:r>
        <w:rPr>
          <w:spacing w:val="-18"/>
          <w:sz w:val="23"/>
        </w:rPr>
        <w:t> </w:t>
      </w:r>
      <w:r>
        <w:rPr>
          <w:sz w:val="23"/>
        </w:rPr>
        <w:t>managing</w:t>
      </w:r>
      <w:r>
        <w:rPr>
          <w:spacing w:val="-3"/>
          <w:sz w:val="23"/>
        </w:rPr>
        <w:t> </w:t>
      </w:r>
      <w:r>
        <w:rPr>
          <w:sz w:val="23"/>
        </w:rPr>
        <w:t>flood</w:t>
      </w:r>
      <w:r>
        <w:rPr>
          <w:spacing w:val="-16"/>
          <w:sz w:val="23"/>
        </w:rPr>
        <w:t> </w:t>
      </w:r>
      <w:r>
        <w:rPr>
          <w:sz w:val="23"/>
        </w:rPr>
        <w:t>risk</w:t>
      </w:r>
      <w:r>
        <w:rPr>
          <w:spacing w:val="-16"/>
          <w:sz w:val="23"/>
        </w:rPr>
        <w:t> </w:t>
      </w:r>
      <w:r>
        <w:rPr>
          <w:sz w:val="23"/>
        </w:rPr>
        <w:t>for</w:t>
      </w:r>
      <w:r>
        <w:rPr>
          <w:spacing w:val="-13"/>
          <w:sz w:val="23"/>
        </w:rPr>
        <w:t> </w:t>
      </w:r>
      <w:r>
        <w:rPr>
          <w:sz w:val="23"/>
        </w:rPr>
        <w:t>Main</w:t>
      </w:r>
      <w:r>
        <w:rPr>
          <w:spacing w:val="-9"/>
          <w:sz w:val="23"/>
        </w:rPr>
        <w:t> </w:t>
      </w:r>
      <w:r>
        <w:rPr>
          <w:sz w:val="23"/>
        </w:rPr>
        <w:t>Rivers;</w:t>
      </w:r>
    </w:p>
    <w:p>
      <w:pPr>
        <w:pStyle w:val="ListParagraph"/>
        <w:numPr>
          <w:ilvl w:val="2"/>
          <w:numId w:val="11"/>
        </w:numPr>
        <w:tabs>
          <w:tab w:pos="1444" w:val="left" w:leader="none"/>
        </w:tabs>
        <w:spacing w:line="271" w:lineRule="auto" w:before="23" w:after="0"/>
        <w:ind w:left="1437" w:right="438" w:hanging="266"/>
        <w:jc w:val="left"/>
        <w:rPr>
          <w:color w:val="DD4B26"/>
          <w:sz w:val="23"/>
        </w:rPr>
      </w:pPr>
      <w:r>
        <w:rPr>
          <w:w w:val="95"/>
          <w:sz w:val="23"/>
        </w:rPr>
        <w:t>Highways England (previously Highways Agency), who have responsibility for motorways and </w:t>
      </w:r>
      <w:r>
        <w:rPr>
          <w:sz w:val="23"/>
        </w:rPr>
        <w:t>major trunk roads,</w:t>
      </w:r>
      <w:r>
        <w:rPr>
          <w:spacing w:val="14"/>
          <w:sz w:val="23"/>
        </w:rPr>
        <w:t> </w:t>
      </w:r>
      <w:r>
        <w:rPr>
          <w:sz w:val="23"/>
        </w:rPr>
        <w:t>and</w:t>
      </w:r>
    </w:p>
    <w:p>
      <w:pPr>
        <w:pStyle w:val="ListParagraph"/>
        <w:numPr>
          <w:ilvl w:val="2"/>
          <w:numId w:val="11"/>
        </w:numPr>
        <w:tabs>
          <w:tab w:pos="1444" w:val="left" w:leader="none"/>
        </w:tabs>
        <w:spacing w:line="252" w:lineRule="exact" w:before="0" w:after="0"/>
        <w:ind w:left="1443" w:right="0" w:hanging="272"/>
        <w:jc w:val="left"/>
        <w:rPr>
          <w:color w:val="EF2F26"/>
          <w:sz w:val="23"/>
        </w:rPr>
      </w:pPr>
      <w:r>
        <w:rPr>
          <w:sz w:val="23"/>
        </w:rPr>
        <w:t>Ainsty IDB, the Internal Drainage Board</w:t>
      </w:r>
      <w:r>
        <w:rPr>
          <w:spacing w:val="34"/>
          <w:sz w:val="23"/>
        </w:rPr>
        <w:t> </w:t>
      </w:r>
      <w:r>
        <w:rPr>
          <w:sz w:val="23"/>
        </w:rPr>
        <w:t>(IDB).</w:t>
      </w:r>
    </w:p>
    <w:p>
      <w:pPr>
        <w:pStyle w:val="BodyText"/>
        <w:spacing w:line="264" w:lineRule="auto" w:before="149"/>
        <w:ind w:left="1018" w:firstLine="2"/>
      </w:pPr>
      <w:r>
        <w:rPr/>
        <w:t>As</w:t>
      </w:r>
      <w:r>
        <w:rPr>
          <w:spacing w:val="-28"/>
        </w:rPr>
        <w:t> </w:t>
      </w:r>
      <w:r>
        <w:rPr/>
        <w:t>RMAs</w:t>
      </w:r>
      <w:r>
        <w:rPr>
          <w:spacing w:val="-23"/>
        </w:rPr>
        <w:t> </w:t>
      </w:r>
      <w:r>
        <w:rPr/>
        <w:t>each</w:t>
      </w:r>
      <w:r>
        <w:rPr>
          <w:spacing w:val="-23"/>
        </w:rPr>
        <w:t> </w:t>
      </w:r>
      <w:r>
        <w:rPr/>
        <w:t>of</w:t>
      </w:r>
      <w:r>
        <w:rPr>
          <w:spacing w:val="-28"/>
        </w:rPr>
        <w:t> </w:t>
      </w:r>
      <w:r>
        <w:rPr/>
        <w:t>the</w:t>
      </w:r>
      <w:r>
        <w:rPr>
          <w:spacing w:val="-27"/>
        </w:rPr>
        <w:t> </w:t>
      </w:r>
      <w:r>
        <w:rPr/>
        <w:t>above</w:t>
      </w:r>
      <w:r>
        <w:rPr>
          <w:spacing w:val="-21"/>
        </w:rPr>
        <w:t> </w:t>
      </w:r>
      <w:r>
        <w:rPr/>
        <w:t>authorities</w:t>
      </w:r>
      <w:r>
        <w:rPr>
          <w:spacing w:val="-25"/>
        </w:rPr>
        <w:t> </w:t>
      </w:r>
      <w:r>
        <w:rPr/>
        <w:t>has</w:t>
      </w:r>
      <w:r>
        <w:rPr>
          <w:spacing w:val="-26"/>
        </w:rPr>
        <w:t> </w:t>
      </w:r>
      <w:r>
        <w:rPr/>
        <w:t>specific</w:t>
      </w:r>
      <w:r>
        <w:rPr>
          <w:spacing w:val="-24"/>
        </w:rPr>
        <w:t> </w:t>
      </w:r>
      <w:r>
        <w:rPr/>
        <w:t>responsibilities</w:t>
      </w:r>
      <w:r>
        <w:rPr>
          <w:spacing w:val="-31"/>
        </w:rPr>
        <w:t> </w:t>
      </w:r>
      <w:r>
        <w:rPr/>
        <w:t>in</w:t>
      </w:r>
      <w:r>
        <w:rPr>
          <w:spacing w:val="-31"/>
        </w:rPr>
        <w:t> </w:t>
      </w:r>
      <w:r>
        <w:rPr/>
        <w:t>relation</w:t>
      </w:r>
      <w:r>
        <w:rPr>
          <w:spacing w:val="-27"/>
        </w:rPr>
        <w:t> </w:t>
      </w:r>
      <w:r>
        <w:rPr/>
        <w:t>to</w:t>
      </w:r>
      <w:r>
        <w:rPr>
          <w:spacing w:val="-30"/>
        </w:rPr>
        <w:t> </w:t>
      </w:r>
      <w:r>
        <w:rPr/>
        <w:t>FCERM</w:t>
      </w:r>
      <w:r>
        <w:rPr>
          <w:spacing w:val="-16"/>
        </w:rPr>
        <w:t> </w:t>
      </w:r>
      <w:r>
        <w:rPr/>
        <w:t>and</w:t>
      </w:r>
      <w:r>
        <w:rPr>
          <w:spacing w:val="-25"/>
        </w:rPr>
        <w:t> </w:t>
      </w:r>
      <w:r>
        <w:rPr/>
        <w:t>must also</w:t>
      </w:r>
      <w:r>
        <w:rPr>
          <w:spacing w:val="-34"/>
        </w:rPr>
        <w:t> </w:t>
      </w:r>
      <w:r>
        <w:rPr/>
        <w:t>coordinate</w:t>
      </w:r>
      <w:r>
        <w:rPr>
          <w:spacing w:val="-28"/>
        </w:rPr>
        <w:t> </w:t>
      </w:r>
      <w:r>
        <w:rPr/>
        <w:t>their</w:t>
      </w:r>
      <w:r>
        <w:rPr>
          <w:spacing w:val="-31"/>
        </w:rPr>
        <w:t> </w:t>
      </w:r>
      <w:r>
        <w:rPr/>
        <w:t>activities</w:t>
      </w:r>
      <w:r>
        <w:rPr>
          <w:spacing w:val="-31"/>
        </w:rPr>
        <w:t> </w:t>
      </w:r>
      <w:r>
        <w:rPr/>
        <w:t>with</w:t>
      </w:r>
      <w:r>
        <w:rPr>
          <w:spacing w:val="-31"/>
        </w:rPr>
        <w:t> </w:t>
      </w:r>
      <w:r>
        <w:rPr/>
        <w:t>each</w:t>
      </w:r>
      <w:r>
        <w:rPr>
          <w:spacing w:val="-30"/>
        </w:rPr>
        <w:t> </w:t>
      </w:r>
      <w:r>
        <w:rPr/>
        <w:t>other.</w:t>
      </w:r>
      <w:r>
        <w:rPr>
          <w:spacing w:val="-34"/>
        </w:rPr>
        <w:t> </w:t>
      </w:r>
      <w:r>
        <w:rPr/>
        <w:t>In</w:t>
      </w:r>
      <w:r>
        <w:rPr>
          <w:spacing w:val="-38"/>
        </w:rPr>
        <w:t> </w:t>
      </w:r>
      <w:r>
        <w:rPr/>
        <w:t>preparation</w:t>
      </w:r>
      <w:r>
        <w:rPr>
          <w:spacing w:val="-24"/>
        </w:rPr>
        <w:t> </w:t>
      </w:r>
      <w:r>
        <w:rPr/>
        <w:t>of</w:t>
      </w:r>
      <w:r>
        <w:rPr>
          <w:spacing w:val="-35"/>
        </w:rPr>
        <w:t> </w:t>
      </w:r>
      <w:r>
        <w:rPr/>
        <w:t>the</w:t>
      </w:r>
      <w:r>
        <w:rPr>
          <w:spacing w:val="-33"/>
        </w:rPr>
        <w:t> </w:t>
      </w:r>
      <w:r>
        <w:rPr/>
        <w:t>LFRMS,</w:t>
      </w:r>
      <w:r>
        <w:rPr>
          <w:spacing w:val="-28"/>
        </w:rPr>
        <w:t> </w:t>
      </w:r>
      <w:r>
        <w:rPr/>
        <w:t>a</w:t>
      </w:r>
      <w:r>
        <w:rPr>
          <w:spacing w:val="-34"/>
        </w:rPr>
        <w:t> </w:t>
      </w:r>
      <w:r>
        <w:rPr/>
        <w:t>limited</w:t>
      </w:r>
      <w:r>
        <w:rPr>
          <w:spacing w:val="-31"/>
        </w:rPr>
        <w:t> </w:t>
      </w:r>
      <w:r>
        <w:rPr/>
        <w:t>consultation</w:t>
      </w:r>
      <w:r>
        <w:rPr>
          <w:spacing w:val="-24"/>
        </w:rPr>
        <w:t> </w:t>
      </w:r>
      <w:r>
        <w:rPr/>
        <w:t>of RMAs</w:t>
      </w:r>
      <w:r>
        <w:rPr>
          <w:spacing w:val="-24"/>
        </w:rPr>
        <w:t> </w:t>
      </w:r>
      <w:r>
        <w:rPr/>
        <w:t>was</w:t>
      </w:r>
      <w:r>
        <w:rPr>
          <w:spacing w:val="-29"/>
        </w:rPr>
        <w:t> </w:t>
      </w:r>
      <w:r>
        <w:rPr/>
        <w:t>undertaken.</w:t>
      </w:r>
      <w:r>
        <w:rPr>
          <w:spacing w:val="-14"/>
        </w:rPr>
        <w:t> </w:t>
      </w:r>
      <w:r>
        <w:rPr/>
        <w:t>The</w:t>
      </w:r>
      <w:r>
        <w:rPr>
          <w:spacing w:val="-31"/>
        </w:rPr>
        <w:t> </w:t>
      </w:r>
      <w:r>
        <w:rPr/>
        <w:t>key</w:t>
      </w:r>
      <w:r>
        <w:rPr>
          <w:spacing w:val="-27"/>
        </w:rPr>
        <w:t> </w:t>
      </w:r>
      <w:r>
        <w:rPr/>
        <w:t>responsibilities</w:t>
      </w:r>
      <w:r>
        <w:rPr>
          <w:spacing w:val="-27"/>
        </w:rPr>
        <w:t> </w:t>
      </w:r>
      <w:r>
        <w:rPr/>
        <w:t>of</w:t>
      </w:r>
      <w:r>
        <w:rPr>
          <w:spacing w:val="-24"/>
        </w:rPr>
        <w:t> </w:t>
      </w:r>
      <w:r>
        <w:rPr/>
        <w:t>each</w:t>
      </w:r>
      <w:r>
        <w:rPr>
          <w:spacing w:val="-22"/>
        </w:rPr>
        <w:t> </w:t>
      </w:r>
      <w:r>
        <w:rPr/>
        <w:t>of</w:t>
      </w:r>
      <w:r>
        <w:rPr>
          <w:spacing w:val="-30"/>
        </w:rPr>
        <w:t> </w:t>
      </w:r>
      <w:r>
        <w:rPr/>
        <w:t>the</w:t>
      </w:r>
      <w:r>
        <w:rPr>
          <w:spacing w:val="-27"/>
        </w:rPr>
        <w:t> </w:t>
      </w:r>
      <w:r>
        <w:rPr/>
        <w:t>above</w:t>
      </w:r>
      <w:r>
        <w:rPr>
          <w:spacing w:val="-23"/>
        </w:rPr>
        <w:t> </w:t>
      </w:r>
      <w:r>
        <w:rPr/>
        <w:t>authorities</w:t>
      </w:r>
      <w:r>
        <w:rPr>
          <w:spacing w:val="-27"/>
        </w:rPr>
        <w:t> </w:t>
      </w:r>
      <w:r>
        <w:rPr/>
        <w:t>are</w:t>
      </w:r>
      <w:r>
        <w:rPr>
          <w:spacing w:val="-27"/>
        </w:rPr>
        <w:t> </w:t>
      </w:r>
      <w:r>
        <w:rPr/>
        <w:t>outlined</w:t>
      </w:r>
      <w:r>
        <w:rPr>
          <w:spacing w:val="-21"/>
        </w:rPr>
        <w:t> </w:t>
      </w:r>
      <w:r>
        <w:rPr/>
        <w:t>in</w:t>
      </w:r>
      <w:r>
        <w:rPr>
          <w:spacing w:val="-29"/>
        </w:rPr>
        <w:t> </w:t>
      </w:r>
      <w:r>
        <w:rPr/>
        <w:t>the following</w:t>
      </w:r>
      <w:r>
        <w:rPr>
          <w:spacing w:val="29"/>
        </w:rPr>
        <w:t> </w:t>
      </w:r>
      <w:r>
        <w:rPr/>
        <w:t>sub-section.</w:t>
      </w:r>
    </w:p>
    <w:p>
      <w:pPr>
        <w:pStyle w:val="ListParagraph"/>
        <w:numPr>
          <w:ilvl w:val="1"/>
          <w:numId w:val="11"/>
        </w:numPr>
        <w:tabs>
          <w:tab w:pos="1019" w:val="left" w:leader="none"/>
          <w:tab w:pos="1020" w:val="left" w:leader="none"/>
        </w:tabs>
        <w:spacing w:line="240" w:lineRule="auto" w:before="133" w:after="0"/>
        <w:ind w:left="1019" w:right="0" w:hanging="855"/>
        <w:jc w:val="left"/>
        <w:rPr>
          <w:sz w:val="28"/>
        </w:rPr>
      </w:pPr>
      <w:r>
        <w:rPr>
          <w:sz w:val="28"/>
        </w:rPr>
        <w:t>LEEDS CITY</w:t>
      </w:r>
      <w:r>
        <w:rPr>
          <w:spacing w:val="23"/>
          <w:sz w:val="28"/>
        </w:rPr>
        <w:t> </w:t>
      </w:r>
      <w:r>
        <w:rPr>
          <w:sz w:val="28"/>
        </w:rPr>
        <w:t>COUNCIL</w:t>
      </w:r>
    </w:p>
    <w:p>
      <w:pPr>
        <w:pStyle w:val="BodyText"/>
        <w:spacing w:line="266" w:lineRule="auto" w:before="157"/>
        <w:ind w:left="1015" w:firstLine="7"/>
      </w:pPr>
      <w:r>
        <w:rPr/>
        <w:t>Leeds</w:t>
      </w:r>
      <w:r>
        <w:rPr>
          <w:spacing w:val="-38"/>
        </w:rPr>
        <w:t> </w:t>
      </w:r>
      <w:r>
        <w:rPr/>
        <w:t>City</w:t>
      </w:r>
      <w:r>
        <w:rPr>
          <w:spacing w:val="-36"/>
        </w:rPr>
        <w:t> </w:t>
      </w:r>
      <w:r>
        <w:rPr/>
        <w:t>Council’s</w:t>
      </w:r>
      <w:r>
        <w:rPr>
          <w:spacing w:val="-37"/>
        </w:rPr>
        <w:t> </w:t>
      </w:r>
      <w:r>
        <w:rPr/>
        <w:t>principal</w:t>
      </w:r>
      <w:r>
        <w:rPr>
          <w:spacing w:val="-31"/>
        </w:rPr>
        <w:t> </w:t>
      </w:r>
      <w:r>
        <w:rPr/>
        <w:t>responsibilities</w:t>
      </w:r>
      <w:r>
        <w:rPr>
          <w:spacing w:val="-43"/>
        </w:rPr>
        <w:t> </w:t>
      </w:r>
      <w:r>
        <w:rPr/>
        <w:t>as</w:t>
      </w:r>
      <w:r>
        <w:rPr>
          <w:spacing w:val="-38"/>
        </w:rPr>
        <w:t> </w:t>
      </w:r>
      <w:r>
        <w:rPr/>
        <w:t>LLFA</w:t>
      </w:r>
      <w:r>
        <w:rPr>
          <w:spacing w:val="-37"/>
        </w:rPr>
        <w:t> </w:t>
      </w:r>
      <w:r>
        <w:rPr/>
        <w:t>under</w:t>
      </w:r>
      <w:r>
        <w:rPr>
          <w:spacing w:val="-38"/>
        </w:rPr>
        <w:t> </w:t>
      </w:r>
      <w:r>
        <w:rPr/>
        <w:t>the</w:t>
      </w:r>
      <w:r>
        <w:rPr>
          <w:spacing w:val="-39"/>
        </w:rPr>
        <w:t> </w:t>
      </w:r>
      <w:r>
        <w:rPr/>
        <w:t>FWMA</w:t>
      </w:r>
      <w:r>
        <w:rPr>
          <w:spacing w:val="-30"/>
        </w:rPr>
        <w:t> </w:t>
      </w:r>
      <w:r>
        <w:rPr/>
        <w:t>and</w:t>
      </w:r>
      <w:r>
        <w:rPr>
          <w:spacing w:val="-34"/>
        </w:rPr>
        <w:t> </w:t>
      </w:r>
      <w:r>
        <w:rPr/>
        <w:t>FRR</w:t>
      </w:r>
      <w:r>
        <w:rPr>
          <w:spacing w:val="-36"/>
        </w:rPr>
        <w:t> </w:t>
      </w:r>
      <w:r>
        <w:rPr/>
        <w:t>are</w:t>
      </w:r>
      <w:r>
        <w:rPr>
          <w:spacing w:val="-39"/>
        </w:rPr>
        <w:t> </w:t>
      </w:r>
      <w:r>
        <w:rPr/>
        <w:t>summarised below.</w:t>
      </w:r>
      <w:r>
        <w:rPr>
          <w:spacing w:val="-28"/>
        </w:rPr>
        <w:t> </w:t>
      </w:r>
      <w:r>
        <w:rPr/>
        <w:t>The</w:t>
      </w:r>
      <w:r>
        <w:rPr>
          <w:spacing w:val="-37"/>
        </w:rPr>
        <w:t> </w:t>
      </w:r>
      <w:r>
        <w:rPr/>
        <w:t>following</w:t>
      </w:r>
      <w:r>
        <w:rPr>
          <w:spacing w:val="-32"/>
        </w:rPr>
        <w:t> </w:t>
      </w:r>
      <w:r>
        <w:rPr/>
        <w:t>responsibilities</w:t>
      </w:r>
      <w:r>
        <w:rPr>
          <w:spacing w:val="-36"/>
        </w:rPr>
        <w:t> </w:t>
      </w:r>
      <w:r>
        <w:rPr/>
        <w:t>supplement</w:t>
      </w:r>
      <w:r>
        <w:rPr>
          <w:spacing w:val="-24"/>
        </w:rPr>
        <w:t> </w:t>
      </w:r>
      <w:r>
        <w:rPr/>
        <w:t>any</w:t>
      </w:r>
      <w:r>
        <w:rPr>
          <w:spacing w:val="-33"/>
        </w:rPr>
        <w:t> </w:t>
      </w:r>
      <w:r>
        <w:rPr/>
        <w:t>existing</w:t>
      </w:r>
      <w:r>
        <w:rPr>
          <w:spacing w:val="-29"/>
        </w:rPr>
        <w:t> </w:t>
      </w:r>
      <w:r>
        <w:rPr/>
        <w:t>duties</w:t>
      </w:r>
      <w:r>
        <w:rPr>
          <w:spacing w:val="-35"/>
        </w:rPr>
        <w:t> </w:t>
      </w:r>
      <w:r>
        <w:rPr/>
        <w:t>under</w:t>
      </w:r>
      <w:r>
        <w:rPr>
          <w:spacing w:val="-36"/>
        </w:rPr>
        <w:t> </w:t>
      </w:r>
      <w:r>
        <w:rPr/>
        <w:t>the</w:t>
      </w:r>
      <w:r>
        <w:rPr>
          <w:spacing w:val="-36"/>
        </w:rPr>
        <w:t> </w:t>
      </w:r>
      <w:r>
        <w:rPr/>
        <w:t>Land</w:t>
      </w:r>
      <w:r>
        <w:rPr>
          <w:spacing w:val="-32"/>
        </w:rPr>
        <w:t> </w:t>
      </w:r>
      <w:r>
        <w:rPr/>
        <w:t>Drainage</w:t>
      </w:r>
      <w:r>
        <w:rPr>
          <w:spacing w:val="-30"/>
        </w:rPr>
        <w:t> </w:t>
      </w:r>
      <w:r>
        <w:rPr/>
        <w:t>Act 1991.</w:t>
      </w:r>
    </w:p>
    <w:p>
      <w:pPr>
        <w:pStyle w:val="ListParagraph"/>
        <w:numPr>
          <w:ilvl w:val="2"/>
          <w:numId w:val="11"/>
        </w:numPr>
        <w:tabs>
          <w:tab w:pos="1446" w:val="left" w:leader="none"/>
        </w:tabs>
        <w:spacing w:line="271" w:lineRule="auto" w:before="108" w:after="0"/>
        <w:ind w:left="1437" w:right="581" w:hanging="266"/>
        <w:jc w:val="left"/>
        <w:rPr>
          <w:color w:val="F93834"/>
          <w:sz w:val="23"/>
        </w:rPr>
      </w:pPr>
      <w:r>
        <w:rPr>
          <w:sz w:val="23"/>
        </w:rPr>
        <w:t>Local</w:t>
      </w:r>
      <w:r>
        <w:rPr>
          <w:spacing w:val="-38"/>
          <w:sz w:val="23"/>
        </w:rPr>
        <w:t> </w:t>
      </w:r>
      <w:r>
        <w:rPr>
          <w:sz w:val="23"/>
        </w:rPr>
        <w:t>Flood</w:t>
      </w:r>
      <w:r>
        <w:rPr>
          <w:spacing w:val="-36"/>
          <w:sz w:val="23"/>
        </w:rPr>
        <w:t> </w:t>
      </w:r>
      <w:r>
        <w:rPr>
          <w:sz w:val="23"/>
        </w:rPr>
        <w:t>Risk</w:t>
      </w:r>
      <w:r>
        <w:rPr>
          <w:spacing w:val="-35"/>
          <w:sz w:val="23"/>
        </w:rPr>
        <w:t> </w:t>
      </w:r>
      <w:r>
        <w:rPr>
          <w:sz w:val="23"/>
        </w:rPr>
        <w:t>Management</w:t>
      </w:r>
      <w:r>
        <w:rPr>
          <w:spacing w:val="-30"/>
          <w:sz w:val="23"/>
        </w:rPr>
        <w:t> </w:t>
      </w:r>
      <w:r>
        <w:rPr>
          <w:sz w:val="23"/>
        </w:rPr>
        <w:t>Strategy.</w:t>
      </w:r>
      <w:r>
        <w:rPr>
          <w:spacing w:val="-31"/>
          <w:sz w:val="23"/>
        </w:rPr>
        <w:t> </w:t>
      </w:r>
      <w:r>
        <w:rPr>
          <w:sz w:val="23"/>
        </w:rPr>
        <w:t>Develop,</w:t>
      </w:r>
      <w:r>
        <w:rPr>
          <w:spacing w:val="-35"/>
          <w:sz w:val="23"/>
        </w:rPr>
        <w:t> </w:t>
      </w:r>
      <w:r>
        <w:rPr>
          <w:sz w:val="23"/>
        </w:rPr>
        <w:t>maintain,</w:t>
      </w:r>
      <w:r>
        <w:rPr>
          <w:spacing w:val="-31"/>
          <w:sz w:val="23"/>
        </w:rPr>
        <w:t> </w:t>
      </w:r>
      <w:r>
        <w:rPr>
          <w:sz w:val="23"/>
        </w:rPr>
        <w:t>apply</w:t>
      </w:r>
      <w:r>
        <w:rPr>
          <w:spacing w:val="-34"/>
          <w:sz w:val="23"/>
        </w:rPr>
        <w:t> </w:t>
      </w:r>
      <w:r>
        <w:rPr>
          <w:sz w:val="23"/>
        </w:rPr>
        <w:t>and</w:t>
      </w:r>
      <w:r>
        <w:rPr>
          <w:spacing w:val="-42"/>
          <w:sz w:val="23"/>
        </w:rPr>
        <w:t> </w:t>
      </w:r>
      <w:r>
        <w:rPr>
          <w:sz w:val="23"/>
        </w:rPr>
        <w:t>monitor</w:t>
      </w:r>
      <w:r>
        <w:rPr>
          <w:spacing w:val="-36"/>
          <w:sz w:val="23"/>
        </w:rPr>
        <w:t> </w:t>
      </w:r>
      <w:r>
        <w:rPr>
          <w:sz w:val="23"/>
        </w:rPr>
        <w:t>a</w:t>
      </w:r>
      <w:r>
        <w:rPr>
          <w:spacing w:val="-41"/>
          <w:sz w:val="23"/>
        </w:rPr>
        <w:t> </w:t>
      </w:r>
      <w:r>
        <w:rPr>
          <w:sz w:val="23"/>
        </w:rPr>
        <w:t>strategy</w:t>
      </w:r>
      <w:r>
        <w:rPr>
          <w:spacing w:val="-35"/>
          <w:sz w:val="23"/>
        </w:rPr>
        <w:t> </w:t>
      </w:r>
      <w:r>
        <w:rPr>
          <w:sz w:val="23"/>
        </w:rPr>
        <w:t>for managing local flood risk in the Leeds Metropolitan</w:t>
      </w:r>
      <w:r>
        <w:rPr>
          <w:spacing w:val="9"/>
          <w:sz w:val="23"/>
        </w:rPr>
        <w:t> </w:t>
      </w:r>
      <w:r>
        <w:rPr>
          <w:sz w:val="23"/>
        </w:rPr>
        <w:t>District.</w:t>
      </w:r>
    </w:p>
    <w:p>
      <w:pPr>
        <w:pStyle w:val="ListParagraph"/>
        <w:numPr>
          <w:ilvl w:val="2"/>
          <w:numId w:val="11"/>
        </w:numPr>
        <w:tabs>
          <w:tab w:pos="1445" w:val="left" w:leader="none"/>
        </w:tabs>
        <w:spacing w:line="266" w:lineRule="auto" w:before="0" w:after="0"/>
        <w:ind w:left="1441" w:right="572" w:hanging="270"/>
        <w:jc w:val="left"/>
        <w:rPr>
          <w:color w:val="FF2626"/>
          <w:sz w:val="23"/>
        </w:rPr>
      </w:pPr>
      <w:r>
        <w:rPr>
          <w:sz w:val="23"/>
        </w:rPr>
        <w:t>Preliminary</w:t>
      </w:r>
      <w:r>
        <w:rPr>
          <w:spacing w:val="-29"/>
          <w:sz w:val="23"/>
        </w:rPr>
        <w:t> </w:t>
      </w:r>
      <w:r>
        <w:rPr>
          <w:sz w:val="23"/>
        </w:rPr>
        <w:t>Flood</w:t>
      </w:r>
      <w:r>
        <w:rPr>
          <w:spacing w:val="-35"/>
          <w:sz w:val="23"/>
        </w:rPr>
        <w:t> </w:t>
      </w:r>
      <w:r>
        <w:rPr>
          <w:sz w:val="23"/>
        </w:rPr>
        <w:t>Risk</w:t>
      </w:r>
      <w:r>
        <w:rPr>
          <w:spacing w:val="-34"/>
          <w:sz w:val="23"/>
        </w:rPr>
        <w:t> </w:t>
      </w:r>
      <w:r>
        <w:rPr>
          <w:sz w:val="23"/>
        </w:rPr>
        <w:t>Assessment.</w:t>
      </w:r>
      <w:r>
        <w:rPr>
          <w:spacing w:val="-33"/>
          <w:sz w:val="23"/>
        </w:rPr>
        <w:t> </w:t>
      </w:r>
      <w:r>
        <w:rPr>
          <w:sz w:val="23"/>
        </w:rPr>
        <w:t>Report</w:t>
      </w:r>
      <w:r>
        <w:rPr>
          <w:spacing w:val="-33"/>
          <w:sz w:val="23"/>
        </w:rPr>
        <w:t> </w:t>
      </w:r>
      <w:r>
        <w:rPr>
          <w:sz w:val="23"/>
        </w:rPr>
        <w:t>on</w:t>
      </w:r>
      <w:r>
        <w:rPr>
          <w:spacing w:val="-37"/>
          <w:sz w:val="23"/>
        </w:rPr>
        <w:t> </w:t>
      </w:r>
      <w:r>
        <w:rPr>
          <w:sz w:val="23"/>
        </w:rPr>
        <w:t>historic,</w:t>
      </w:r>
      <w:r>
        <w:rPr>
          <w:spacing w:val="-31"/>
          <w:sz w:val="23"/>
        </w:rPr>
        <w:t> </w:t>
      </w:r>
      <w:r>
        <w:rPr>
          <w:sz w:val="23"/>
        </w:rPr>
        <w:t>current</w:t>
      </w:r>
      <w:r>
        <w:rPr>
          <w:spacing w:val="-31"/>
          <w:sz w:val="23"/>
        </w:rPr>
        <w:t> </w:t>
      </w:r>
      <w:r>
        <w:rPr>
          <w:sz w:val="23"/>
        </w:rPr>
        <w:t>and</w:t>
      </w:r>
      <w:r>
        <w:rPr>
          <w:spacing w:val="-40"/>
          <w:sz w:val="23"/>
        </w:rPr>
        <w:t> </w:t>
      </w:r>
      <w:r>
        <w:rPr>
          <w:sz w:val="23"/>
        </w:rPr>
        <w:t>future</w:t>
      </w:r>
      <w:r>
        <w:rPr>
          <w:spacing w:val="-39"/>
          <w:sz w:val="23"/>
        </w:rPr>
        <w:t> </w:t>
      </w:r>
      <w:r>
        <w:rPr>
          <w:sz w:val="23"/>
        </w:rPr>
        <w:t>understanding</w:t>
      </w:r>
      <w:r>
        <w:rPr>
          <w:spacing w:val="-27"/>
          <w:sz w:val="23"/>
        </w:rPr>
        <w:t> </w:t>
      </w:r>
      <w:r>
        <w:rPr>
          <w:sz w:val="23"/>
        </w:rPr>
        <w:t>of flood</w:t>
      </w:r>
      <w:r>
        <w:rPr>
          <w:spacing w:val="-30"/>
          <w:sz w:val="23"/>
        </w:rPr>
        <w:t> </w:t>
      </w:r>
      <w:r>
        <w:rPr>
          <w:sz w:val="23"/>
        </w:rPr>
        <w:t>risk</w:t>
      </w:r>
      <w:r>
        <w:rPr>
          <w:spacing w:val="-28"/>
          <w:sz w:val="23"/>
        </w:rPr>
        <w:t> </w:t>
      </w:r>
      <w:r>
        <w:rPr>
          <w:sz w:val="23"/>
        </w:rPr>
        <w:t>for</w:t>
      </w:r>
      <w:r>
        <w:rPr>
          <w:spacing w:val="-32"/>
          <w:sz w:val="23"/>
        </w:rPr>
        <w:t> </w:t>
      </w:r>
      <w:r>
        <w:rPr>
          <w:sz w:val="23"/>
        </w:rPr>
        <w:t>the</w:t>
      </w:r>
      <w:r>
        <w:rPr>
          <w:spacing w:val="-29"/>
          <w:sz w:val="23"/>
        </w:rPr>
        <w:t> </w:t>
      </w:r>
      <w:r>
        <w:rPr>
          <w:sz w:val="23"/>
        </w:rPr>
        <w:t>Leeds</w:t>
      </w:r>
      <w:r>
        <w:rPr>
          <w:spacing w:val="-27"/>
          <w:sz w:val="23"/>
        </w:rPr>
        <w:t> </w:t>
      </w:r>
      <w:r>
        <w:rPr>
          <w:sz w:val="23"/>
        </w:rPr>
        <w:t>district;</w:t>
      </w:r>
      <w:r>
        <w:rPr>
          <w:spacing w:val="-29"/>
          <w:sz w:val="23"/>
        </w:rPr>
        <w:t> </w:t>
      </w:r>
      <w:r>
        <w:rPr>
          <w:sz w:val="23"/>
        </w:rPr>
        <w:t>review</w:t>
      </w:r>
      <w:r>
        <w:rPr>
          <w:spacing w:val="-18"/>
          <w:sz w:val="23"/>
        </w:rPr>
        <w:t> </w:t>
      </w:r>
      <w:r>
        <w:rPr>
          <w:sz w:val="23"/>
        </w:rPr>
        <w:t>and</w:t>
      </w:r>
      <w:r>
        <w:rPr>
          <w:spacing w:val="-30"/>
          <w:sz w:val="23"/>
        </w:rPr>
        <w:t> </w:t>
      </w:r>
      <w:r>
        <w:rPr>
          <w:sz w:val="23"/>
        </w:rPr>
        <w:t>consider</w:t>
      </w:r>
      <w:r>
        <w:rPr>
          <w:spacing w:val="-25"/>
          <w:sz w:val="23"/>
        </w:rPr>
        <w:t> </w:t>
      </w:r>
      <w:r>
        <w:rPr>
          <w:sz w:val="23"/>
        </w:rPr>
        <w:t>changes</w:t>
      </w:r>
      <w:r>
        <w:rPr>
          <w:spacing w:val="-27"/>
          <w:sz w:val="23"/>
        </w:rPr>
        <w:t> </w:t>
      </w:r>
      <w:r>
        <w:rPr>
          <w:sz w:val="23"/>
        </w:rPr>
        <w:t>to</w:t>
      </w:r>
      <w:r>
        <w:rPr>
          <w:spacing w:val="-32"/>
          <w:sz w:val="23"/>
        </w:rPr>
        <w:t> </w:t>
      </w:r>
      <w:r>
        <w:rPr>
          <w:sz w:val="23"/>
        </w:rPr>
        <w:t>FRAs.</w:t>
      </w:r>
      <w:r>
        <w:rPr>
          <w:spacing w:val="-27"/>
          <w:sz w:val="23"/>
        </w:rPr>
        <w:t> </w:t>
      </w:r>
      <w:r>
        <w:rPr>
          <w:sz w:val="23"/>
        </w:rPr>
        <w:t>An</w:t>
      </w:r>
      <w:r>
        <w:rPr>
          <w:spacing w:val="-33"/>
          <w:sz w:val="23"/>
        </w:rPr>
        <w:t> </w:t>
      </w:r>
      <w:r>
        <w:rPr>
          <w:sz w:val="23"/>
        </w:rPr>
        <w:t>update</w:t>
      </w:r>
      <w:r>
        <w:rPr>
          <w:spacing w:val="-31"/>
          <w:sz w:val="23"/>
        </w:rPr>
        <w:t> </w:t>
      </w:r>
      <w:r>
        <w:rPr>
          <w:sz w:val="23"/>
        </w:rPr>
        <w:t>is</w:t>
      </w:r>
      <w:r>
        <w:rPr>
          <w:spacing w:val="-35"/>
          <w:sz w:val="23"/>
        </w:rPr>
        <w:t> </w:t>
      </w:r>
      <w:r>
        <w:rPr>
          <w:sz w:val="23"/>
        </w:rPr>
        <w:t>required every</w:t>
      </w:r>
      <w:r>
        <w:rPr>
          <w:spacing w:val="-9"/>
          <w:sz w:val="23"/>
        </w:rPr>
        <w:t> </w:t>
      </w:r>
      <w:r>
        <w:rPr>
          <w:sz w:val="23"/>
        </w:rPr>
        <w:t>six</w:t>
      </w:r>
      <w:r>
        <w:rPr>
          <w:spacing w:val="-9"/>
          <w:sz w:val="23"/>
        </w:rPr>
        <w:t> </w:t>
      </w:r>
      <w:r>
        <w:rPr>
          <w:sz w:val="23"/>
        </w:rPr>
        <w:t>years,</w:t>
      </w:r>
      <w:r>
        <w:rPr>
          <w:spacing w:val="-1"/>
          <w:sz w:val="23"/>
        </w:rPr>
        <w:t> </w:t>
      </w:r>
      <w:r>
        <w:rPr>
          <w:sz w:val="23"/>
        </w:rPr>
        <w:t>with</w:t>
      </w:r>
      <w:r>
        <w:rPr>
          <w:spacing w:val="-10"/>
          <w:sz w:val="23"/>
        </w:rPr>
        <w:t> </w:t>
      </w:r>
      <w:r>
        <w:rPr>
          <w:sz w:val="23"/>
        </w:rPr>
        <w:t>the</w:t>
      </w:r>
      <w:r>
        <w:rPr>
          <w:spacing w:val="-17"/>
          <w:sz w:val="23"/>
        </w:rPr>
        <w:t> </w:t>
      </w:r>
      <w:r>
        <w:rPr>
          <w:sz w:val="23"/>
        </w:rPr>
        <w:t>last</w:t>
      </w:r>
      <w:r>
        <w:rPr>
          <w:spacing w:val="-18"/>
          <w:sz w:val="23"/>
        </w:rPr>
        <w:t> </w:t>
      </w:r>
      <w:r>
        <w:rPr>
          <w:sz w:val="23"/>
        </w:rPr>
        <w:t>update</w:t>
      </w:r>
      <w:r>
        <w:rPr>
          <w:spacing w:val="-5"/>
          <w:sz w:val="23"/>
        </w:rPr>
        <w:t> </w:t>
      </w:r>
      <w:r>
        <w:rPr>
          <w:sz w:val="23"/>
        </w:rPr>
        <w:t>submitted</w:t>
      </w:r>
      <w:r>
        <w:rPr>
          <w:spacing w:val="-8"/>
          <w:sz w:val="23"/>
        </w:rPr>
        <w:t> </w:t>
      </w:r>
      <w:r>
        <w:rPr>
          <w:sz w:val="23"/>
        </w:rPr>
        <w:t>to</w:t>
      </w:r>
      <w:r>
        <w:rPr>
          <w:spacing w:val="-16"/>
          <w:sz w:val="23"/>
        </w:rPr>
        <w:t> </w:t>
      </w:r>
      <w:r>
        <w:rPr>
          <w:sz w:val="23"/>
        </w:rPr>
        <w:t>the</w:t>
      </w:r>
      <w:r>
        <w:rPr>
          <w:spacing w:val="-10"/>
          <w:sz w:val="23"/>
        </w:rPr>
        <w:t> </w:t>
      </w:r>
      <w:r>
        <w:rPr>
          <w:sz w:val="23"/>
        </w:rPr>
        <w:t>EA</w:t>
      </w:r>
      <w:r>
        <w:rPr>
          <w:spacing w:val="-8"/>
          <w:sz w:val="23"/>
        </w:rPr>
        <w:t> </w:t>
      </w:r>
      <w:r>
        <w:rPr>
          <w:sz w:val="23"/>
        </w:rPr>
        <w:t>on</w:t>
      </w:r>
      <w:r>
        <w:rPr>
          <w:spacing w:val="-7"/>
          <w:sz w:val="23"/>
        </w:rPr>
        <w:t> </w:t>
      </w:r>
      <w:r>
        <w:rPr>
          <w:sz w:val="23"/>
        </w:rPr>
        <w:t>22nd</w:t>
      </w:r>
      <w:r>
        <w:rPr>
          <w:spacing w:val="-2"/>
          <w:sz w:val="23"/>
        </w:rPr>
        <w:t> </w:t>
      </w:r>
      <w:r>
        <w:rPr>
          <w:sz w:val="23"/>
        </w:rPr>
        <w:t>June</w:t>
      </w:r>
      <w:r>
        <w:rPr>
          <w:spacing w:val="-4"/>
          <w:sz w:val="23"/>
        </w:rPr>
        <w:t> </w:t>
      </w:r>
      <w:r>
        <w:rPr>
          <w:sz w:val="23"/>
        </w:rPr>
        <w:t>2017.</w:t>
      </w:r>
    </w:p>
    <w:p>
      <w:pPr>
        <w:pStyle w:val="ListParagraph"/>
        <w:numPr>
          <w:ilvl w:val="2"/>
          <w:numId w:val="11"/>
        </w:numPr>
        <w:tabs>
          <w:tab w:pos="1442" w:val="left" w:leader="none"/>
        </w:tabs>
        <w:spacing w:line="261" w:lineRule="auto" w:before="0" w:after="0"/>
        <w:ind w:left="1437" w:right="999" w:hanging="266"/>
        <w:jc w:val="left"/>
        <w:rPr>
          <w:color w:val="DD4B26"/>
          <w:sz w:val="23"/>
        </w:rPr>
      </w:pPr>
      <w:r>
        <w:rPr>
          <w:sz w:val="23"/>
        </w:rPr>
        <w:t>Co-operation</w:t>
      </w:r>
      <w:r>
        <w:rPr>
          <w:spacing w:val="-34"/>
          <w:sz w:val="23"/>
        </w:rPr>
        <w:t> </w:t>
      </w:r>
      <w:r>
        <w:rPr>
          <w:sz w:val="23"/>
        </w:rPr>
        <w:t>&amp;</w:t>
      </w:r>
      <w:r>
        <w:rPr>
          <w:spacing w:val="-39"/>
          <w:sz w:val="23"/>
        </w:rPr>
        <w:t> </w:t>
      </w:r>
      <w:r>
        <w:rPr>
          <w:sz w:val="23"/>
        </w:rPr>
        <w:t>Arrangements.</w:t>
      </w:r>
      <w:r>
        <w:rPr>
          <w:spacing w:val="-31"/>
          <w:sz w:val="23"/>
        </w:rPr>
        <w:t> </w:t>
      </w:r>
      <w:r>
        <w:rPr>
          <w:sz w:val="23"/>
        </w:rPr>
        <w:t>Co-operate</w:t>
      </w:r>
      <w:r>
        <w:rPr>
          <w:spacing w:val="-32"/>
          <w:sz w:val="23"/>
        </w:rPr>
        <w:t> </w:t>
      </w:r>
      <w:r>
        <w:rPr>
          <w:sz w:val="23"/>
        </w:rPr>
        <w:t>with</w:t>
      </w:r>
      <w:r>
        <w:rPr>
          <w:spacing w:val="-39"/>
          <w:sz w:val="23"/>
        </w:rPr>
        <w:t> </w:t>
      </w:r>
      <w:r>
        <w:rPr>
          <w:sz w:val="23"/>
        </w:rPr>
        <w:t>other</w:t>
      </w:r>
      <w:r>
        <w:rPr>
          <w:spacing w:val="-39"/>
          <w:sz w:val="23"/>
        </w:rPr>
        <w:t> </w:t>
      </w:r>
      <w:r>
        <w:rPr>
          <w:sz w:val="23"/>
        </w:rPr>
        <w:t>RMAs</w:t>
      </w:r>
      <w:r>
        <w:rPr>
          <w:spacing w:val="-41"/>
          <w:sz w:val="23"/>
        </w:rPr>
        <w:t> </w:t>
      </w:r>
      <w:r>
        <w:rPr>
          <w:sz w:val="23"/>
        </w:rPr>
        <w:t>in</w:t>
      </w:r>
      <w:r>
        <w:rPr>
          <w:spacing w:val="-37"/>
          <w:sz w:val="23"/>
        </w:rPr>
        <w:t> </w:t>
      </w:r>
      <w:r>
        <w:rPr>
          <w:sz w:val="23"/>
        </w:rPr>
        <w:t>exercising</w:t>
      </w:r>
      <w:r>
        <w:rPr>
          <w:spacing w:val="-37"/>
          <w:sz w:val="23"/>
        </w:rPr>
        <w:t> </w:t>
      </w:r>
      <w:r>
        <w:rPr>
          <w:sz w:val="23"/>
        </w:rPr>
        <w:t>their</w:t>
      </w:r>
      <w:r>
        <w:rPr>
          <w:spacing w:val="-40"/>
          <w:sz w:val="23"/>
        </w:rPr>
        <w:t> </w:t>
      </w:r>
      <w:r>
        <w:rPr>
          <w:sz w:val="23"/>
        </w:rPr>
        <w:t>flood</w:t>
      </w:r>
      <w:r>
        <w:rPr>
          <w:spacing w:val="-41"/>
          <w:sz w:val="23"/>
        </w:rPr>
        <w:t> </w:t>
      </w:r>
      <w:r>
        <w:rPr>
          <w:sz w:val="23"/>
        </w:rPr>
        <w:t>risk management functions under both the FWMA and the</w:t>
      </w:r>
      <w:r>
        <w:rPr>
          <w:spacing w:val="1"/>
          <w:sz w:val="23"/>
        </w:rPr>
        <w:t> </w:t>
      </w:r>
      <w:r>
        <w:rPr>
          <w:sz w:val="23"/>
        </w:rPr>
        <w:t>FRR.</w:t>
      </w:r>
    </w:p>
    <w:p>
      <w:pPr>
        <w:pStyle w:val="ListParagraph"/>
        <w:numPr>
          <w:ilvl w:val="2"/>
          <w:numId w:val="11"/>
        </w:numPr>
        <w:tabs>
          <w:tab w:pos="1445" w:val="left" w:leader="none"/>
        </w:tabs>
        <w:spacing w:line="261" w:lineRule="auto" w:before="0" w:after="0"/>
        <w:ind w:left="1444" w:right="406" w:hanging="273"/>
        <w:jc w:val="left"/>
        <w:rPr>
          <w:color w:val="EF2F26"/>
          <w:sz w:val="23"/>
        </w:rPr>
      </w:pPr>
      <w:r>
        <w:rPr>
          <w:sz w:val="23"/>
        </w:rPr>
        <w:t>Power</w:t>
      </w:r>
      <w:r>
        <w:rPr>
          <w:spacing w:val="-37"/>
          <w:sz w:val="23"/>
        </w:rPr>
        <w:t> </w:t>
      </w:r>
      <w:r>
        <w:rPr>
          <w:sz w:val="23"/>
        </w:rPr>
        <w:t>to</w:t>
      </w:r>
      <w:r>
        <w:rPr>
          <w:spacing w:val="-38"/>
          <w:sz w:val="23"/>
        </w:rPr>
        <w:t> </w:t>
      </w:r>
      <w:r>
        <w:rPr>
          <w:sz w:val="23"/>
        </w:rPr>
        <w:t>Request</w:t>
      </w:r>
      <w:r>
        <w:rPr>
          <w:spacing w:val="-30"/>
          <w:sz w:val="23"/>
        </w:rPr>
        <w:t> </w:t>
      </w:r>
      <w:r>
        <w:rPr>
          <w:sz w:val="23"/>
        </w:rPr>
        <w:t>Information.</w:t>
      </w:r>
      <w:r>
        <w:rPr>
          <w:spacing w:val="-30"/>
          <w:sz w:val="23"/>
        </w:rPr>
        <w:t> </w:t>
      </w:r>
      <w:r>
        <w:rPr>
          <w:sz w:val="23"/>
        </w:rPr>
        <w:t>Request</w:t>
      </w:r>
      <w:r>
        <w:rPr>
          <w:spacing w:val="-29"/>
          <w:sz w:val="23"/>
        </w:rPr>
        <w:t> </w:t>
      </w:r>
      <w:r>
        <w:rPr>
          <w:sz w:val="23"/>
        </w:rPr>
        <w:t>a</w:t>
      </w:r>
      <w:r>
        <w:rPr>
          <w:spacing w:val="-41"/>
          <w:sz w:val="23"/>
        </w:rPr>
        <w:t> </w:t>
      </w:r>
      <w:r>
        <w:rPr>
          <w:sz w:val="23"/>
        </w:rPr>
        <w:t>person</w:t>
      </w:r>
      <w:r>
        <w:rPr>
          <w:spacing w:val="-34"/>
          <w:sz w:val="23"/>
        </w:rPr>
        <w:t> </w:t>
      </w:r>
      <w:r>
        <w:rPr>
          <w:sz w:val="23"/>
        </w:rPr>
        <w:t>to</w:t>
      </w:r>
      <w:r>
        <w:rPr>
          <w:spacing w:val="-40"/>
          <w:sz w:val="23"/>
        </w:rPr>
        <w:t> </w:t>
      </w:r>
      <w:r>
        <w:rPr>
          <w:sz w:val="23"/>
        </w:rPr>
        <w:t>provide</w:t>
      </w:r>
      <w:r>
        <w:rPr>
          <w:spacing w:val="-35"/>
          <w:sz w:val="23"/>
        </w:rPr>
        <w:t> </w:t>
      </w:r>
      <w:r>
        <w:rPr>
          <w:sz w:val="23"/>
        </w:rPr>
        <w:t>information</w:t>
      </w:r>
      <w:r>
        <w:rPr>
          <w:spacing w:val="-26"/>
          <w:sz w:val="23"/>
        </w:rPr>
        <w:t> </w:t>
      </w:r>
      <w:r>
        <w:rPr>
          <w:sz w:val="23"/>
        </w:rPr>
        <w:t>in</w:t>
      </w:r>
      <w:r>
        <w:rPr>
          <w:spacing w:val="-37"/>
          <w:sz w:val="23"/>
        </w:rPr>
        <w:t> </w:t>
      </w:r>
      <w:r>
        <w:rPr>
          <w:sz w:val="23"/>
        </w:rPr>
        <w:t>connection</w:t>
      </w:r>
      <w:r>
        <w:rPr>
          <w:spacing w:val="-28"/>
          <w:sz w:val="23"/>
        </w:rPr>
        <w:t> </w:t>
      </w:r>
      <w:r>
        <w:rPr>
          <w:sz w:val="23"/>
        </w:rPr>
        <w:t>with</w:t>
      </w:r>
      <w:r>
        <w:rPr>
          <w:spacing w:val="-36"/>
          <w:sz w:val="23"/>
        </w:rPr>
        <w:t> </w:t>
      </w:r>
      <w:r>
        <w:rPr>
          <w:sz w:val="23"/>
        </w:rPr>
        <w:t>the authority’s risk management</w:t>
      </w:r>
      <w:r>
        <w:rPr>
          <w:spacing w:val="23"/>
          <w:sz w:val="23"/>
        </w:rPr>
        <w:t> </w:t>
      </w:r>
      <w:r>
        <w:rPr>
          <w:sz w:val="23"/>
        </w:rPr>
        <w:t>functions.</w:t>
      </w:r>
    </w:p>
    <w:p>
      <w:pPr>
        <w:pStyle w:val="ListParagraph"/>
        <w:numPr>
          <w:ilvl w:val="2"/>
          <w:numId w:val="11"/>
        </w:numPr>
        <w:tabs>
          <w:tab w:pos="1445" w:val="left" w:leader="none"/>
        </w:tabs>
        <w:spacing w:line="271" w:lineRule="auto" w:before="0" w:after="0"/>
        <w:ind w:left="1437" w:right="953" w:hanging="266"/>
        <w:jc w:val="left"/>
        <w:rPr>
          <w:color w:val="DD4B26"/>
          <w:sz w:val="23"/>
        </w:rPr>
      </w:pPr>
      <w:r>
        <w:rPr>
          <w:sz w:val="23"/>
        </w:rPr>
        <w:t>Duty</w:t>
      </w:r>
      <w:r>
        <w:rPr>
          <w:spacing w:val="-32"/>
          <w:sz w:val="23"/>
        </w:rPr>
        <w:t> </w:t>
      </w:r>
      <w:r>
        <w:rPr>
          <w:sz w:val="23"/>
        </w:rPr>
        <w:t>to</w:t>
      </w:r>
      <w:r>
        <w:rPr>
          <w:spacing w:val="-36"/>
          <w:sz w:val="23"/>
        </w:rPr>
        <w:t> </w:t>
      </w:r>
      <w:r>
        <w:rPr>
          <w:sz w:val="23"/>
        </w:rPr>
        <w:t>Maintain</w:t>
      </w:r>
      <w:r>
        <w:rPr>
          <w:spacing w:val="-27"/>
          <w:sz w:val="23"/>
        </w:rPr>
        <w:t> </w:t>
      </w:r>
      <w:r>
        <w:rPr>
          <w:sz w:val="23"/>
        </w:rPr>
        <w:t>a</w:t>
      </w:r>
      <w:r>
        <w:rPr>
          <w:spacing w:val="-37"/>
          <w:sz w:val="23"/>
        </w:rPr>
        <w:t> </w:t>
      </w:r>
      <w:r>
        <w:rPr>
          <w:sz w:val="23"/>
        </w:rPr>
        <w:t>Register.</w:t>
      </w:r>
      <w:r>
        <w:rPr>
          <w:spacing w:val="-26"/>
          <w:sz w:val="23"/>
        </w:rPr>
        <w:t> </w:t>
      </w:r>
      <w:r>
        <w:rPr>
          <w:sz w:val="23"/>
        </w:rPr>
        <w:t>Establish</w:t>
      </w:r>
      <w:r>
        <w:rPr>
          <w:spacing w:val="-27"/>
          <w:sz w:val="23"/>
        </w:rPr>
        <w:t> </w:t>
      </w:r>
      <w:r>
        <w:rPr>
          <w:sz w:val="23"/>
        </w:rPr>
        <w:t>and</w:t>
      </w:r>
      <w:r>
        <w:rPr>
          <w:spacing w:val="-36"/>
          <w:sz w:val="23"/>
        </w:rPr>
        <w:t> </w:t>
      </w:r>
      <w:r>
        <w:rPr>
          <w:sz w:val="23"/>
        </w:rPr>
        <w:t>maintain</w:t>
      </w:r>
      <w:r>
        <w:rPr>
          <w:spacing w:val="-27"/>
          <w:sz w:val="23"/>
        </w:rPr>
        <w:t> </w:t>
      </w:r>
      <w:r>
        <w:rPr>
          <w:sz w:val="23"/>
        </w:rPr>
        <w:t>a</w:t>
      </w:r>
      <w:r>
        <w:rPr>
          <w:spacing w:val="-40"/>
          <w:sz w:val="23"/>
        </w:rPr>
        <w:t> </w:t>
      </w:r>
      <w:r>
        <w:rPr>
          <w:sz w:val="23"/>
        </w:rPr>
        <w:t>register</w:t>
      </w:r>
      <w:r>
        <w:rPr>
          <w:spacing w:val="-30"/>
          <w:sz w:val="23"/>
        </w:rPr>
        <w:t> </w:t>
      </w:r>
      <w:r>
        <w:rPr>
          <w:sz w:val="23"/>
        </w:rPr>
        <w:t>of</w:t>
      </w:r>
      <w:r>
        <w:rPr>
          <w:spacing w:val="-34"/>
          <w:sz w:val="23"/>
        </w:rPr>
        <w:t> </w:t>
      </w:r>
      <w:r>
        <w:rPr>
          <w:sz w:val="23"/>
        </w:rPr>
        <w:t>structures</w:t>
      </w:r>
      <w:r>
        <w:rPr>
          <w:spacing w:val="-30"/>
          <w:sz w:val="23"/>
        </w:rPr>
        <w:t> </w:t>
      </w:r>
      <w:r>
        <w:rPr>
          <w:sz w:val="23"/>
        </w:rPr>
        <w:t>and</w:t>
      </w:r>
      <w:r>
        <w:rPr>
          <w:spacing w:val="-34"/>
          <w:sz w:val="23"/>
        </w:rPr>
        <w:t> </w:t>
      </w:r>
      <w:r>
        <w:rPr>
          <w:sz w:val="23"/>
        </w:rPr>
        <w:t>features, including</w:t>
      </w:r>
      <w:r>
        <w:rPr>
          <w:spacing w:val="-19"/>
          <w:sz w:val="23"/>
        </w:rPr>
        <w:t> </w:t>
      </w:r>
      <w:r>
        <w:rPr>
          <w:sz w:val="23"/>
        </w:rPr>
        <w:t>ownership,</w:t>
      </w:r>
      <w:r>
        <w:rPr>
          <w:spacing w:val="-18"/>
          <w:sz w:val="23"/>
        </w:rPr>
        <w:t> </w:t>
      </w:r>
      <w:r>
        <w:rPr>
          <w:sz w:val="23"/>
        </w:rPr>
        <w:t>which</w:t>
      </w:r>
      <w:r>
        <w:rPr>
          <w:spacing w:val="-25"/>
          <w:sz w:val="23"/>
        </w:rPr>
        <w:t> </w:t>
      </w:r>
      <w:r>
        <w:rPr>
          <w:sz w:val="23"/>
        </w:rPr>
        <w:t>are</w:t>
      </w:r>
      <w:r>
        <w:rPr>
          <w:spacing w:val="-33"/>
          <w:sz w:val="23"/>
        </w:rPr>
        <w:t> </w:t>
      </w:r>
      <w:r>
        <w:rPr>
          <w:sz w:val="23"/>
        </w:rPr>
        <w:t>believed</w:t>
      </w:r>
      <w:r>
        <w:rPr>
          <w:spacing w:val="-24"/>
          <w:sz w:val="23"/>
        </w:rPr>
        <w:t> </w:t>
      </w:r>
      <w:r>
        <w:rPr>
          <w:sz w:val="23"/>
        </w:rPr>
        <w:t>to</w:t>
      </w:r>
      <w:r>
        <w:rPr>
          <w:spacing w:val="-34"/>
          <w:sz w:val="23"/>
        </w:rPr>
        <w:t> </w:t>
      </w:r>
      <w:r>
        <w:rPr>
          <w:sz w:val="23"/>
        </w:rPr>
        <w:t>have</w:t>
      </w:r>
      <w:r>
        <w:rPr>
          <w:spacing w:val="-26"/>
          <w:sz w:val="23"/>
        </w:rPr>
        <w:t> </w:t>
      </w:r>
      <w:r>
        <w:rPr>
          <w:sz w:val="23"/>
        </w:rPr>
        <w:t>a</w:t>
      </w:r>
      <w:r>
        <w:rPr>
          <w:spacing w:val="-30"/>
          <w:sz w:val="23"/>
        </w:rPr>
        <w:t> </w:t>
      </w:r>
      <w:r>
        <w:rPr>
          <w:sz w:val="23"/>
        </w:rPr>
        <w:t>significant</w:t>
      </w:r>
      <w:r>
        <w:rPr>
          <w:spacing w:val="-19"/>
          <w:sz w:val="23"/>
        </w:rPr>
        <w:t> </w:t>
      </w:r>
      <w:r>
        <w:rPr>
          <w:sz w:val="23"/>
        </w:rPr>
        <w:t>effect</w:t>
      </w:r>
      <w:r>
        <w:rPr>
          <w:spacing w:val="-28"/>
          <w:sz w:val="23"/>
        </w:rPr>
        <w:t> </w:t>
      </w:r>
      <w:r>
        <w:rPr>
          <w:sz w:val="23"/>
        </w:rPr>
        <w:t>on</w:t>
      </w:r>
      <w:r>
        <w:rPr>
          <w:spacing w:val="-28"/>
          <w:sz w:val="23"/>
        </w:rPr>
        <w:t> </w:t>
      </w:r>
      <w:r>
        <w:rPr>
          <w:sz w:val="23"/>
        </w:rPr>
        <w:t>a</w:t>
      </w:r>
      <w:r>
        <w:rPr>
          <w:spacing w:val="-34"/>
          <w:sz w:val="23"/>
        </w:rPr>
        <w:t> </w:t>
      </w:r>
      <w:r>
        <w:rPr>
          <w:sz w:val="23"/>
        </w:rPr>
        <w:t>local</w:t>
      </w:r>
      <w:r>
        <w:rPr>
          <w:spacing w:val="-23"/>
          <w:sz w:val="23"/>
        </w:rPr>
        <w:t> </w:t>
      </w:r>
      <w:r>
        <w:rPr>
          <w:sz w:val="23"/>
        </w:rPr>
        <w:t>flood</w:t>
      </w:r>
      <w:r>
        <w:rPr>
          <w:spacing w:val="-29"/>
          <w:sz w:val="23"/>
        </w:rPr>
        <w:t> </w:t>
      </w:r>
      <w:r>
        <w:rPr>
          <w:sz w:val="23"/>
        </w:rPr>
        <w:t>risk.</w:t>
      </w:r>
    </w:p>
    <w:p>
      <w:pPr>
        <w:pStyle w:val="ListParagraph"/>
        <w:numPr>
          <w:ilvl w:val="2"/>
          <w:numId w:val="11"/>
        </w:numPr>
        <w:tabs>
          <w:tab w:pos="1444" w:val="left" w:leader="none"/>
        </w:tabs>
        <w:spacing w:line="261" w:lineRule="auto" w:before="0" w:after="0"/>
        <w:ind w:left="1439" w:right="345" w:hanging="268"/>
        <w:jc w:val="left"/>
        <w:rPr>
          <w:color w:val="FF362F"/>
          <w:sz w:val="23"/>
        </w:rPr>
      </w:pPr>
      <w:r>
        <w:rPr>
          <w:sz w:val="23"/>
        </w:rPr>
        <w:t>Flood</w:t>
      </w:r>
      <w:r>
        <w:rPr>
          <w:spacing w:val="-30"/>
          <w:sz w:val="23"/>
        </w:rPr>
        <w:t> </w:t>
      </w:r>
      <w:r>
        <w:rPr>
          <w:sz w:val="23"/>
        </w:rPr>
        <w:t>Risk</w:t>
      </w:r>
      <w:r>
        <w:rPr>
          <w:spacing w:val="-28"/>
          <w:sz w:val="23"/>
        </w:rPr>
        <w:t> </w:t>
      </w:r>
      <w:r>
        <w:rPr>
          <w:sz w:val="23"/>
        </w:rPr>
        <w:t>Management</w:t>
      </w:r>
      <w:r>
        <w:rPr>
          <w:spacing w:val="-24"/>
          <w:sz w:val="23"/>
        </w:rPr>
        <w:t> </w:t>
      </w:r>
      <w:r>
        <w:rPr>
          <w:sz w:val="23"/>
        </w:rPr>
        <w:t>Works</w:t>
      </w:r>
      <w:r>
        <w:rPr>
          <w:spacing w:val="-39"/>
          <w:sz w:val="23"/>
        </w:rPr>
        <w:t> </w:t>
      </w:r>
      <w:r>
        <w:rPr>
          <w:sz w:val="23"/>
        </w:rPr>
        <w:t>under</w:t>
      </w:r>
      <w:r>
        <w:rPr>
          <w:spacing w:val="-31"/>
          <w:sz w:val="23"/>
        </w:rPr>
        <w:t> </w:t>
      </w:r>
      <w:r>
        <w:rPr>
          <w:sz w:val="23"/>
        </w:rPr>
        <w:t>general</w:t>
      </w:r>
      <w:r>
        <w:rPr>
          <w:spacing w:val="-33"/>
          <w:sz w:val="23"/>
        </w:rPr>
        <w:t> </w:t>
      </w:r>
      <w:r>
        <w:rPr>
          <w:sz w:val="23"/>
        </w:rPr>
        <w:t>powers.</w:t>
      </w:r>
      <w:r>
        <w:rPr>
          <w:spacing w:val="-25"/>
          <w:sz w:val="23"/>
        </w:rPr>
        <w:t> </w:t>
      </w:r>
      <w:r>
        <w:rPr>
          <w:sz w:val="23"/>
        </w:rPr>
        <w:t>Undertake</w:t>
      </w:r>
      <w:r>
        <w:rPr>
          <w:spacing w:val="-29"/>
          <w:sz w:val="23"/>
        </w:rPr>
        <w:t> </w:t>
      </w:r>
      <w:r>
        <w:rPr>
          <w:sz w:val="23"/>
        </w:rPr>
        <w:t>works</w:t>
      </w:r>
      <w:r>
        <w:rPr>
          <w:spacing w:val="-35"/>
          <w:sz w:val="23"/>
        </w:rPr>
        <w:t> </w:t>
      </w:r>
      <w:r>
        <w:rPr>
          <w:sz w:val="23"/>
        </w:rPr>
        <w:t>to</w:t>
      </w:r>
      <w:r>
        <w:rPr>
          <w:spacing w:val="-39"/>
          <w:sz w:val="23"/>
        </w:rPr>
        <w:t> </w:t>
      </w:r>
      <w:r>
        <w:rPr>
          <w:sz w:val="23"/>
        </w:rPr>
        <w:t>manage</w:t>
      </w:r>
      <w:r>
        <w:rPr>
          <w:spacing w:val="-29"/>
          <w:sz w:val="23"/>
        </w:rPr>
        <w:t> </w:t>
      </w:r>
      <w:r>
        <w:rPr>
          <w:sz w:val="23"/>
        </w:rPr>
        <w:t>flood</w:t>
      </w:r>
      <w:r>
        <w:rPr>
          <w:spacing w:val="-33"/>
          <w:sz w:val="23"/>
        </w:rPr>
        <w:t> </w:t>
      </w:r>
      <w:r>
        <w:rPr>
          <w:sz w:val="23"/>
        </w:rPr>
        <w:t>risk from</w:t>
      </w:r>
      <w:r>
        <w:rPr>
          <w:spacing w:val="-35"/>
          <w:sz w:val="23"/>
        </w:rPr>
        <w:t> </w:t>
      </w:r>
      <w:r>
        <w:rPr>
          <w:sz w:val="23"/>
        </w:rPr>
        <w:t>surface</w:t>
      </w:r>
      <w:r>
        <w:rPr>
          <w:spacing w:val="-37"/>
          <w:sz w:val="23"/>
        </w:rPr>
        <w:t> </w:t>
      </w:r>
      <w:r>
        <w:rPr>
          <w:sz w:val="23"/>
        </w:rPr>
        <w:t>runoff,</w:t>
      </w:r>
      <w:r>
        <w:rPr>
          <w:spacing w:val="-37"/>
          <w:sz w:val="23"/>
        </w:rPr>
        <w:t> </w:t>
      </w:r>
      <w:r>
        <w:rPr>
          <w:sz w:val="23"/>
        </w:rPr>
        <w:t>groundwater</w:t>
      </w:r>
      <w:r>
        <w:rPr>
          <w:spacing w:val="-31"/>
          <w:sz w:val="23"/>
        </w:rPr>
        <w:t> </w:t>
      </w:r>
      <w:r>
        <w:rPr>
          <w:sz w:val="23"/>
        </w:rPr>
        <w:t>and</w:t>
      </w:r>
      <w:r>
        <w:rPr>
          <w:spacing w:val="-36"/>
          <w:sz w:val="23"/>
        </w:rPr>
        <w:t> </w:t>
      </w:r>
      <w:r>
        <w:rPr>
          <w:sz w:val="23"/>
        </w:rPr>
        <w:t>ordinary</w:t>
      </w:r>
      <w:r>
        <w:rPr>
          <w:spacing w:val="-33"/>
          <w:sz w:val="23"/>
        </w:rPr>
        <w:t> </w:t>
      </w:r>
      <w:r>
        <w:rPr>
          <w:sz w:val="23"/>
        </w:rPr>
        <w:t>watercourses</w:t>
      </w:r>
      <w:r>
        <w:rPr>
          <w:spacing w:val="-32"/>
          <w:sz w:val="23"/>
        </w:rPr>
        <w:t> </w:t>
      </w:r>
      <w:r>
        <w:rPr>
          <w:sz w:val="23"/>
        </w:rPr>
        <w:t>(all</w:t>
      </w:r>
      <w:r>
        <w:rPr>
          <w:spacing w:val="-37"/>
          <w:sz w:val="23"/>
        </w:rPr>
        <w:t> </w:t>
      </w:r>
      <w:r>
        <w:rPr>
          <w:sz w:val="23"/>
        </w:rPr>
        <w:t>works</w:t>
      </w:r>
      <w:r>
        <w:rPr>
          <w:spacing w:val="-40"/>
          <w:sz w:val="23"/>
        </w:rPr>
        <w:t> </w:t>
      </w:r>
      <w:r>
        <w:rPr>
          <w:sz w:val="23"/>
        </w:rPr>
        <w:t>must</w:t>
      </w:r>
      <w:r>
        <w:rPr>
          <w:spacing w:val="-41"/>
          <w:sz w:val="23"/>
        </w:rPr>
        <w:t> </w:t>
      </w:r>
      <w:r>
        <w:rPr>
          <w:sz w:val="23"/>
        </w:rPr>
        <w:t>be</w:t>
      </w:r>
      <w:r>
        <w:rPr>
          <w:spacing w:val="-40"/>
          <w:sz w:val="23"/>
        </w:rPr>
        <w:t> </w:t>
      </w:r>
      <w:r>
        <w:rPr>
          <w:sz w:val="23"/>
        </w:rPr>
        <w:t>consistent</w:t>
      </w:r>
      <w:r>
        <w:rPr>
          <w:spacing w:val="-32"/>
          <w:sz w:val="23"/>
        </w:rPr>
        <w:t> </w:t>
      </w:r>
      <w:r>
        <w:rPr>
          <w:sz w:val="23"/>
        </w:rPr>
        <w:t>with the</w:t>
      </w:r>
      <w:r>
        <w:rPr>
          <w:spacing w:val="2"/>
          <w:sz w:val="23"/>
        </w:rPr>
        <w:t> </w:t>
      </w:r>
      <w:r>
        <w:rPr>
          <w:sz w:val="23"/>
        </w:rPr>
        <w:t>LFRMS).</w:t>
      </w:r>
    </w:p>
    <w:p>
      <w:pPr>
        <w:pStyle w:val="ListParagraph"/>
        <w:numPr>
          <w:ilvl w:val="2"/>
          <w:numId w:val="11"/>
        </w:numPr>
        <w:tabs>
          <w:tab w:pos="1444" w:val="left" w:leader="none"/>
        </w:tabs>
        <w:spacing w:line="261" w:lineRule="auto" w:before="0" w:after="0"/>
        <w:ind w:left="1443" w:right="485" w:hanging="272"/>
        <w:jc w:val="left"/>
        <w:rPr>
          <w:color w:val="F93834"/>
          <w:sz w:val="23"/>
        </w:rPr>
      </w:pPr>
      <w:r>
        <w:rPr>
          <w:sz w:val="23"/>
        </w:rPr>
        <w:t>Flooding Investigations. Investigate flooding incidents in the district, to the extent that it is </w:t>
      </w:r>
      <w:r>
        <w:rPr>
          <w:w w:val="95"/>
          <w:sz w:val="23"/>
        </w:rPr>
        <w:t>considered necessary or appropriate, and in cooperation with other RMAs where</w:t>
      </w:r>
      <w:r>
        <w:rPr>
          <w:spacing w:val="-16"/>
          <w:w w:val="95"/>
          <w:sz w:val="23"/>
        </w:rPr>
        <w:t> </w:t>
      </w:r>
      <w:r>
        <w:rPr>
          <w:w w:val="95"/>
          <w:sz w:val="23"/>
        </w:rPr>
        <w:t>appropriate.</w:t>
      </w:r>
    </w:p>
    <w:p>
      <w:pPr>
        <w:pStyle w:val="ListParagraph"/>
        <w:numPr>
          <w:ilvl w:val="2"/>
          <w:numId w:val="11"/>
        </w:numPr>
        <w:tabs>
          <w:tab w:pos="1443" w:val="left" w:leader="none"/>
        </w:tabs>
        <w:spacing w:line="271" w:lineRule="auto" w:before="0" w:after="0"/>
        <w:ind w:left="1437" w:right="809" w:hanging="266"/>
        <w:jc w:val="left"/>
        <w:rPr>
          <w:color w:val="EF2F26"/>
          <w:sz w:val="23"/>
        </w:rPr>
      </w:pPr>
      <w:r>
        <w:rPr>
          <w:w w:val="95"/>
          <w:sz w:val="23"/>
        </w:rPr>
        <w:t>Sustainable Development. Contribute towards sustainable development through flood risk </w:t>
      </w:r>
      <w:r>
        <w:rPr>
          <w:sz w:val="23"/>
        </w:rPr>
        <w:t>management</w:t>
      </w:r>
      <w:r>
        <w:rPr>
          <w:spacing w:val="22"/>
          <w:sz w:val="23"/>
        </w:rPr>
        <w:t> </w:t>
      </w:r>
      <w:r>
        <w:rPr>
          <w:sz w:val="23"/>
        </w:rPr>
        <w:t>activities.</w:t>
      </w:r>
    </w:p>
    <w:p>
      <w:pPr>
        <w:pStyle w:val="ListParagraph"/>
        <w:numPr>
          <w:ilvl w:val="2"/>
          <w:numId w:val="11"/>
        </w:numPr>
        <w:tabs>
          <w:tab w:pos="1441" w:val="left" w:leader="none"/>
        </w:tabs>
        <w:spacing w:line="266" w:lineRule="auto" w:before="0" w:after="0"/>
        <w:ind w:left="1439" w:right="188" w:hanging="268"/>
        <w:jc w:val="left"/>
        <w:rPr>
          <w:color w:val="E2421C"/>
          <w:sz w:val="23"/>
        </w:rPr>
      </w:pPr>
      <w:r>
        <w:rPr>
          <w:sz w:val="23"/>
        </w:rPr>
        <w:t>Incidental</w:t>
      </w:r>
      <w:r>
        <w:rPr>
          <w:spacing w:val="-31"/>
          <w:sz w:val="23"/>
        </w:rPr>
        <w:t> </w:t>
      </w:r>
      <w:r>
        <w:rPr>
          <w:sz w:val="23"/>
        </w:rPr>
        <w:t>Flooding.</w:t>
      </w:r>
      <w:r>
        <w:rPr>
          <w:spacing w:val="-32"/>
          <w:sz w:val="23"/>
        </w:rPr>
        <w:t> </w:t>
      </w:r>
      <w:r>
        <w:rPr>
          <w:sz w:val="23"/>
        </w:rPr>
        <w:t>Plan,</w:t>
      </w:r>
      <w:r>
        <w:rPr>
          <w:spacing w:val="-36"/>
          <w:sz w:val="23"/>
        </w:rPr>
        <w:t> </w:t>
      </w:r>
      <w:r>
        <w:rPr>
          <w:sz w:val="23"/>
        </w:rPr>
        <w:t>erect,</w:t>
      </w:r>
      <w:r>
        <w:rPr>
          <w:spacing w:val="-42"/>
          <w:sz w:val="23"/>
        </w:rPr>
        <w:t> </w:t>
      </w:r>
      <w:r>
        <w:rPr>
          <w:sz w:val="23"/>
        </w:rPr>
        <w:t>maintain,</w:t>
      </w:r>
      <w:r>
        <w:rPr>
          <w:spacing w:val="-33"/>
          <w:sz w:val="23"/>
        </w:rPr>
        <w:t> </w:t>
      </w:r>
      <w:r>
        <w:rPr>
          <w:sz w:val="23"/>
        </w:rPr>
        <w:t>alter</w:t>
      </w:r>
      <w:r>
        <w:rPr>
          <w:spacing w:val="-39"/>
          <w:sz w:val="23"/>
        </w:rPr>
        <w:t> </w:t>
      </w:r>
      <w:r>
        <w:rPr>
          <w:sz w:val="23"/>
        </w:rPr>
        <w:t>or</w:t>
      </w:r>
      <w:r>
        <w:rPr>
          <w:spacing w:val="-44"/>
          <w:sz w:val="23"/>
        </w:rPr>
        <w:t> </w:t>
      </w:r>
      <w:r>
        <w:rPr>
          <w:sz w:val="23"/>
        </w:rPr>
        <w:t>remove</w:t>
      </w:r>
      <w:r>
        <w:rPr>
          <w:spacing w:val="-41"/>
          <w:sz w:val="23"/>
        </w:rPr>
        <w:t> </w:t>
      </w:r>
      <w:r>
        <w:rPr>
          <w:sz w:val="23"/>
        </w:rPr>
        <w:t>buildings</w:t>
      </w:r>
      <w:r>
        <w:rPr>
          <w:spacing w:val="-37"/>
          <w:sz w:val="23"/>
        </w:rPr>
        <w:t> </w:t>
      </w:r>
      <w:r>
        <w:rPr>
          <w:sz w:val="23"/>
        </w:rPr>
        <w:t>or</w:t>
      </w:r>
      <w:r>
        <w:rPr>
          <w:spacing w:val="-41"/>
          <w:sz w:val="23"/>
        </w:rPr>
        <w:t> </w:t>
      </w:r>
      <w:r>
        <w:rPr>
          <w:sz w:val="23"/>
        </w:rPr>
        <w:t>other</w:t>
      </w:r>
      <w:r>
        <w:rPr>
          <w:spacing w:val="-38"/>
          <w:sz w:val="23"/>
        </w:rPr>
        <w:t> </w:t>
      </w:r>
      <w:r>
        <w:rPr>
          <w:sz w:val="23"/>
        </w:rPr>
        <w:t>structures</w:t>
      </w:r>
      <w:r>
        <w:rPr>
          <w:spacing w:val="-39"/>
          <w:sz w:val="23"/>
        </w:rPr>
        <w:t> </w:t>
      </w:r>
      <w:r>
        <w:rPr>
          <w:sz w:val="23"/>
        </w:rPr>
        <w:t>(including those</w:t>
      </w:r>
      <w:r>
        <w:rPr>
          <w:spacing w:val="-22"/>
          <w:sz w:val="23"/>
        </w:rPr>
        <w:t> </w:t>
      </w:r>
      <w:r>
        <w:rPr>
          <w:sz w:val="23"/>
        </w:rPr>
        <w:t>used</w:t>
      </w:r>
      <w:r>
        <w:rPr>
          <w:spacing w:val="-20"/>
          <w:sz w:val="23"/>
        </w:rPr>
        <w:t> </w:t>
      </w:r>
      <w:r>
        <w:rPr>
          <w:sz w:val="23"/>
        </w:rPr>
        <w:t>for</w:t>
      </w:r>
      <w:r>
        <w:rPr>
          <w:spacing w:val="-28"/>
          <w:sz w:val="23"/>
        </w:rPr>
        <w:t> </w:t>
      </w:r>
      <w:r>
        <w:rPr>
          <w:sz w:val="23"/>
        </w:rPr>
        <w:t>flood</w:t>
      </w:r>
      <w:r>
        <w:rPr>
          <w:spacing w:val="-22"/>
          <w:sz w:val="23"/>
        </w:rPr>
        <w:t> </w:t>
      </w:r>
      <w:r>
        <w:rPr>
          <w:sz w:val="23"/>
        </w:rPr>
        <w:t>defence</w:t>
      </w:r>
      <w:r>
        <w:rPr>
          <w:spacing w:val="-25"/>
          <w:sz w:val="23"/>
        </w:rPr>
        <w:t> </w:t>
      </w:r>
      <w:r>
        <w:rPr>
          <w:sz w:val="23"/>
        </w:rPr>
        <w:t>purposes)</w:t>
      </w:r>
      <w:r>
        <w:rPr>
          <w:spacing w:val="-22"/>
          <w:sz w:val="23"/>
        </w:rPr>
        <w:t> </w:t>
      </w:r>
      <w:r>
        <w:rPr>
          <w:sz w:val="23"/>
        </w:rPr>
        <w:t>in</w:t>
      </w:r>
      <w:r>
        <w:rPr>
          <w:spacing w:val="-26"/>
          <w:sz w:val="23"/>
        </w:rPr>
        <w:t> </w:t>
      </w:r>
      <w:r>
        <w:rPr>
          <w:sz w:val="23"/>
        </w:rPr>
        <w:t>a</w:t>
      </w:r>
      <w:r>
        <w:rPr>
          <w:spacing w:val="-30"/>
          <w:sz w:val="23"/>
        </w:rPr>
        <w:t> </w:t>
      </w:r>
      <w:r>
        <w:rPr>
          <w:sz w:val="23"/>
        </w:rPr>
        <w:t>way</w:t>
      </w:r>
      <w:r>
        <w:rPr>
          <w:spacing w:val="-25"/>
          <w:sz w:val="23"/>
        </w:rPr>
        <w:t> </w:t>
      </w:r>
      <w:r>
        <w:rPr>
          <w:sz w:val="23"/>
        </w:rPr>
        <w:t>that</w:t>
      </w:r>
      <w:r>
        <w:rPr>
          <w:spacing w:val="-23"/>
          <w:sz w:val="23"/>
        </w:rPr>
        <w:t> </w:t>
      </w:r>
      <w:r>
        <w:rPr>
          <w:sz w:val="23"/>
        </w:rPr>
        <w:t>will</w:t>
      </w:r>
      <w:r>
        <w:rPr>
          <w:spacing w:val="-24"/>
          <w:sz w:val="23"/>
        </w:rPr>
        <w:t> </w:t>
      </w:r>
      <w:r>
        <w:rPr>
          <w:sz w:val="23"/>
        </w:rPr>
        <w:t>or</w:t>
      </w:r>
      <w:r>
        <w:rPr>
          <w:spacing w:val="-31"/>
          <w:sz w:val="23"/>
        </w:rPr>
        <w:t> </w:t>
      </w:r>
      <w:r>
        <w:rPr>
          <w:sz w:val="23"/>
        </w:rPr>
        <w:t>may</w:t>
      </w:r>
      <w:r>
        <w:rPr>
          <w:spacing w:val="-22"/>
          <w:sz w:val="23"/>
        </w:rPr>
        <w:t> </w:t>
      </w:r>
      <w:r>
        <w:rPr>
          <w:sz w:val="23"/>
        </w:rPr>
        <w:t>cause:</w:t>
      </w:r>
      <w:r>
        <w:rPr>
          <w:spacing w:val="-20"/>
          <w:sz w:val="23"/>
        </w:rPr>
        <w:t> </w:t>
      </w:r>
      <w:r>
        <w:rPr>
          <w:sz w:val="23"/>
        </w:rPr>
        <w:t>flooding,</w:t>
      </w:r>
      <w:r>
        <w:rPr>
          <w:spacing w:val="-14"/>
          <w:sz w:val="23"/>
        </w:rPr>
        <w:t> </w:t>
      </w:r>
      <w:r>
        <w:rPr>
          <w:sz w:val="23"/>
        </w:rPr>
        <w:t>an</w:t>
      </w:r>
      <w:r>
        <w:rPr>
          <w:spacing w:val="-29"/>
          <w:sz w:val="23"/>
        </w:rPr>
        <w:t> </w:t>
      </w:r>
      <w:r>
        <w:rPr>
          <w:sz w:val="23"/>
        </w:rPr>
        <w:t>increase</w:t>
      </w:r>
      <w:r>
        <w:rPr>
          <w:spacing w:val="-26"/>
          <w:sz w:val="23"/>
        </w:rPr>
        <w:t> </w:t>
      </w:r>
      <w:r>
        <w:rPr>
          <w:sz w:val="23"/>
        </w:rPr>
        <w:t>in the amount of water below ground, or coastal</w:t>
      </w:r>
      <w:r>
        <w:rPr>
          <w:spacing w:val="27"/>
          <w:sz w:val="23"/>
        </w:rPr>
        <w:t> </w:t>
      </w:r>
      <w:r>
        <w:rPr>
          <w:sz w:val="23"/>
        </w:rPr>
        <w:t>erosion.</w:t>
      </w:r>
    </w:p>
    <w:p>
      <w:pPr>
        <w:spacing w:after="0" w:line="266" w:lineRule="auto"/>
        <w:jc w:val="left"/>
        <w:rPr>
          <w:sz w:val="23"/>
        </w:rPr>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ListParagraph"/>
        <w:numPr>
          <w:ilvl w:val="2"/>
          <w:numId w:val="11"/>
        </w:numPr>
        <w:tabs>
          <w:tab w:pos="1445" w:val="left" w:leader="none"/>
        </w:tabs>
        <w:spacing w:line="261" w:lineRule="auto" w:before="92" w:after="0"/>
        <w:ind w:left="1437" w:right="304" w:hanging="266"/>
        <w:jc w:val="both"/>
        <w:rPr>
          <w:color w:val="FF362F"/>
          <w:sz w:val="23"/>
        </w:rPr>
      </w:pPr>
      <w:r>
        <w:rPr/>
        <w:pict>
          <v:group style="position:absolute;margin-left:123.349602pt;margin-top:-50.127747pt;width:5.3pt;height:35.050pt;mso-position-horizontal-relative:page;mso-position-vertical-relative:paragraph;z-index:2392" coordorigin="2467,-1003" coordsize="106,701">
            <v:shape style="position:absolute;left:2467;top:-1003;width:106;height:48" type="#_x0000_t75" stroked="false">
              <v:imagedata r:id="rId14" o:title=""/>
            </v:shape>
            <v:shape style="position:absolute;left:2486;top:-341;width:87;height:39" type="#_x0000_t75" stroked="false">
              <v:imagedata r:id="rId15" o:title=""/>
            </v:shape>
            <v:line style="position:absolute" from="2515,-1003" to="2515,-311" stroked="true" strokeweight="4.799592pt" strokecolor="#ff6477">
              <v:stroke dashstyle="solid"/>
            </v:line>
            <w10:wrap type="none"/>
          </v:group>
        </w:pict>
      </w:r>
      <w:bookmarkStart w:name="Leeds LFRMS 2018 Update_Page_29" w:id="37"/>
      <w:bookmarkEnd w:id="37"/>
      <w:r>
        <w:rPr/>
      </w:r>
      <w:bookmarkStart w:name="Leeds LFRMS 2018 Update_Page_29" w:id="38"/>
      <w:bookmarkEnd w:id="38"/>
      <w:r>
        <w:rPr>
          <w:sz w:val="23"/>
        </w:rPr>
        <w:t>Designatio</w:t>
      </w:r>
      <w:r>
        <w:rPr>
          <w:sz w:val="23"/>
        </w:rPr>
        <w:t>n</w:t>
      </w:r>
      <w:r>
        <w:rPr>
          <w:spacing w:val="-22"/>
          <w:sz w:val="23"/>
        </w:rPr>
        <w:t> </w:t>
      </w:r>
      <w:r>
        <w:rPr>
          <w:sz w:val="23"/>
        </w:rPr>
        <w:t>of</w:t>
      </w:r>
      <w:r>
        <w:rPr>
          <w:spacing w:val="-32"/>
          <w:sz w:val="23"/>
        </w:rPr>
        <w:t> </w:t>
      </w:r>
      <w:r>
        <w:rPr>
          <w:sz w:val="23"/>
        </w:rPr>
        <w:t>Features.</w:t>
      </w:r>
      <w:r>
        <w:rPr>
          <w:spacing w:val="-24"/>
          <w:sz w:val="23"/>
        </w:rPr>
        <w:t> </w:t>
      </w:r>
      <w:r>
        <w:rPr>
          <w:sz w:val="23"/>
        </w:rPr>
        <w:t>Powers</w:t>
      </w:r>
      <w:r>
        <w:rPr>
          <w:spacing w:val="-31"/>
          <w:sz w:val="23"/>
        </w:rPr>
        <w:t> </w:t>
      </w:r>
      <w:r>
        <w:rPr>
          <w:sz w:val="23"/>
        </w:rPr>
        <w:t>to</w:t>
      </w:r>
      <w:r>
        <w:rPr>
          <w:spacing w:val="-33"/>
          <w:sz w:val="23"/>
        </w:rPr>
        <w:t> </w:t>
      </w:r>
      <w:r>
        <w:rPr>
          <w:sz w:val="23"/>
        </w:rPr>
        <w:t>designate</w:t>
      </w:r>
      <w:r>
        <w:rPr>
          <w:spacing w:val="-27"/>
          <w:sz w:val="23"/>
        </w:rPr>
        <w:t> </w:t>
      </w:r>
      <w:r>
        <w:rPr>
          <w:sz w:val="23"/>
        </w:rPr>
        <w:t>a</w:t>
      </w:r>
      <w:r>
        <w:rPr>
          <w:spacing w:val="-35"/>
          <w:sz w:val="23"/>
        </w:rPr>
        <w:t> </w:t>
      </w:r>
      <w:r>
        <w:rPr>
          <w:sz w:val="23"/>
        </w:rPr>
        <w:t>structure</w:t>
      </w:r>
      <w:r>
        <w:rPr>
          <w:spacing w:val="-27"/>
          <w:sz w:val="23"/>
        </w:rPr>
        <w:t> </w:t>
      </w:r>
      <w:r>
        <w:rPr>
          <w:sz w:val="23"/>
        </w:rPr>
        <w:t>or</w:t>
      </w:r>
      <w:r>
        <w:rPr>
          <w:spacing w:val="-33"/>
          <w:sz w:val="23"/>
        </w:rPr>
        <w:t> </w:t>
      </w:r>
      <w:r>
        <w:rPr>
          <w:sz w:val="23"/>
        </w:rPr>
        <w:t>a</w:t>
      </w:r>
      <w:r>
        <w:rPr>
          <w:spacing w:val="-38"/>
          <w:sz w:val="23"/>
        </w:rPr>
        <w:t> </w:t>
      </w:r>
      <w:r>
        <w:rPr>
          <w:sz w:val="23"/>
        </w:rPr>
        <w:t>natural</w:t>
      </w:r>
      <w:r>
        <w:rPr>
          <w:spacing w:val="-29"/>
          <w:sz w:val="23"/>
        </w:rPr>
        <w:t> </w:t>
      </w:r>
      <w:r>
        <w:rPr>
          <w:sz w:val="23"/>
        </w:rPr>
        <w:t>or</w:t>
      </w:r>
      <w:r>
        <w:rPr>
          <w:spacing w:val="-36"/>
          <w:sz w:val="23"/>
        </w:rPr>
        <w:t> </w:t>
      </w:r>
      <w:r>
        <w:rPr>
          <w:sz w:val="23"/>
        </w:rPr>
        <w:t>manmade</w:t>
      </w:r>
      <w:r>
        <w:rPr>
          <w:spacing w:val="-28"/>
          <w:sz w:val="23"/>
        </w:rPr>
        <w:t> </w:t>
      </w:r>
      <w:r>
        <w:rPr>
          <w:sz w:val="23"/>
        </w:rPr>
        <w:t>feature</w:t>
      </w:r>
      <w:r>
        <w:rPr>
          <w:spacing w:val="-32"/>
          <w:sz w:val="23"/>
        </w:rPr>
        <w:t> </w:t>
      </w:r>
      <w:r>
        <w:rPr>
          <w:sz w:val="23"/>
        </w:rPr>
        <w:t>that is</w:t>
      </w:r>
      <w:r>
        <w:rPr>
          <w:spacing w:val="-32"/>
          <w:sz w:val="23"/>
        </w:rPr>
        <w:t> </w:t>
      </w:r>
      <w:r>
        <w:rPr>
          <w:sz w:val="23"/>
        </w:rPr>
        <w:t>considered</w:t>
      </w:r>
      <w:r>
        <w:rPr>
          <w:spacing w:val="-25"/>
          <w:sz w:val="23"/>
        </w:rPr>
        <w:t> </w:t>
      </w:r>
      <w:r>
        <w:rPr>
          <w:sz w:val="23"/>
        </w:rPr>
        <w:t>to</w:t>
      </w:r>
      <w:r>
        <w:rPr>
          <w:spacing w:val="-34"/>
          <w:sz w:val="23"/>
        </w:rPr>
        <w:t> </w:t>
      </w:r>
      <w:r>
        <w:rPr>
          <w:sz w:val="23"/>
        </w:rPr>
        <w:t>influence</w:t>
      </w:r>
      <w:r>
        <w:rPr>
          <w:spacing w:val="-23"/>
          <w:sz w:val="23"/>
        </w:rPr>
        <w:t> </w:t>
      </w:r>
      <w:r>
        <w:rPr>
          <w:sz w:val="23"/>
        </w:rPr>
        <w:t>flood</w:t>
      </w:r>
      <w:r>
        <w:rPr>
          <w:spacing w:val="-30"/>
          <w:sz w:val="23"/>
        </w:rPr>
        <w:t> </w:t>
      </w:r>
      <w:r>
        <w:rPr>
          <w:sz w:val="23"/>
        </w:rPr>
        <w:t>risk</w:t>
      </w:r>
      <w:r>
        <w:rPr>
          <w:spacing w:val="-29"/>
          <w:sz w:val="23"/>
        </w:rPr>
        <w:t> </w:t>
      </w:r>
      <w:r>
        <w:rPr>
          <w:sz w:val="23"/>
        </w:rPr>
        <w:t>in</w:t>
      </w:r>
      <w:r>
        <w:rPr>
          <w:spacing w:val="-24"/>
          <w:sz w:val="23"/>
        </w:rPr>
        <w:t> </w:t>
      </w:r>
      <w:r>
        <w:rPr>
          <w:sz w:val="23"/>
        </w:rPr>
        <w:t>order</w:t>
      </w:r>
      <w:r>
        <w:rPr>
          <w:spacing w:val="-32"/>
          <w:sz w:val="23"/>
        </w:rPr>
        <w:t> </w:t>
      </w:r>
      <w:r>
        <w:rPr>
          <w:sz w:val="23"/>
        </w:rPr>
        <w:t>to</w:t>
      </w:r>
      <w:r>
        <w:rPr>
          <w:spacing w:val="-35"/>
          <w:sz w:val="23"/>
        </w:rPr>
        <w:t> </w:t>
      </w:r>
      <w:r>
        <w:rPr>
          <w:sz w:val="23"/>
        </w:rPr>
        <w:t>prevent</w:t>
      </w:r>
      <w:r>
        <w:rPr>
          <w:spacing w:val="-24"/>
          <w:sz w:val="23"/>
        </w:rPr>
        <w:t> </w:t>
      </w:r>
      <w:r>
        <w:rPr>
          <w:sz w:val="23"/>
        </w:rPr>
        <w:t>the</w:t>
      </w:r>
      <w:r>
        <w:rPr>
          <w:spacing w:val="-30"/>
          <w:sz w:val="23"/>
        </w:rPr>
        <w:t> </w:t>
      </w:r>
      <w:r>
        <w:rPr>
          <w:sz w:val="23"/>
        </w:rPr>
        <w:t>alteration</w:t>
      </w:r>
      <w:r>
        <w:rPr>
          <w:spacing w:val="-21"/>
          <w:sz w:val="23"/>
        </w:rPr>
        <w:t> </w:t>
      </w:r>
      <w:r>
        <w:rPr>
          <w:sz w:val="23"/>
        </w:rPr>
        <w:t>or</w:t>
      </w:r>
      <w:r>
        <w:rPr>
          <w:spacing w:val="-34"/>
          <w:sz w:val="23"/>
        </w:rPr>
        <w:t> </w:t>
      </w:r>
      <w:r>
        <w:rPr>
          <w:sz w:val="23"/>
        </w:rPr>
        <w:t>removal</w:t>
      </w:r>
      <w:r>
        <w:rPr>
          <w:spacing w:val="-16"/>
          <w:sz w:val="23"/>
        </w:rPr>
        <w:t> </w:t>
      </w:r>
      <w:r>
        <w:rPr>
          <w:sz w:val="23"/>
        </w:rPr>
        <w:t>of</w:t>
      </w:r>
      <w:r>
        <w:rPr>
          <w:spacing w:val="-33"/>
          <w:sz w:val="23"/>
        </w:rPr>
        <w:t> </w:t>
      </w:r>
      <w:r>
        <w:rPr>
          <w:sz w:val="23"/>
        </w:rPr>
        <w:t>the</w:t>
      </w:r>
      <w:r>
        <w:rPr>
          <w:spacing w:val="-29"/>
          <w:sz w:val="23"/>
        </w:rPr>
        <w:t> </w:t>
      </w:r>
      <w:r>
        <w:rPr>
          <w:sz w:val="23"/>
        </w:rPr>
        <w:t>structure or feature without</w:t>
      </w:r>
      <w:r>
        <w:rPr>
          <w:spacing w:val="30"/>
          <w:sz w:val="23"/>
        </w:rPr>
        <w:t> </w:t>
      </w:r>
      <w:r>
        <w:rPr>
          <w:sz w:val="23"/>
        </w:rPr>
        <w:t>consent.</w:t>
      </w:r>
    </w:p>
    <w:p>
      <w:pPr>
        <w:pStyle w:val="ListParagraph"/>
        <w:numPr>
          <w:ilvl w:val="2"/>
          <w:numId w:val="11"/>
        </w:numPr>
        <w:tabs>
          <w:tab w:pos="1443" w:val="left" w:leader="none"/>
        </w:tabs>
        <w:spacing w:line="264" w:lineRule="auto" w:before="9" w:after="0"/>
        <w:ind w:left="1437" w:right="278" w:hanging="266"/>
        <w:jc w:val="left"/>
        <w:rPr>
          <w:color w:val="FF3B41"/>
          <w:sz w:val="23"/>
        </w:rPr>
      </w:pPr>
      <w:r>
        <w:rPr>
          <w:sz w:val="23"/>
        </w:rPr>
        <w:t>Sustainable</w:t>
      </w:r>
      <w:r>
        <w:rPr>
          <w:spacing w:val="-25"/>
          <w:sz w:val="23"/>
        </w:rPr>
        <w:t> </w:t>
      </w:r>
      <w:r>
        <w:rPr>
          <w:sz w:val="23"/>
        </w:rPr>
        <w:t>Drainage.</w:t>
      </w:r>
      <w:r>
        <w:rPr>
          <w:spacing w:val="-22"/>
          <w:sz w:val="23"/>
        </w:rPr>
        <w:t> </w:t>
      </w:r>
      <w:r>
        <w:rPr>
          <w:sz w:val="23"/>
        </w:rPr>
        <w:t>Approve</w:t>
      </w:r>
      <w:r>
        <w:rPr>
          <w:spacing w:val="-26"/>
          <w:sz w:val="23"/>
        </w:rPr>
        <w:t> </w:t>
      </w:r>
      <w:r>
        <w:rPr>
          <w:sz w:val="23"/>
        </w:rPr>
        <w:t>drainage</w:t>
      </w:r>
      <w:r>
        <w:rPr>
          <w:spacing w:val="-27"/>
          <w:sz w:val="23"/>
        </w:rPr>
        <w:t> </w:t>
      </w:r>
      <w:r>
        <w:rPr>
          <w:sz w:val="23"/>
        </w:rPr>
        <w:t>schemes</w:t>
      </w:r>
      <w:r>
        <w:rPr>
          <w:spacing w:val="-31"/>
          <w:sz w:val="23"/>
        </w:rPr>
        <w:t> </w:t>
      </w:r>
      <w:r>
        <w:rPr>
          <w:sz w:val="23"/>
        </w:rPr>
        <w:t>(in</w:t>
      </w:r>
      <w:r>
        <w:rPr>
          <w:spacing w:val="-36"/>
          <w:sz w:val="23"/>
        </w:rPr>
        <w:t> </w:t>
      </w:r>
      <w:r>
        <w:rPr>
          <w:sz w:val="23"/>
        </w:rPr>
        <w:t>line</w:t>
      </w:r>
      <w:r>
        <w:rPr>
          <w:spacing w:val="-29"/>
          <w:sz w:val="23"/>
        </w:rPr>
        <w:t> </w:t>
      </w:r>
      <w:r>
        <w:rPr>
          <w:sz w:val="23"/>
        </w:rPr>
        <w:t>with</w:t>
      </w:r>
      <w:r>
        <w:rPr>
          <w:spacing w:val="-31"/>
          <w:sz w:val="23"/>
        </w:rPr>
        <w:t> </w:t>
      </w:r>
      <w:r>
        <w:rPr>
          <w:sz w:val="23"/>
        </w:rPr>
        <w:t>non-statutory</w:t>
      </w:r>
      <w:r>
        <w:rPr>
          <w:spacing w:val="-21"/>
          <w:sz w:val="23"/>
        </w:rPr>
        <w:t> </w:t>
      </w:r>
      <w:r>
        <w:rPr>
          <w:sz w:val="23"/>
        </w:rPr>
        <w:t>standards)</w:t>
      </w:r>
      <w:r>
        <w:rPr>
          <w:spacing w:val="-20"/>
          <w:sz w:val="23"/>
        </w:rPr>
        <w:t> </w:t>
      </w:r>
      <w:r>
        <w:rPr>
          <w:sz w:val="23"/>
        </w:rPr>
        <w:t>and </w:t>
      </w:r>
      <w:r>
        <w:rPr>
          <w:w w:val="95"/>
          <w:sz w:val="23"/>
        </w:rPr>
        <w:t>ensure they are appropriately maintained. Ensure decisions on planning applications relating to </w:t>
      </w:r>
      <w:r>
        <w:rPr>
          <w:sz w:val="23"/>
        </w:rPr>
        <w:t>major</w:t>
      </w:r>
      <w:r>
        <w:rPr>
          <w:spacing w:val="-35"/>
          <w:sz w:val="23"/>
        </w:rPr>
        <w:t> </w:t>
      </w:r>
      <w:r>
        <w:rPr>
          <w:sz w:val="23"/>
        </w:rPr>
        <w:t>developments</w:t>
      </w:r>
      <w:r>
        <w:rPr>
          <w:spacing w:val="-35"/>
          <w:sz w:val="23"/>
        </w:rPr>
        <w:t> </w:t>
      </w:r>
      <w:r>
        <w:rPr>
          <w:sz w:val="23"/>
        </w:rPr>
        <w:t>(10</w:t>
      </w:r>
      <w:r>
        <w:rPr>
          <w:spacing w:val="-35"/>
          <w:sz w:val="23"/>
        </w:rPr>
        <w:t> </w:t>
      </w:r>
      <w:r>
        <w:rPr>
          <w:sz w:val="23"/>
        </w:rPr>
        <w:t>dwellings,</w:t>
      </w:r>
      <w:r>
        <w:rPr>
          <w:spacing w:val="-30"/>
          <w:sz w:val="23"/>
        </w:rPr>
        <w:t> </w:t>
      </w:r>
      <w:r>
        <w:rPr>
          <w:sz w:val="23"/>
        </w:rPr>
        <w:t>or</w:t>
      </w:r>
      <w:r>
        <w:rPr>
          <w:spacing w:val="-40"/>
          <w:sz w:val="23"/>
        </w:rPr>
        <w:t> </w:t>
      </w:r>
      <w:r>
        <w:rPr>
          <w:sz w:val="23"/>
        </w:rPr>
        <w:t>equivalent</w:t>
      </w:r>
      <w:r>
        <w:rPr>
          <w:spacing w:val="-32"/>
          <w:sz w:val="23"/>
        </w:rPr>
        <w:t> </w:t>
      </w:r>
      <w:r>
        <w:rPr>
          <w:sz w:val="23"/>
        </w:rPr>
        <w:t>non-residential</w:t>
      </w:r>
      <w:r>
        <w:rPr>
          <w:spacing w:val="-39"/>
          <w:sz w:val="23"/>
        </w:rPr>
        <w:t> </w:t>
      </w:r>
      <w:r>
        <w:rPr>
          <w:sz w:val="23"/>
        </w:rPr>
        <w:t>developments)</w:t>
      </w:r>
      <w:r>
        <w:rPr>
          <w:spacing w:val="-32"/>
          <w:sz w:val="23"/>
        </w:rPr>
        <w:t> </w:t>
      </w:r>
      <w:r>
        <w:rPr>
          <w:sz w:val="23"/>
        </w:rPr>
        <w:t>have</w:t>
      </w:r>
      <w:r>
        <w:rPr>
          <w:spacing w:val="-38"/>
          <w:sz w:val="23"/>
        </w:rPr>
        <w:t> </w:t>
      </w:r>
      <w:r>
        <w:rPr>
          <w:sz w:val="23"/>
        </w:rPr>
        <w:t>SuDS</w:t>
      </w:r>
      <w:r>
        <w:rPr>
          <w:spacing w:val="-39"/>
          <w:sz w:val="23"/>
        </w:rPr>
        <w:t> </w:t>
      </w:r>
      <w:r>
        <w:rPr>
          <w:sz w:val="23"/>
        </w:rPr>
        <w:t>in place, unless demonstrated to be</w:t>
      </w:r>
      <w:r>
        <w:rPr>
          <w:spacing w:val="4"/>
          <w:sz w:val="23"/>
        </w:rPr>
        <w:t> </w:t>
      </w:r>
      <w:r>
        <w:rPr>
          <w:sz w:val="23"/>
        </w:rPr>
        <w:t>inappropriate.</w:t>
      </w:r>
    </w:p>
    <w:p>
      <w:pPr>
        <w:pStyle w:val="ListParagraph"/>
        <w:numPr>
          <w:ilvl w:val="1"/>
          <w:numId w:val="11"/>
        </w:numPr>
        <w:tabs>
          <w:tab w:pos="1017" w:val="left" w:leader="none"/>
          <w:tab w:pos="1018" w:val="left" w:leader="none"/>
        </w:tabs>
        <w:spacing w:line="240" w:lineRule="auto" w:before="133" w:after="0"/>
        <w:ind w:left="1017" w:right="0" w:hanging="853"/>
        <w:jc w:val="left"/>
        <w:rPr>
          <w:sz w:val="28"/>
        </w:rPr>
      </w:pPr>
      <w:r>
        <w:rPr>
          <w:sz w:val="28"/>
        </w:rPr>
        <w:t>ENVIRONMENT</w:t>
      </w:r>
      <w:r>
        <w:rPr>
          <w:spacing w:val="47"/>
          <w:sz w:val="28"/>
        </w:rPr>
        <w:t> </w:t>
      </w:r>
      <w:r>
        <w:rPr>
          <w:sz w:val="28"/>
        </w:rPr>
        <w:t>AGENCY</w:t>
      </w:r>
    </w:p>
    <w:p>
      <w:pPr>
        <w:pStyle w:val="BodyText"/>
        <w:spacing w:line="264" w:lineRule="auto" w:before="157"/>
        <w:ind w:left="1015" w:right="212" w:firstLine="9"/>
      </w:pPr>
      <w:r>
        <w:rPr/>
        <w:t>The EA is an executive, non-departmental public body responsible to the Secretary of State for Environment,</w:t>
      </w:r>
      <w:r>
        <w:rPr>
          <w:spacing w:val="-28"/>
        </w:rPr>
        <w:t> </w:t>
      </w:r>
      <w:r>
        <w:rPr/>
        <w:t>Food</w:t>
      </w:r>
      <w:r>
        <w:rPr>
          <w:spacing w:val="-30"/>
        </w:rPr>
        <w:t> </w:t>
      </w:r>
      <w:r>
        <w:rPr/>
        <w:t>and</w:t>
      </w:r>
      <w:r>
        <w:rPr>
          <w:spacing w:val="-31"/>
        </w:rPr>
        <w:t> </w:t>
      </w:r>
      <w:r>
        <w:rPr/>
        <w:t>Rural</w:t>
      </w:r>
      <w:r>
        <w:rPr>
          <w:spacing w:val="-27"/>
        </w:rPr>
        <w:t> </w:t>
      </w:r>
      <w:r>
        <w:rPr/>
        <w:t>Affairs.</w:t>
      </w:r>
      <w:r>
        <w:rPr>
          <w:spacing w:val="-26"/>
        </w:rPr>
        <w:t> </w:t>
      </w:r>
      <w:r>
        <w:rPr/>
        <w:t>Its</w:t>
      </w:r>
      <w:r>
        <w:rPr>
          <w:spacing w:val="-38"/>
        </w:rPr>
        <w:t> </w:t>
      </w:r>
      <w:r>
        <w:rPr/>
        <w:t>principal</w:t>
      </w:r>
      <w:r>
        <w:rPr>
          <w:spacing w:val="-22"/>
        </w:rPr>
        <w:t> </w:t>
      </w:r>
      <w:r>
        <w:rPr/>
        <w:t>aims</w:t>
      </w:r>
      <w:r>
        <w:rPr>
          <w:spacing w:val="-31"/>
        </w:rPr>
        <w:t> </w:t>
      </w:r>
      <w:r>
        <w:rPr/>
        <w:t>are</w:t>
      </w:r>
      <w:r>
        <w:rPr>
          <w:spacing w:val="-39"/>
        </w:rPr>
        <w:t> </w:t>
      </w:r>
      <w:r>
        <w:rPr/>
        <w:t>to</w:t>
      </w:r>
      <w:r>
        <w:rPr>
          <w:spacing w:val="-39"/>
        </w:rPr>
        <w:t> </w:t>
      </w:r>
      <w:r>
        <w:rPr/>
        <w:t>protect</w:t>
      </w:r>
      <w:r>
        <w:rPr>
          <w:spacing w:val="-27"/>
        </w:rPr>
        <w:t> </w:t>
      </w:r>
      <w:r>
        <w:rPr/>
        <w:t>and</w:t>
      </w:r>
      <w:r>
        <w:rPr>
          <w:spacing w:val="-35"/>
        </w:rPr>
        <w:t> </w:t>
      </w:r>
      <w:r>
        <w:rPr/>
        <w:t>improve</w:t>
      </w:r>
      <w:r>
        <w:rPr>
          <w:spacing w:val="-29"/>
        </w:rPr>
        <w:t> </w:t>
      </w:r>
      <w:r>
        <w:rPr/>
        <w:t>the</w:t>
      </w:r>
      <w:r>
        <w:rPr>
          <w:spacing w:val="-34"/>
        </w:rPr>
        <w:t> </w:t>
      </w:r>
      <w:r>
        <w:rPr/>
        <w:t>environment, and to promote sustainable development. The EA take lead responsibility for risk-based management</w:t>
      </w:r>
      <w:r>
        <w:rPr>
          <w:spacing w:val="-22"/>
        </w:rPr>
        <w:t> </w:t>
      </w:r>
      <w:r>
        <w:rPr/>
        <w:t>of</w:t>
      </w:r>
      <w:r>
        <w:rPr>
          <w:spacing w:val="-32"/>
        </w:rPr>
        <w:t> </w:t>
      </w:r>
      <w:r>
        <w:rPr/>
        <w:t>flooding</w:t>
      </w:r>
      <w:r>
        <w:rPr>
          <w:spacing w:val="-27"/>
        </w:rPr>
        <w:t> </w:t>
      </w:r>
      <w:r>
        <w:rPr/>
        <w:t>from</w:t>
      </w:r>
      <w:r>
        <w:rPr>
          <w:spacing w:val="-23"/>
        </w:rPr>
        <w:t> </w:t>
      </w:r>
      <w:r>
        <w:rPr/>
        <w:t>Main</w:t>
      </w:r>
      <w:r>
        <w:rPr>
          <w:spacing w:val="-25"/>
        </w:rPr>
        <w:t> </w:t>
      </w:r>
      <w:r>
        <w:rPr/>
        <w:t>Rivers</w:t>
      </w:r>
      <w:r>
        <w:rPr>
          <w:spacing w:val="-27"/>
        </w:rPr>
        <w:t> </w:t>
      </w:r>
      <w:r>
        <w:rPr/>
        <w:t>and</w:t>
      </w:r>
      <w:r>
        <w:rPr>
          <w:spacing w:val="-30"/>
        </w:rPr>
        <w:t> </w:t>
      </w:r>
      <w:r>
        <w:rPr/>
        <w:t>the</w:t>
      </w:r>
      <w:r>
        <w:rPr>
          <w:spacing w:val="-32"/>
        </w:rPr>
        <w:t> </w:t>
      </w:r>
      <w:r>
        <w:rPr/>
        <w:t>sea</w:t>
      </w:r>
      <w:r>
        <w:rPr>
          <w:spacing w:val="-32"/>
        </w:rPr>
        <w:t> </w:t>
      </w:r>
      <w:r>
        <w:rPr/>
        <w:t>and</w:t>
      </w:r>
      <w:r>
        <w:rPr>
          <w:spacing w:val="-33"/>
        </w:rPr>
        <w:t> </w:t>
      </w:r>
      <w:r>
        <w:rPr/>
        <w:t>regulation</w:t>
      </w:r>
      <w:r>
        <w:rPr>
          <w:spacing w:val="-24"/>
        </w:rPr>
        <w:t> </w:t>
      </w:r>
      <w:r>
        <w:rPr/>
        <w:t>of</w:t>
      </w:r>
      <w:r>
        <w:rPr>
          <w:spacing w:val="-38"/>
        </w:rPr>
        <w:t> </w:t>
      </w:r>
      <w:r>
        <w:rPr/>
        <w:t>the</w:t>
      </w:r>
      <w:r>
        <w:rPr>
          <w:spacing w:val="-27"/>
        </w:rPr>
        <w:t> </w:t>
      </w:r>
      <w:r>
        <w:rPr/>
        <w:t>safety</w:t>
      </w:r>
      <w:r>
        <w:rPr>
          <w:spacing w:val="-27"/>
        </w:rPr>
        <w:t> </w:t>
      </w:r>
      <w:r>
        <w:rPr/>
        <w:t>of</w:t>
      </w:r>
      <w:r>
        <w:rPr>
          <w:spacing w:val="-33"/>
        </w:rPr>
        <w:t> </w:t>
      </w:r>
      <w:r>
        <w:rPr/>
        <w:t>reservoirs</w:t>
      </w:r>
      <w:r>
        <w:rPr>
          <w:spacing w:val="-24"/>
        </w:rPr>
        <w:t> </w:t>
      </w:r>
      <w:r>
        <w:rPr/>
        <w:t>with a</w:t>
      </w:r>
      <w:r>
        <w:rPr>
          <w:spacing w:val="-33"/>
        </w:rPr>
        <w:t> </w:t>
      </w:r>
      <w:r>
        <w:rPr/>
        <w:t>storage</w:t>
      </w:r>
      <w:r>
        <w:rPr>
          <w:spacing w:val="-27"/>
        </w:rPr>
        <w:t> </w:t>
      </w:r>
      <w:r>
        <w:rPr/>
        <w:t>capacity</w:t>
      </w:r>
      <w:r>
        <w:rPr>
          <w:spacing w:val="-23"/>
        </w:rPr>
        <w:t> </w:t>
      </w:r>
      <w:r>
        <w:rPr/>
        <w:t>greater</w:t>
      </w:r>
      <w:r>
        <w:rPr>
          <w:spacing w:val="-26"/>
        </w:rPr>
        <w:t> </w:t>
      </w:r>
      <w:r>
        <w:rPr/>
        <w:t>than</w:t>
      </w:r>
      <w:r>
        <w:rPr>
          <w:spacing w:val="-26"/>
        </w:rPr>
        <w:t> </w:t>
      </w:r>
      <w:r>
        <w:rPr/>
        <w:t>25,000m*.</w:t>
      </w:r>
      <w:r>
        <w:rPr>
          <w:spacing w:val="-23"/>
        </w:rPr>
        <w:t> </w:t>
      </w:r>
      <w:r>
        <w:rPr/>
        <w:t>The</w:t>
      </w:r>
      <w:r>
        <w:rPr>
          <w:spacing w:val="-31"/>
        </w:rPr>
        <w:t> </w:t>
      </w:r>
      <w:r>
        <w:rPr/>
        <w:t>FWMA</w:t>
      </w:r>
      <w:r>
        <w:rPr>
          <w:spacing w:val="-24"/>
        </w:rPr>
        <w:t> </w:t>
      </w:r>
      <w:r>
        <w:rPr/>
        <w:t>proposed</w:t>
      </w:r>
      <w:r>
        <w:rPr>
          <w:spacing w:val="-22"/>
        </w:rPr>
        <w:t> </w:t>
      </w:r>
      <w:r>
        <w:rPr/>
        <w:t>an</w:t>
      </w:r>
      <w:r>
        <w:rPr>
          <w:spacing w:val="-29"/>
        </w:rPr>
        <w:t> </w:t>
      </w:r>
      <w:r>
        <w:rPr/>
        <w:t>amendment</w:t>
      </w:r>
      <w:r>
        <w:rPr>
          <w:spacing w:val="-24"/>
        </w:rPr>
        <w:t> </w:t>
      </w:r>
      <w:r>
        <w:rPr/>
        <w:t>to</w:t>
      </w:r>
      <w:r>
        <w:rPr>
          <w:spacing w:val="-35"/>
        </w:rPr>
        <w:t> </w:t>
      </w:r>
      <w:r>
        <w:rPr/>
        <w:t>the</w:t>
      </w:r>
      <w:r>
        <w:rPr>
          <w:spacing w:val="-30"/>
        </w:rPr>
        <w:t> </w:t>
      </w:r>
      <w:r>
        <w:rPr/>
        <w:t>Reservoirs Act</w:t>
      </w:r>
      <w:r>
        <w:rPr>
          <w:spacing w:val="-30"/>
        </w:rPr>
        <w:t> </w:t>
      </w:r>
      <w:r>
        <w:rPr/>
        <w:t>to</w:t>
      </w:r>
      <w:r>
        <w:rPr>
          <w:spacing w:val="-28"/>
        </w:rPr>
        <w:t> </w:t>
      </w:r>
      <w:r>
        <w:rPr/>
        <w:t>target</w:t>
      </w:r>
      <w:r>
        <w:rPr>
          <w:spacing w:val="-16"/>
        </w:rPr>
        <w:t> </w:t>
      </w:r>
      <w:r>
        <w:rPr/>
        <w:t>a</w:t>
      </w:r>
      <w:r>
        <w:rPr>
          <w:spacing w:val="-30"/>
        </w:rPr>
        <w:t> </w:t>
      </w:r>
      <w:r>
        <w:rPr/>
        <w:t>reduction</w:t>
      </w:r>
      <w:r>
        <w:rPr>
          <w:spacing w:val="-21"/>
        </w:rPr>
        <w:t> </w:t>
      </w:r>
      <w:r>
        <w:rPr/>
        <w:t>in</w:t>
      </w:r>
      <w:r>
        <w:rPr>
          <w:spacing w:val="-25"/>
        </w:rPr>
        <w:t> </w:t>
      </w:r>
      <w:r>
        <w:rPr/>
        <w:t>the</w:t>
      </w:r>
      <w:r>
        <w:rPr>
          <w:spacing w:val="-24"/>
        </w:rPr>
        <w:t> </w:t>
      </w:r>
      <w:r>
        <w:rPr/>
        <w:t>capacity</w:t>
      </w:r>
      <w:r>
        <w:rPr>
          <w:spacing w:val="-13"/>
        </w:rPr>
        <w:t> </w:t>
      </w:r>
      <w:r>
        <w:rPr/>
        <w:t>at</w:t>
      </w:r>
      <w:r>
        <w:rPr>
          <w:spacing w:val="-24"/>
        </w:rPr>
        <w:t> </w:t>
      </w:r>
      <w:r>
        <w:rPr/>
        <w:t>which</w:t>
      </w:r>
      <w:r>
        <w:rPr>
          <w:spacing w:val="-23"/>
        </w:rPr>
        <w:t> </w:t>
      </w:r>
      <w:r>
        <w:rPr/>
        <w:t>reservoirs</w:t>
      </w:r>
      <w:r>
        <w:rPr>
          <w:spacing w:val="-10"/>
        </w:rPr>
        <w:t> </w:t>
      </w:r>
      <w:r>
        <w:rPr/>
        <w:t>should</w:t>
      </w:r>
      <w:r>
        <w:rPr>
          <w:spacing w:val="-22"/>
        </w:rPr>
        <w:t> </w:t>
      </w:r>
      <w:r>
        <w:rPr/>
        <w:t>be</w:t>
      </w:r>
      <w:r>
        <w:rPr>
          <w:spacing w:val="-29"/>
        </w:rPr>
        <w:t> </w:t>
      </w:r>
      <w:r>
        <w:rPr/>
        <w:t>regulated</w:t>
      </w:r>
      <w:r>
        <w:rPr>
          <w:spacing w:val="-14"/>
        </w:rPr>
        <w:t> </w:t>
      </w:r>
      <w:r>
        <w:rPr/>
        <w:t>from</w:t>
      </w:r>
      <w:r>
        <w:rPr>
          <w:spacing w:val="-16"/>
        </w:rPr>
        <w:t> </w:t>
      </w:r>
      <w:r>
        <w:rPr/>
        <w:t>25,000m°</w:t>
      </w:r>
      <w:r>
        <w:rPr>
          <w:spacing w:val="-27"/>
        </w:rPr>
        <w:t> </w:t>
      </w:r>
      <w:r>
        <w:rPr/>
        <w:t>to 10,000m°;</w:t>
      </w:r>
      <w:r>
        <w:rPr>
          <w:spacing w:val="-7"/>
        </w:rPr>
        <w:t> </w:t>
      </w:r>
      <w:r>
        <w:rPr/>
        <w:t>however,</w:t>
      </w:r>
      <w:r>
        <w:rPr>
          <w:spacing w:val="8"/>
        </w:rPr>
        <w:t> </w:t>
      </w:r>
      <w:r>
        <w:rPr/>
        <w:t>this</w:t>
      </w:r>
      <w:r>
        <w:rPr>
          <w:spacing w:val="-11"/>
        </w:rPr>
        <w:t> </w:t>
      </w:r>
      <w:r>
        <w:rPr/>
        <w:t>reduction</w:t>
      </w:r>
      <w:r>
        <w:rPr>
          <w:spacing w:val="7"/>
        </w:rPr>
        <w:t> </w:t>
      </w:r>
      <w:r>
        <w:rPr/>
        <w:t>is</w:t>
      </w:r>
      <w:r>
        <w:rPr>
          <w:spacing w:val="-15"/>
        </w:rPr>
        <w:t> </w:t>
      </w:r>
      <w:r>
        <w:rPr/>
        <w:t>yet</w:t>
      </w:r>
      <w:r>
        <w:rPr>
          <w:spacing w:val="-8"/>
        </w:rPr>
        <w:t> </w:t>
      </w:r>
      <w:r>
        <w:rPr/>
        <w:t>to</w:t>
      </w:r>
      <w:r>
        <w:rPr>
          <w:spacing w:val="-17"/>
        </w:rPr>
        <w:t> </w:t>
      </w:r>
      <w:r>
        <w:rPr/>
        <w:t>be</w:t>
      </w:r>
      <w:r>
        <w:rPr>
          <w:spacing w:val="-11"/>
        </w:rPr>
        <w:t> </w:t>
      </w:r>
      <w:r>
        <w:rPr/>
        <w:t>confirmed</w:t>
      </w:r>
      <w:r>
        <w:rPr>
          <w:spacing w:val="2"/>
        </w:rPr>
        <w:t> </w:t>
      </w:r>
      <w:r>
        <w:rPr/>
        <w:t>at</w:t>
      </w:r>
      <w:r>
        <w:rPr>
          <w:spacing w:val="-19"/>
        </w:rPr>
        <w:t> </w:t>
      </w:r>
      <w:r>
        <w:rPr/>
        <w:t>the</w:t>
      </w:r>
      <w:r>
        <w:rPr>
          <w:spacing w:val="-12"/>
        </w:rPr>
        <w:t> </w:t>
      </w:r>
      <w:r>
        <w:rPr/>
        <w:t>time</w:t>
      </w:r>
      <w:r>
        <w:rPr>
          <w:spacing w:val="-6"/>
        </w:rPr>
        <w:t> </w:t>
      </w:r>
      <w:r>
        <w:rPr/>
        <w:t>of</w:t>
      </w:r>
      <w:r>
        <w:rPr>
          <w:spacing w:val="-6"/>
        </w:rPr>
        <w:t> </w:t>
      </w:r>
      <w:r>
        <w:rPr/>
        <w:t>writing.</w:t>
      </w:r>
    </w:p>
    <w:p>
      <w:pPr>
        <w:pStyle w:val="BodyText"/>
        <w:spacing w:before="114"/>
        <w:ind w:left="1024"/>
      </w:pPr>
      <w:r>
        <w:rPr/>
        <w:t>The following roles and responsibilities are set out for the body within the FWMA:</w:t>
      </w:r>
    </w:p>
    <w:p>
      <w:pPr>
        <w:pStyle w:val="ListParagraph"/>
        <w:numPr>
          <w:ilvl w:val="2"/>
          <w:numId w:val="11"/>
        </w:numPr>
        <w:tabs>
          <w:tab w:pos="1445" w:val="left" w:leader="none"/>
        </w:tabs>
        <w:spacing w:line="240" w:lineRule="auto" w:before="148" w:after="0"/>
        <w:ind w:left="1441" w:right="0" w:hanging="270"/>
        <w:jc w:val="left"/>
        <w:rPr>
          <w:color w:val="FF2F2A"/>
          <w:sz w:val="23"/>
        </w:rPr>
      </w:pPr>
      <w:r>
        <w:rPr>
          <w:sz w:val="23"/>
        </w:rPr>
        <w:t>Development</w:t>
      </w:r>
      <w:r>
        <w:rPr>
          <w:spacing w:val="10"/>
          <w:sz w:val="23"/>
        </w:rPr>
        <w:t> </w:t>
      </w:r>
      <w:r>
        <w:rPr>
          <w:sz w:val="23"/>
        </w:rPr>
        <w:t>of</w:t>
      </w:r>
      <w:r>
        <w:rPr>
          <w:spacing w:val="-10"/>
          <w:sz w:val="23"/>
        </w:rPr>
        <w:t> </w:t>
      </w:r>
      <w:r>
        <w:rPr>
          <w:sz w:val="23"/>
        </w:rPr>
        <w:t>a</w:t>
      </w:r>
      <w:r>
        <w:rPr>
          <w:spacing w:val="-13"/>
          <w:sz w:val="23"/>
        </w:rPr>
        <w:t> </w:t>
      </w:r>
      <w:r>
        <w:rPr>
          <w:sz w:val="23"/>
        </w:rPr>
        <w:t>National</w:t>
      </w:r>
      <w:r>
        <w:rPr>
          <w:spacing w:val="6"/>
          <w:sz w:val="23"/>
        </w:rPr>
        <w:t> </w:t>
      </w:r>
      <w:r>
        <w:rPr>
          <w:sz w:val="23"/>
        </w:rPr>
        <w:t>Strategy for</w:t>
      </w:r>
      <w:r>
        <w:rPr>
          <w:spacing w:val="-9"/>
          <w:sz w:val="23"/>
        </w:rPr>
        <w:t> </w:t>
      </w:r>
      <w:r>
        <w:rPr>
          <w:sz w:val="23"/>
        </w:rPr>
        <w:t>FCERM</w:t>
      </w:r>
      <w:r>
        <w:rPr>
          <w:spacing w:val="2"/>
          <w:sz w:val="23"/>
        </w:rPr>
        <w:t> </w:t>
      </w:r>
      <w:r>
        <w:rPr>
          <w:sz w:val="23"/>
        </w:rPr>
        <w:t>to</w:t>
      </w:r>
      <w:r>
        <w:rPr>
          <w:spacing w:val="-11"/>
          <w:sz w:val="23"/>
        </w:rPr>
        <w:t> </w:t>
      </w:r>
      <w:r>
        <w:rPr>
          <w:sz w:val="23"/>
        </w:rPr>
        <w:t>cover</w:t>
      </w:r>
      <w:r>
        <w:rPr>
          <w:spacing w:val="3"/>
          <w:sz w:val="23"/>
        </w:rPr>
        <w:t> </w:t>
      </w:r>
      <w:r>
        <w:rPr>
          <w:sz w:val="23"/>
        </w:rPr>
        <w:t>all</w:t>
      </w:r>
      <w:r>
        <w:rPr>
          <w:spacing w:val="-8"/>
          <w:sz w:val="23"/>
        </w:rPr>
        <w:t> </w:t>
      </w:r>
      <w:r>
        <w:rPr>
          <w:sz w:val="23"/>
        </w:rPr>
        <w:t>forms</w:t>
      </w:r>
      <w:r>
        <w:rPr>
          <w:spacing w:val="-12"/>
          <w:sz w:val="23"/>
        </w:rPr>
        <w:t> </w:t>
      </w:r>
      <w:r>
        <w:rPr>
          <w:sz w:val="23"/>
        </w:rPr>
        <w:t>of</w:t>
      </w:r>
      <w:r>
        <w:rPr>
          <w:spacing w:val="-9"/>
          <w:sz w:val="23"/>
        </w:rPr>
        <w:t> </w:t>
      </w:r>
      <w:r>
        <w:rPr>
          <w:sz w:val="23"/>
        </w:rPr>
        <w:t>flooding.</w:t>
      </w:r>
    </w:p>
    <w:p>
      <w:pPr>
        <w:pStyle w:val="ListParagraph"/>
        <w:numPr>
          <w:ilvl w:val="2"/>
          <w:numId w:val="11"/>
        </w:numPr>
        <w:tabs>
          <w:tab w:pos="1448" w:val="left" w:leader="none"/>
        </w:tabs>
        <w:spacing w:line="271" w:lineRule="auto" w:before="24" w:after="0"/>
        <w:ind w:left="1441" w:right="944" w:hanging="270"/>
        <w:jc w:val="left"/>
        <w:rPr>
          <w:color w:val="DD4B26"/>
          <w:sz w:val="23"/>
        </w:rPr>
      </w:pPr>
      <w:r>
        <w:rPr>
          <w:sz w:val="23"/>
        </w:rPr>
        <w:t>The</w:t>
      </w:r>
      <w:r>
        <w:rPr>
          <w:spacing w:val="-43"/>
          <w:sz w:val="23"/>
        </w:rPr>
        <w:t> </w:t>
      </w:r>
      <w:r>
        <w:rPr>
          <w:sz w:val="23"/>
        </w:rPr>
        <w:t>conversion</w:t>
      </w:r>
      <w:r>
        <w:rPr>
          <w:spacing w:val="-34"/>
          <w:sz w:val="23"/>
        </w:rPr>
        <w:t> </w:t>
      </w:r>
      <w:r>
        <w:rPr>
          <w:sz w:val="23"/>
        </w:rPr>
        <w:t>of</w:t>
      </w:r>
      <w:r>
        <w:rPr>
          <w:spacing w:val="-40"/>
          <w:sz w:val="23"/>
        </w:rPr>
        <w:t> </w:t>
      </w:r>
      <w:r>
        <w:rPr>
          <w:sz w:val="23"/>
        </w:rPr>
        <w:t>Regional</w:t>
      </w:r>
      <w:r>
        <w:rPr>
          <w:spacing w:val="-35"/>
          <w:sz w:val="23"/>
        </w:rPr>
        <w:t> </w:t>
      </w:r>
      <w:r>
        <w:rPr>
          <w:sz w:val="23"/>
        </w:rPr>
        <w:t>Flood</w:t>
      </w:r>
      <w:r>
        <w:rPr>
          <w:spacing w:val="-39"/>
          <w:sz w:val="23"/>
        </w:rPr>
        <w:t> </w:t>
      </w:r>
      <w:r>
        <w:rPr>
          <w:sz w:val="23"/>
        </w:rPr>
        <w:t>Defence</w:t>
      </w:r>
      <w:r>
        <w:rPr>
          <w:spacing w:val="-40"/>
          <w:sz w:val="23"/>
        </w:rPr>
        <w:t> </w:t>
      </w:r>
      <w:r>
        <w:rPr>
          <w:sz w:val="23"/>
        </w:rPr>
        <w:t>Committees</w:t>
      </w:r>
      <w:r>
        <w:rPr>
          <w:spacing w:val="-37"/>
          <w:sz w:val="23"/>
        </w:rPr>
        <w:t> </w:t>
      </w:r>
      <w:r>
        <w:rPr>
          <w:sz w:val="23"/>
        </w:rPr>
        <w:t>into</w:t>
      </w:r>
      <w:r>
        <w:rPr>
          <w:spacing w:val="-41"/>
          <w:sz w:val="23"/>
        </w:rPr>
        <w:t> </w:t>
      </w:r>
      <w:r>
        <w:rPr>
          <w:sz w:val="23"/>
        </w:rPr>
        <w:t>Regional</w:t>
      </w:r>
      <w:r>
        <w:rPr>
          <w:spacing w:val="-36"/>
          <w:sz w:val="23"/>
        </w:rPr>
        <w:t> </w:t>
      </w:r>
      <w:r>
        <w:rPr>
          <w:sz w:val="23"/>
        </w:rPr>
        <w:t>Flood</w:t>
      </w:r>
      <w:r>
        <w:rPr>
          <w:spacing w:val="-35"/>
          <w:sz w:val="23"/>
        </w:rPr>
        <w:t> </w:t>
      </w:r>
      <w:r>
        <w:rPr>
          <w:sz w:val="23"/>
        </w:rPr>
        <w:t>and</w:t>
      </w:r>
      <w:r>
        <w:rPr>
          <w:spacing w:val="-42"/>
          <w:sz w:val="23"/>
        </w:rPr>
        <w:t> </w:t>
      </w:r>
      <w:r>
        <w:rPr>
          <w:sz w:val="23"/>
        </w:rPr>
        <w:t>Coastal Committees with a new remit to include coastal erosion</w:t>
      </w:r>
      <w:r>
        <w:rPr>
          <w:spacing w:val="-25"/>
          <w:sz w:val="23"/>
        </w:rPr>
        <w:t> </w:t>
      </w:r>
      <w:r>
        <w:rPr>
          <w:sz w:val="23"/>
        </w:rPr>
        <w:t>issues.</w:t>
      </w:r>
    </w:p>
    <w:p>
      <w:pPr>
        <w:pStyle w:val="ListParagraph"/>
        <w:numPr>
          <w:ilvl w:val="2"/>
          <w:numId w:val="11"/>
        </w:numPr>
        <w:tabs>
          <w:tab w:pos="1445" w:val="left" w:leader="none"/>
        </w:tabs>
        <w:spacing w:line="261" w:lineRule="auto" w:before="0" w:after="0"/>
        <w:ind w:left="1443" w:right="531" w:hanging="272"/>
        <w:jc w:val="left"/>
        <w:rPr>
          <w:color w:val="EF2F26"/>
          <w:sz w:val="23"/>
        </w:rPr>
      </w:pPr>
      <w:r>
        <w:rPr>
          <w:sz w:val="23"/>
        </w:rPr>
        <w:t>Powers</w:t>
      </w:r>
      <w:r>
        <w:rPr>
          <w:spacing w:val="-37"/>
          <w:sz w:val="23"/>
        </w:rPr>
        <w:t> </w:t>
      </w:r>
      <w:r>
        <w:rPr>
          <w:sz w:val="23"/>
        </w:rPr>
        <w:t>to</w:t>
      </w:r>
      <w:r>
        <w:rPr>
          <w:spacing w:val="-42"/>
          <w:sz w:val="23"/>
        </w:rPr>
        <w:t> </w:t>
      </w:r>
      <w:r>
        <w:rPr>
          <w:sz w:val="23"/>
        </w:rPr>
        <w:t>request</w:t>
      </w:r>
      <w:r>
        <w:rPr>
          <w:spacing w:val="-38"/>
          <w:sz w:val="23"/>
        </w:rPr>
        <w:t> </w:t>
      </w:r>
      <w:r>
        <w:rPr>
          <w:sz w:val="23"/>
        </w:rPr>
        <w:t>information</w:t>
      </w:r>
      <w:r>
        <w:rPr>
          <w:spacing w:val="-31"/>
          <w:sz w:val="23"/>
        </w:rPr>
        <w:t> </w:t>
      </w:r>
      <w:r>
        <w:rPr>
          <w:sz w:val="23"/>
        </w:rPr>
        <w:t>from</w:t>
      </w:r>
      <w:r>
        <w:rPr>
          <w:spacing w:val="-36"/>
          <w:sz w:val="23"/>
        </w:rPr>
        <w:t> </w:t>
      </w:r>
      <w:r>
        <w:rPr>
          <w:sz w:val="23"/>
        </w:rPr>
        <w:t>any</w:t>
      </w:r>
      <w:r>
        <w:rPr>
          <w:spacing w:val="-38"/>
          <w:sz w:val="23"/>
        </w:rPr>
        <w:t> </w:t>
      </w:r>
      <w:r>
        <w:rPr>
          <w:sz w:val="23"/>
        </w:rPr>
        <w:t>person</w:t>
      </w:r>
      <w:r>
        <w:rPr>
          <w:spacing w:val="-37"/>
          <w:sz w:val="23"/>
        </w:rPr>
        <w:t> </w:t>
      </w:r>
      <w:r>
        <w:rPr>
          <w:sz w:val="23"/>
        </w:rPr>
        <w:t>in</w:t>
      </w:r>
      <w:r>
        <w:rPr>
          <w:spacing w:val="-39"/>
          <w:sz w:val="23"/>
        </w:rPr>
        <w:t> </w:t>
      </w:r>
      <w:r>
        <w:rPr>
          <w:sz w:val="23"/>
        </w:rPr>
        <w:t>connection</w:t>
      </w:r>
      <w:r>
        <w:rPr>
          <w:spacing w:val="-27"/>
          <w:sz w:val="23"/>
        </w:rPr>
        <w:t> </w:t>
      </w:r>
      <w:r>
        <w:rPr>
          <w:sz w:val="23"/>
        </w:rPr>
        <w:t>with</w:t>
      </w:r>
      <w:r>
        <w:rPr>
          <w:spacing w:val="-38"/>
          <w:sz w:val="23"/>
        </w:rPr>
        <w:t> </w:t>
      </w:r>
      <w:r>
        <w:rPr>
          <w:sz w:val="23"/>
        </w:rPr>
        <w:t>the</w:t>
      </w:r>
      <w:r>
        <w:rPr>
          <w:spacing w:val="-39"/>
          <w:sz w:val="23"/>
        </w:rPr>
        <w:t> </w:t>
      </w:r>
      <w:r>
        <w:rPr>
          <w:sz w:val="23"/>
        </w:rPr>
        <w:t>Environment</w:t>
      </w:r>
      <w:r>
        <w:rPr>
          <w:spacing w:val="-27"/>
          <w:sz w:val="23"/>
        </w:rPr>
        <w:t> </w:t>
      </w:r>
      <w:r>
        <w:rPr>
          <w:sz w:val="23"/>
        </w:rPr>
        <w:t>Agency’s Flood and Coastal Erosion Risk Management</w:t>
      </w:r>
      <w:r>
        <w:rPr>
          <w:spacing w:val="46"/>
          <w:sz w:val="23"/>
        </w:rPr>
        <w:t> </w:t>
      </w:r>
      <w:r>
        <w:rPr>
          <w:sz w:val="23"/>
        </w:rPr>
        <w:t>functions.</w:t>
      </w:r>
    </w:p>
    <w:p>
      <w:pPr>
        <w:pStyle w:val="ListParagraph"/>
        <w:numPr>
          <w:ilvl w:val="2"/>
          <w:numId w:val="11"/>
        </w:numPr>
        <w:tabs>
          <w:tab w:pos="1445" w:val="left" w:leader="none"/>
        </w:tabs>
        <w:spacing w:line="240" w:lineRule="auto" w:before="0" w:after="0"/>
        <w:ind w:left="1441" w:right="0" w:hanging="270"/>
        <w:jc w:val="left"/>
        <w:rPr>
          <w:color w:val="E2421C"/>
          <w:sz w:val="23"/>
        </w:rPr>
      </w:pPr>
      <w:r>
        <w:rPr>
          <w:sz w:val="23"/>
        </w:rPr>
        <w:t>Power</w:t>
      </w:r>
      <w:r>
        <w:rPr>
          <w:spacing w:val="-12"/>
          <w:sz w:val="23"/>
        </w:rPr>
        <w:t> </w:t>
      </w:r>
      <w:r>
        <w:rPr>
          <w:sz w:val="23"/>
        </w:rPr>
        <w:t>to</w:t>
      </w:r>
      <w:r>
        <w:rPr>
          <w:spacing w:val="-14"/>
          <w:sz w:val="23"/>
        </w:rPr>
        <w:t> </w:t>
      </w:r>
      <w:r>
        <w:rPr>
          <w:sz w:val="23"/>
        </w:rPr>
        <w:t>designate structures</w:t>
      </w:r>
      <w:r>
        <w:rPr>
          <w:spacing w:val="-3"/>
          <w:sz w:val="23"/>
        </w:rPr>
        <w:t> </w:t>
      </w:r>
      <w:r>
        <w:rPr>
          <w:sz w:val="23"/>
        </w:rPr>
        <w:t>and</w:t>
      </w:r>
      <w:r>
        <w:rPr>
          <w:spacing w:val="-13"/>
          <w:sz w:val="23"/>
        </w:rPr>
        <w:t> </w:t>
      </w:r>
      <w:r>
        <w:rPr>
          <w:sz w:val="23"/>
        </w:rPr>
        <w:t>features</w:t>
      </w:r>
      <w:r>
        <w:rPr>
          <w:spacing w:val="-5"/>
          <w:sz w:val="23"/>
        </w:rPr>
        <w:t> </w:t>
      </w:r>
      <w:r>
        <w:rPr>
          <w:sz w:val="23"/>
        </w:rPr>
        <w:t>that</w:t>
      </w:r>
      <w:r>
        <w:rPr>
          <w:spacing w:val="-14"/>
          <w:sz w:val="23"/>
        </w:rPr>
        <w:t> </w:t>
      </w:r>
      <w:r>
        <w:rPr>
          <w:sz w:val="23"/>
        </w:rPr>
        <w:t>affect</w:t>
      </w:r>
      <w:r>
        <w:rPr>
          <w:spacing w:val="-7"/>
          <w:sz w:val="23"/>
        </w:rPr>
        <w:t> </w:t>
      </w:r>
      <w:r>
        <w:rPr>
          <w:sz w:val="23"/>
        </w:rPr>
        <w:t>flooding or</w:t>
      </w:r>
      <w:r>
        <w:rPr>
          <w:spacing w:val="-13"/>
          <w:sz w:val="23"/>
        </w:rPr>
        <w:t> </w:t>
      </w:r>
      <w:r>
        <w:rPr>
          <w:sz w:val="23"/>
        </w:rPr>
        <w:t>coastal</w:t>
      </w:r>
      <w:r>
        <w:rPr>
          <w:spacing w:val="-5"/>
          <w:sz w:val="23"/>
        </w:rPr>
        <w:t> </w:t>
      </w:r>
      <w:r>
        <w:rPr>
          <w:sz w:val="23"/>
        </w:rPr>
        <w:t>erosion.</w:t>
      </w:r>
    </w:p>
    <w:p>
      <w:pPr>
        <w:pStyle w:val="ListParagraph"/>
        <w:numPr>
          <w:ilvl w:val="2"/>
          <w:numId w:val="11"/>
        </w:numPr>
        <w:tabs>
          <w:tab w:pos="1445" w:val="left" w:leader="none"/>
        </w:tabs>
        <w:spacing w:line="261" w:lineRule="auto" w:before="20" w:after="0"/>
        <w:ind w:left="1444" w:right="602" w:hanging="273"/>
        <w:jc w:val="left"/>
        <w:rPr>
          <w:color w:val="F93834"/>
          <w:sz w:val="23"/>
        </w:rPr>
      </w:pPr>
      <w:r>
        <w:rPr>
          <w:sz w:val="23"/>
        </w:rPr>
        <w:t>Powers</w:t>
      </w:r>
      <w:r>
        <w:rPr>
          <w:spacing w:val="-37"/>
          <w:sz w:val="23"/>
        </w:rPr>
        <w:t> </w:t>
      </w:r>
      <w:r>
        <w:rPr>
          <w:sz w:val="23"/>
        </w:rPr>
        <w:t>to</w:t>
      </w:r>
      <w:r>
        <w:rPr>
          <w:spacing w:val="-40"/>
          <w:sz w:val="23"/>
        </w:rPr>
        <w:t> </w:t>
      </w:r>
      <w:r>
        <w:rPr>
          <w:sz w:val="23"/>
        </w:rPr>
        <w:t>cause</w:t>
      </w:r>
      <w:r>
        <w:rPr>
          <w:spacing w:val="-39"/>
          <w:sz w:val="23"/>
        </w:rPr>
        <w:t> </w:t>
      </w:r>
      <w:r>
        <w:rPr>
          <w:sz w:val="23"/>
        </w:rPr>
        <w:t>flooding</w:t>
      </w:r>
      <w:r>
        <w:rPr>
          <w:spacing w:val="-32"/>
          <w:sz w:val="23"/>
        </w:rPr>
        <w:t> </w:t>
      </w:r>
      <w:r>
        <w:rPr>
          <w:sz w:val="23"/>
        </w:rPr>
        <w:t>and</w:t>
      </w:r>
      <w:r>
        <w:rPr>
          <w:spacing w:val="-39"/>
          <w:sz w:val="23"/>
        </w:rPr>
        <w:t> </w:t>
      </w:r>
      <w:r>
        <w:rPr>
          <w:sz w:val="23"/>
        </w:rPr>
        <w:t>erosion</w:t>
      </w:r>
      <w:r>
        <w:rPr>
          <w:spacing w:val="-35"/>
          <w:sz w:val="23"/>
        </w:rPr>
        <w:t> </w:t>
      </w:r>
      <w:r>
        <w:rPr>
          <w:sz w:val="23"/>
        </w:rPr>
        <w:t>for</w:t>
      </w:r>
      <w:r>
        <w:rPr>
          <w:spacing w:val="-41"/>
          <w:sz w:val="23"/>
        </w:rPr>
        <w:t> </w:t>
      </w:r>
      <w:r>
        <w:rPr>
          <w:sz w:val="23"/>
        </w:rPr>
        <w:t>nature</w:t>
      </w:r>
      <w:r>
        <w:rPr>
          <w:spacing w:val="-36"/>
          <w:sz w:val="23"/>
        </w:rPr>
        <w:t> </w:t>
      </w:r>
      <w:r>
        <w:rPr>
          <w:sz w:val="23"/>
        </w:rPr>
        <w:t>conservation</w:t>
      </w:r>
      <w:r>
        <w:rPr>
          <w:spacing w:val="-29"/>
          <w:sz w:val="23"/>
        </w:rPr>
        <w:t> </w:t>
      </w:r>
      <w:r>
        <w:rPr>
          <w:sz w:val="23"/>
        </w:rPr>
        <w:t>and</w:t>
      </w:r>
      <w:r>
        <w:rPr>
          <w:spacing w:val="-34"/>
          <w:sz w:val="23"/>
        </w:rPr>
        <w:t> </w:t>
      </w:r>
      <w:r>
        <w:rPr>
          <w:sz w:val="23"/>
        </w:rPr>
        <w:t>cultural</w:t>
      </w:r>
      <w:r>
        <w:rPr>
          <w:spacing w:val="-35"/>
          <w:sz w:val="23"/>
        </w:rPr>
        <w:t> </w:t>
      </w:r>
      <w:r>
        <w:rPr>
          <w:sz w:val="23"/>
        </w:rPr>
        <w:t>heritage</w:t>
      </w:r>
      <w:r>
        <w:rPr>
          <w:spacing w:val="-36"/>
          <w:sz w:val="23"/>
        </w:rPr>
        <w:t> </w:t>
      </w:r>
      <w:r>
        <w:rPr>
          <w:sz w:val="23"/>
        </w:rPr>
        <w:t>reasons, and people’s enjoyment of these</w:t>
      </w:r>
      <w:r>
        <w:rPr>
          <w:spacing w:val="10"/>
          <w:sz w:val="23"/>
        </w:rPr>
        <w:t> </w:t>
      </w:r>
      <w:r>
        <w:rPr>
          <w:sz w:val="23"/>
        </w:rPr>
        <w:t>assets.</w:t>
      </w:r>
    </w:p>
    <w:p>
      <w:pPr>
        <w:pStyle w:val="ListParagraph"/>
        <w:numPr>
          <w:ilvl w:val="2"/>
          <w:numId w:val="11"/>
        </w:numPr>
        <w:tabs>
          <w:tab w:pos="1444" w:val="left" w:leader="none"/>
        </w:tabs>
        <w:spacing w:line="240" w:lineRule="auto" w:before="9" w:after="0"/>
        <w:ind w:left="1443" w:right="0" w:hanging="272"/>
        <w:jc w:val="left"/>
        <w:rPr>
          <w:color w:val="FF2626"/>
          <w:sz w:val="23"/>
        </w:rPr>
      </w:pPr>
      <w:r>
        <w:rPr>
          <w:sz w:val="23"/>
        </w:rPr>
        <w:t>A</w:t>
      </w:r>
      <w:r>
        <w:rPr>
          <w:spacing w:val="-5"/>
          <w:sz w:val="23"/>
        </w:rPr>
        <w:t> </w:t>
      </w:r>
      <w:r>
        <w:rPr>
          <w:sz w:val="23"/>
        </w:rPr>
        <w:t>duty</w:t>
      </w:r>
      <w:r>
        <w:rPr>
          <w:spacing w:val="-17"/>
          <w:sz w:val="23"/>
        </w:rPr>
        <w:t> </w:t>
      </w:r>
      <w:r>
        <w:rPr>
          <w:sz w:val="23"/>
        </w:rPr>
        <w:t>to</w:t>
      </w:r>
      <w:r>
        <w:rPr>
          <w:spacing w:val="-11"/>
          <w:sz w:val="23"/>
        </w:rPr>
        <w:t> </w:t>
      </w:r>
      <w:r>
        <w:rPr>
          <w:sz w:val="23"/>
        </w:rPr>
        <w:t>consider</w:t>
      </w:r>
      <w:r>
        <w:rPr>
          <w:spacing w:val="-1"/>
          <w:sz w:val="23"/>
        </w:rPr>
        <w:t> </w:t>
      </w:r>
      <w:r>
        <w:rPr>
          <w:sz w:val="23"/>
        </w:rPr>
        <w:t>FCERM</w:t>
      </w:r>
      <w:r>
        <w:rPr>
          <w:spacing w:val="1"/>
          <w:sz w:val="23"/>
        </w:rPr>
        <w:t> </w:t>
      </w:r>
      <w:r>
        <w:rPr>
          <w:sz w:val="23"/>
        </w:rPr>
        <w:t>in</w:t>
      </w:r>
      <w:r>
        <w:rPr>
          <w:spacing w:val="-9"/>
          <w:sz w:val="23"/>
        </w:rPr>
        <w:t> </w:t>
      </w:r>
      <w:r>
        <w:rPr>
          <w:sz w:val="23"/>
        </w:rPr>
        <w:t>carrying</w:t>
      </w:r>
      <w:r>
        <w:rPr>
          <w:spacing w:val="1"/>
          <w:sz w:val="23"/>
        </w:rPr>
        <w:t> </w:t>
      </w:r>
      <w:r>
        <w:rPr>
          <w:sz w:val="23"/>
        </w:rPr>
        <w:t>out</w:t>
      </w:r>
      <w:r>
        <w:rPr>
          <w:spacing w:val="-10"/>
          <w:sz w:val="23"/>
        </w:rPr>
        <w:t> </w:t>
      </w:r>
      <w:r>
        <w:rPr>
          <w:sz w:val="23"/>
        </w:rPr>
        <w:t>other</w:t>
      </w:r>
      <w:r>
        <w:rPr>
          <w:spacing w:val="-4"/>
          <w:sz w:val="23"/>
        </w:rPr>
        <w:t> </w:t>
      </w:r>
      <w:r>
        <w:rPr>
          <w:sz w:val="23"/>
        </w:rPr>
        <w:t>work</w:t>
      </w:r>
      <w:r>
        <w:rPr>
          <w:spacing w:val="-3"/>
          <w:sz w:val="23"/>
        </w:rPr>
        <w:t> </w:t>
      </w:r>
      <w:r>
        <w:rPr>
          <w:sz w:val="23"/>
        </w:rPr>
        <w:t>that</w:t>
      </w:r>
      <w:r>
        <w:rPr>
          <w:spacing w:val="-8"/>
          <w:sz w:val="23"/>
        </w:rPr>
        <w:t> </w:t>
      </w:r>
      <w:r>
        <w:rPr>
          <w:sz w:val="23"/>
        </w:rPr>
        <w:t>may</w:t>
      </w:r>
      <w:r>
        <w:rPr>
          <w:spacing w:val="-2"/>
          <w:sz w:val="23"/>
        </w:rPr>
        <w:t> </w:t>
      </w:r>
      <w:r>
        <w:rPr>
          <w:sz w:val="23"/>
        </w:rPr>
        <w:t>affect</w:t>
      </w:r>
      <w:r>
        <w:rPr>
          <w:spacing w:val="-9"/>
          <w:sz w:val="23"/>
        </w:rPr>
        <w:t> </w:t>
      </w:r>
      <w:r>
        <w:rPr>
          <w:sz w:val="23"/>
        </w:rPr>
        <w:t>FCERM.</w:t>
      </w:r>
    </w:p>
    <w:p>
      <w:pPr>
        <w:pStyle w:val="ListParagraph"/>
        <w:numPr>
          <w:ilvl w:val="2"/>
          <w:numId w:val="11"/>
        </w:numPr>
        <w:tabs>
          <w:tab w:pos="1444" w:val="left" w:leader="none"/>
        </w:tabs>
        <w:spacing w:line="240" w:lineRule="auto" w:before="24" w:after="0"/>
        <w:ind w:left="1443" w:right="0" w:hanging="272"/>
        <w:jc w:val="left"/>
        <w:rPr>
          <w:color w:val="FF362F"/>
          <w:sz w:val="23"/>
        </w:rPr>
      </w:pPr>
      <w:r>
        <w:rPr>
          <w:sz w:val="23"/>
        </w:rPr>
        <w:t>A duty to consider the</w:t>
      </w:r>
      <w:r>
        <w:rPr>
          <w:spacing w:val="-3"/>
          <w:sz w:val="23"/>
        </w:rPr>
        <w:t> </w:t>
      </w:r>
      <w:r>
        <w:rPr>
          <w:sz w:val="23"/>
        </w:rPr>
        <w:t>LFRMS.</w:t>
      </w:r>
    </w:p>
    <w:p>
      <w:pPr>
        <w:pStyle w:val="ListParagraph"/>
        <w:numPr>
          <w:ilvl w:val="2"/>
          <w:numId w:val="11"/>
        </w:numPr>
        <w:tabs>
          <w:tab w:pos="1444" w:val="left" w:leader="none"/>
        </w:tabs>
        <w:spacing w:line="271" w:lineRule="auto" w:before="23" w:after="0"/>
        <w:ind w:left="1444" w:right="504" w:hanging="273"/>
        <w:jc w:val="left"/>
        <w:rPr>
          <w:color w:val="F93834"/>
          <w:sz w:val="23"/>
        </w:rPr>
      </w:pPr>
      <w:r>
        <w:rPr>
          <w:sz w:val="23"/>
        </w:rPr>
        <w:t>A</w:t>
      </w:r>
      <w:r>
        <w:rPr>
          <w:spacing w:val="-31"/>
          <w:sz w:val="23"/>
        </w:rPr>
        <w:t> </w:t>
      </w:r>
      <w:r>
        <w:rPr>
          <w:sz w:val="23"/>
        </w:rPr>
        <w:t>duty</w:t>
      </w:r>
      <w:r>
        <w:rPr>
          <w:spacing w:val="-38"/>
          <w:sz w:val="23"/>
        </w:rPr>
        <w:t> </w:t>
      </w:r>
      <w:r>
        <w:rPr>
          <w:sz w:val="23"/>
        </w:rPr>
        <w:t>to</w:t>
      </w:r>
      <w:r>
        <w:rPr>
          <w:spacing w:val="-38"/>
          <w:sz w:val="23"/>
        </w:rPr>
        <w:t> </w:t>
      </w:r>
      <w:r>
        <w:rPr>
          <w:sz w:val="23"/>
        </w:rPr>
        <w:t>report</w:t>
      </w:r>
      <w:r>
        <w:rPr>
          <w:spacing w:val="-35"/>
          <w:sz w:val="23"/>
        </w:rPr>
        <w:t> </w:t>
      </w:r>
      <w:r>
        <w:rPr>
          <w:sz w:val="23"/>
        </w:rPr>
        <w:t>to</w:t>
      </w:r>
      <w:r>
        <w:rPr>
          <w:spacing w:val="-35"/>
          <w:sz w:val="23"/>
        </w:rPr>
        <w:t> </w:t>
      </w:r>
      <w:r>
        <w:rPr>
          <w:sz w:val="23"/>
        </w:rPr>
        <w:t>Ministers</w:t>
      </w:r>
      <w:r>
        <w:rPr>
          <w:spacing w:val="-28"/>
          <w:sz w:val="23"/>
        </w:rPr>
        <w:t> </w:t>
      </w:r>
      <w:r>
        <w:rPr>
          <w:sz w:val="23"/>
        </w:rPr>
        <w:t>about</w:t>
      </w:r>
      <w:r>
        <w:rPr>
          <w:spacing w:val="-28"/>
          <w:sz w:val="23"/>
        </w:rPr>
        <w:t> </w:t>
      </w:r>
      <w:r>
        <w:rPr>
          <w:sz w:val="23"/>
        </w:rPr>
        <w:t>FCERM,</w:t>
      </w:r>
      <w:r>
        <w:rPr>
          <w:spacing w:val="-28"/>
          <w:sz w:val="23"/>
        </w:rPr>
        <w:t> </w:t>
      </w:r>
      <w:r>
        <w:rPr>
          <w:sz w:val="23"/>
        </w:rPr>
        <w:t>including</w:t>
      </w:r>
      <w:r>
        <w:rPr>
          <w:spacing w:val="-25"/>
          <w:sz w:val="23"/>
        </w:rPr>
        <w:t> </w:t>
      </w:r>
      <w:r>
        <w:rPr>
          <w:sz w:val="23"/>
        </w:rPr>
        <w:t>application</w:t>
      </w:r>
      <w:r>
        <w:rPr>
          <w:spacing w:val="-26"/>
          <w:sz w:val="23"/>
        </w:rPr>
        <w:t> </w:t>
      </w:r>
      <w:r>
        <w:rPr>
          <w:sz w:val="23"/>
        </w:rPr>
        <w:t>of</w:t>
      </w:r>
      <w:r>
        <w:rPr>
          <w:spacing w:val="-35"/>
          <w:sz w:val="23"/>
        </w:rPr>
        <w:t> </w:t>
      </w:r>
      <w:r>
        <w:rPr>
          <w:sz w:val="23"/>
        </w:rPr>
        <w:t>the</w:t>
      </w:r>
      <w:r>
        <w:rPr>
          <w:spacing w:val="-32"/>
          <w:sz w:val="23"/>
        </w:rPr>
        <w:t> </w:t>
      </w:r>
      <w:r>
        <w:rPr>
          <w:sz w:val="23"/>
        </w:rPr>
        <w:t>national</w:t>
      </w:r>
      <w:r>
        <w:rPr>
          <w:spacing w:val="-29"/>
          <w:sz w:val="23"/>
        </w:rPr>
        <w:t> </w:t>
      </w:r>
      <w:r>
        <w:rPr>
          <w:sz w:val="23"/>
        </w:rPr>
        <w:t>strategies</w:t>
      </w:r>
      <w:r>
        <w:rPr>
          <w:spacing w:val="-28"/>
          <w:sz w:val="23"/>
        </w:rPr>
        <w:t> </w:t>
      </w:r>
      <w:r>
        <w:rPr>
          <w:sz w:val="23"/>
        </w:rPr>
        <w:t>for England and</w:t>
      </w:r>
      <w:r>
        <w:rPr>
          <w:spacing w:val="-41"/>
          <w:sz w:val="23"/>
        </w:rPr>
        <w:t> </w:t>
      </w:r>
      <w:r>
        <w:rPr>
          <w:sz w:val="23"/>
        </w:rPr>
        <w:t>Wales.</w:t>
      </w:r>
    </w:p>
    <w:p>
      <w:pPr>
        <w:pStyle w:val="ListParagraph"/>
        <w:numPr>
          <w:ilvl w:val="2"/>
          <w:numId w:val="11"/>
        </w:numPr>
        <w:tabs>
          <w:tab w:pos="1444" w:val="left" w:leader="none"/>
        </w:tabs>
        <w:spacing w:line="261" w:lineRule="auto" w:before="0" w:after="0"/>
        <w:ind w:left="1442" w:right="379" w:hanging="271"/>
        <w:jc w:val="left"/>
        <w:rPr>
          <w:color w:val="EF4136"/>
          <w:sz w:val="23"/>
        </w:rPr>
      </w:pPr>
      <w:r>
        <w:rPr>
          <w:sz w:val="23"/>
        </w:rPr>
        <w:t>Act</w:t>
      </w:r>
      <w:r>
        <w:rPr>
          <w:spacing w:val="-31"/>
          <w:sz w:val="23"/>
        </w:rPr>
        <w:t> </w:t>
      </w:r>
      <w:r>
        <w:rPr>
          <w:sz w:val="23"/>
        </w:rPr>
        <w:t>as</w:t>
      </w:r>
      <w:r>
        <w:rPr>
          <w:spacing w:val="-36"/>
          <w:sz w:val="23"/>
        </w:rPr>
        <w:t> </w:t>
      </w:r>
      <w:r>
        <w:rPr>
          <w:sz w:val="23"/>
        </w:rPr>
        <w:t>a</w:t>
      </w:r>
      <w:r>
        <w:rPr>
          <w:spacing w:val="-35"/>
          <w:sz w:val="23"/>
        </w:rPr>
        <w:t> </w:t>
      </w:r>
      <w:r>
        <w:rPr>
          <w:sz w:val="23"/>
        </w:rPr>
        <w:t>statutory</w:t>
      </w:r>
      <w:r>
        <w:rPr>
          <w:spacing w:val="-32"/>
          <w:sz w:val="23"/>
        </w:rPr>
        <w:t> </w:t>
      </w:r>
      <w:r>
        <w:rPr>
          <w:sz w:val="23"/>
        </w:rPr>
        <w:t>consultee</w:t>
      </w:r>
      <w:r>
        <w:rPr>
          <w:spacing w:val="-29"/>
          <w:sz w:val="23"/>
        </w:rPr>
        <w:t> </w:t>
      </w:r>
      <w:r>
        <w:rPr>
          <w:sz w:val="23"/>
        </w:rPr>
        <w:t>to</w:t>
      </w:r>
      <w:r>
        <w:rPr>
          <w:spacing w:val="-33"/>
          <w:sz w:val="23"/>
        </w:rPr>
        <w:t> </w:t>
      </w:r>
      <w:r>
        <w:rPr>
          <w:sz w:val="23"/>
        </w:rPr>
        <w:t>the</w:t>
      </w:r>
      <w:r>
        <w:rPr>
          <w:spacing w:val="-35"/>
          <w:sz w:val="23"/>
        </w:rPr>
        <w:t> </w:t>
      </w:r>
      <w:r>
        <w:rPr>
          <w:sz w:val="23"/>
        </w:rPr>
        <w:t>SuDS</w:t>
      </w:r>
      <w:r>
        <w:rPr>
          <w:spacing w:val="-29"/>
          <w:sz w:val="23"/>
        </w:rPr>
        <w:t> </w:t>
      </w:r>
      <w:r>
        <w:rPr>
          <w:sz w:val="23"/>
        </w:rPr>
        <w:t>approving</w:t>
      </w:r>
      <w:r>
        <w:rPr>
          <w:spacing w:val="-29"/>
          <w:sz w:val="23"/>
        </w:rPr>
        <w:t> </w:t>
      </w:r>
      <w:r>
        <w:rPr>
          <w:sz w:val="23"/>
        </w:rPr>
        <w:t>body</w:t>
      </w:r>
      <w:r>
        <w:rPr>
          <w:spacing w:val="-34"/>
          <w:sz w:val="23"/>
        </w:rPr>
        <w:t> </w:t>
      </w:r>
      <w:r>
        <w:rPr>
          <w:sz w:val="23"/>
        </w:rPr>
        <w:t>on</w:t>
      </w:r>
      <w:r>
        <w:rPr>
          <w:spacing w:val="-33"/>
          <w:sz w:val="23"/>
        </w:rPr>
        <w:t> </w:t>
      </w:r>
      <w:r>
        <w:rPr>
          <w:sz w:val="23"/>
        </w:rPr>
        <w:t>sustainable</w:t>
      </w:r>
      <w:r>
        <w:rPr>
          <w:spacing w:val="-24"/>
          <w:sz w:val="23"/>
        </w:rPr>
        <w:t> </w:t>
      </w:r>
      <w:r>
        <w:rPr>
          <w:sz w:val="23"/>
        </w:rPr>
        <w:t>drainage</w:t>
      </w:r>
      <w:r>
        <w:rPr>
          <w:spacing w:val="-31"/>
          <w:sz w:val="23"/>
        </w:rPr>
        <w:t> </w:t>
      </w:r>
      <w:r>
        <w:rPr>
          <w:sz w:val="23"/>
        </w:rPr>
        <w:t>that</w:t>
      </w:r>
      <w:r>
        <w:rPr>
          <w:spacing w:val="-34"/>
          <w:sz w:val="23"/>
        </w:rPr>
        <w:t> </w:t>
      </w:r>
      <w:r>
        <w:rPr>
          <w:sz w:val="23"/>
        </w:rPr>
        <w:t>impacts water quality or strategic flood</w:t>
      </w:r>
      <w:r>
        <w:rPr>
          <w:spacing w:val="33"/>
          <w:sz w:val="23"/>
        </w:rPr>
        <w:t> </w:t>
      </w:r>
      <w:r>
        <w:rPr>
          <w:sz w:val="23"/>
        </w:rPr>
        <w:t>risk.</w:t>
      </w:r>
    </w:p>
    <w:p>
      <w:pPr>
        <w:pStyle w:val="BodyText"/>
        <w:spacing w:line="264" w:lineRule="auto" w:before="112"/>
        <w:ind w:left="1015" w:firstLine="9"/>
      </w:pPr>
      <w:r>
        <w:rPr/>
        <w:t>The</w:t>
      </w:r>
      <w:r>
        <w:rPr>
          <w:spacing w:val="-24"/>
        </w:rPr>
        <w:t> </w:t>
      </w:r>
      <w:r>
        <w:rPr/>
        <w:t>EA</w:t>
      </w:r>
      <w:r>
        <w:rPr>
          <w:spacing w:val="-23"/>
        </w:rPr>
        <w:t> </w:t>
      </w:r>
      <w:r>
        <w:rPr/>
        <w:t>published</w:t>
      </w:r>
      <w:r>
        <w:rPr>
          <w:spacing w:val="-15"/>
        </w:rPr>
        <w:t> </w:t>
      </w:r>
      <w:r>
        <w:rPr/>
        <w:t>National</w:t>
      </w:r>
      <w:r>
        <w:rPr>
          <w:spacing w:val="-13"/>
        </w:rPr>
        <w:t> </w:t>
      </w:r>
      <w:r>
        <w:rPr/>
        <w:t>Strategy</w:t>
      </w:r>
      <w:r>
        <w:rPr>
          <w:spacing w:val="-23"/>
        </w:rPr>
        <w:t> </w:t>
      </w:r>
      <w:r>
        <w:rPr/>
        <w:t>for</w:t>
      </w:r>
      <w:r>
        <w:rPr>
          <w:spacing w:val="-24"/>
        </w:rPr>
        <w:t> </w:t>
      </w:r>
      <w:r>
        <w:rPr/>
        <w:t>FCERM</w:t>
      </w:r>
      <w:r>
        <w:rPr>
          <w:spacing w:val="-25"/>
        </w:rPr>
        <w:t> </w:t>
      </w:r>
      <w:r>
        <w:rPr/>
        <w:t>in</w:t>
      </w:r>
      <w:r>
        <w:rPr>
          <w:spacing w:val="-24"/>
        </w:rPr>
        <w:t> </w:t>
      </w:r>
      <w:r>
        <w:rPr/>
        <w:t>2011.</w:t>
      </w:r>
      <w:r>
        <w:rPr>
          <w:spacing w:val="-24"/>
        </w:rPr>
        <w:t> </w:t>
      </w:r>
      <w:r>
        <w:rPr/>
        <w:t>It</w:t>
      </w:r>
      <w:r>
        <w:rPr>
          <w:spacing w:val="-22"/>
        </w:rPr>
        <w:t> </w:t>
      </w:r>
      <w:r>
        <w:rPr/>
        <w:t>sets</w:t>
      </w:r>
      <w:r>
        <w:rPr>
          <w:spacing w:val="-22"/>
        </w:rPr>
        <w:t> </w:t>
      </w:r>
      <w:r>
        <w:rPr/>
        <w:t>out</w:t>
      </w:r>
      <w:r>
        <w:rPr>
          <w:spacing w:val="-21"/>
        </w:rPr>
        <w:t> </w:t>
      </w:r>
      <w:r>
        <w:rPr/>
        <w:t>a</w:t>
      </w:r>
      <w:r>
        <w:rPr>
          <w:spacing w:val="-31"/>
        </w:rPr>
        <w:t> </w:t>
      </w:r>
      <w:r>
        <w:rPr/>
        <w:t>national</w:t>
      </w:r>
      <w:r>
        <w:rPr>
          <w:spacing w:val="-14"/>
        </w:rPr>
        <w:t> </w:t>
      </w:r>
      <w:r>
        <w:rPr/>
        <w:t>framework</w:t>
      </w:r>
      <w:r>
        <w:rPr>
          <w:spacing w:val="-11"/>
        </w:rPr>
        <w:t> </w:t>
      </w:r>
      <w:r>
        <w:rPr/>
        <w:t>for managing</w:t>
      </w:r>
      <w:r>
        <w:rPr>
          <w:spacing w:val="-28"/>
        </w:rPr>
        <w:t> </w:t>
      </w:r>
      <w:r>
        <w:rPr/>
        <w:t>the</w:t>
      </w:r>
      <w:r>
        <w:rPr>
          <w:spacing w:val="-36"/>
        </w:rPr>
        <w:t> </w:t>
      </w:r>
      <w:r>
        <w:rPr/>
        <w:t>risk</w:t>
      </w:r>
      <w:r>
        <w:rPr>
          <w:spacing w:val="-33"/>
        </w:rPr>
        <w:t> </w:t>
      </w:r>
      <w:r>
        <w:rPr/>
        <w:t>of</w:t>
      </w:r>
      <w:r>
        <w:rPr>
          <w:spacing w:val="-33"/>
        </w:rPr>
        <w:t> </w:t>
      </w:r>
      <w:r>
        <w:rPr/>
        <w:t>flooding</w:t>
      </w:r>
      <w:r>
        <w:rPr>
          <w:spacing w:val="-26"/>
        </w:rPr>
        <w:t> </w:t>
      </w:r>
      <w:r>
        <w:rPr/>
        <w:t>and</w:t>
      </w:r>
      <w:r>
        <w:rPr>
          <w:spacing w:val="-31"/>
        </w:rPr>
        <w:t> </w:t>
      </w:r>
      <w:r>
        <w:rPr/>
        <w:t>coastal</w:t>
      </w:r>
      <w:r>
        <w:rPr>
          <w:spacing w:val="-30"/>
        </w:rPr>
        <w:t> </w:t>
      </w:r>
      <w:r>
        <w:rPr/>
        <w:t>erosion</w:t>
      </w:r>
      <w:r>
        <w:rPr>
          <w:spacing w:val="-24"/>
        </w:rPr>
        <w:t> </w:t>
      </w:r>
      <w:r>
        <w:rPr/>
        <w:t>and</w:t>
      </w:r>
      <w:r>
        <w:rPr>
          <w:spacing w:val="-32"/>
        </w:rPr>
        <w:t> </w:t>
      </w:r>
      <w:r>
        <w:rPr/>
        <w:t>describes</w:t>
      </w:r>
      <w:r>
        <w:rPr>
          <w:spacing w:val="-28"/>
        </w:rPr>
        <w:t> </w:t>
      </w:r>
      <w:r>
        <w:rPr/>
        <w:t>the</w:t>
      </w:r>
      <w:r>
        <w:rPr>
          <w:spacing w:val="-37"/>
        </w:rPr>
        <w:t> </w:t>
      </w:r>
      <w:r>
        <w:rPr/>
        <w:t>roles</w:t>
      </w:r>
      <w:r>
        <w:rPr>
          <w:spacing w:val="-31"/>
        </w:rPr>
        <w:t> </w:t>
      </w:r>
      <w:r>
        <w:rPr/>
        <w:t>and</w:t>
      </w:r>
      <w:r>
        <w:rPr>
          <w:spacing w:val="-34"/>
        </w:rPr>
        <w:t> </w:t>
      </w:r>
      <w:r>
        <w:rPr/>
        <w:t>responsibilities</w:t>
      </w:r>
      <w:r>
        <w:rPr>
          <w:spacing w:val="-33"/>
        </w:rPr>
        <w:t> </w:t>
      </w:r>
      <w:r>
        <w:rPr/>
        <w:t>of management authorities and communities. It has a significant impact upon LLFAs, as it communicates their duties under the</w:t>
      </w:r>
      <w:r>
        <w:rPr>
          <w:spacing w:val="11"/>
        </w:rPr>
        <w:t> </w:t>
      </w:r>
      <w:r>
        <w:rPr/>
        <w:t>FWMA.</w:t>
      </w:r>
    </w:p>
    <w:p>
      <w:pPr>
        <w:pStyle w:val="BodyText"/>
        <w:spacing w:line="266" w:lineRule="auto" w:before="123"/>
        <w:ind w:left="1021" w:right="889"/>
        <w:jc w:val="both"/>
      </w:pPr>
      <w:r>
        <w:rPr/>
        <w:t>Due</w:t>
      </w:r>
      <w:r>
        <w:rPr>
          <w:spacing w:val="-36"/>
        </w:rPr>
        <w:t> </w:t>
      </w:r>
      <w:r>
        <w:rPr/>
        <w:t>to</w:t>
      </w:r>
      <w:r>
        <w:rPr>
          <w:spacing w:val="-32"/>
        </w:rPr>
        <w:t> </w:t>
      </w:r>
      <w:r>
        <w:rPr/>
        <w:t>government</w:t>
      </w:r>
      <w:r>
        <w:rPr>
          <w:spacing w:val="-26"/>
        </w:rPr>
        <w:t> </w:t>
      </w:r>
      <w:r>
        <w:rPr/>
        <w:t>commitments</w:t>
      </w:r>
      <w:r>
        <w:rPr>
          <w:spacing w:val="-24"/>
        </w:rPr>
        <w:t> </w:t>
      </w:r>
      <w:r>
        <w:rPr/>
        <w:t>in</w:t>
      </w:r>
      <w:r>
        <w:rPr>
          <w:spacing w:val="-36"/>
        </w:rPr>
        <w:t> </w:t>
      </w:r>
      <w:r>
        <w:rPr/>
        <w:t>its</w:t>
      </w:r>
      <w:r>
        <w:rPr>
          <w:spacing w:val="-32"/>
        </w:rPr>
        <w:t> </w:t>
      </w:r>
      <w:r>
        <w:rPr/>
        <w:t>25</w:t>
      </w:r>
      <w:r>
        <w:rPr>
          <w:spacing w:val="-30"/>
        </w:rPr>
        <w:t> </w:t>
      </w:r>
      <w:r>
        <w:rPr/>
        <w:t>year</w:t>
      </w:r>
      <w:r>
        <w:rPr>
          <w:spacing w:val="-30"/>
        </w:rPr>
        <w:t> </w:t>
      </w:r>
      <w:r>
        <w:rPr/>
        <w:t>Environment</w:t>
      </w:r>
      <w:r>
        <w:rPr>
          <w:spacing w:val="-17"/>
        </w:rPr>
        <w:t> </w:t>
      </w:r>
      <w:r>
        <w:rPr/>
        <w:t>Plan,</w:t>
      </w:r>
      <w:r>
        <w:rPr>
          <w:spacing w:val="-34"/>
        </w:rPr>
        <w:t> </w:t>
      </w:r>
      <w:r>
        <w:rPr/>
        <w:t>the</w:t>
      </w:r>
      <w:r>
        <w:rPr>
          <w:spacing w:val="-31"/>
        </w:rPr>
        <w:t> </w:t>
      </w:r>
      <w:r>
        <w:rPr/>
        <w:t>EA</w:t>
      </w:r>
      <w:r>
        <w:rPr>
          <w:spacing w:val="-27"/>
        </w:rPr>
        <w:t> </w:t>
      </w:r>
      <w:r>
        <w:rPr/>
        <w:t>will</w:t>
      </w:r>
      <w:r>
        <w:rPr>
          <w:spacing w:val="-30"/>
        </w:rPr>
        <w:t> </w:t>
      </w:r>
      <w:r>
        <w:rPr/>
        <w:t>revise</w:t>
      </w:r>
      <w:r>
        <w:rPr>
          <w:spacing w:val="-30"/>
        </w:rPr>
        <w:t> </w:t>
      </w:r>
      <w:r>
        <w:rPr/>
        <w:t>the</w:t>
      </w:r>
      <w:r>
        <w:rPr>
          <w:spacing w:val="-26"/>
        </w:rPr>
        <w:t> </w:t>
      </w:r>
      <w:r>
        <w:rPr/>
        <w:t>2011 strategy</w:t>
      </w:r>
      <w:r>
        <w:rPr>
          <w:spacing w:val="-26"/>
        </w:rPr>
        <w:t> </w:t>
      </w:r>
      <w:r>
        <w:rPr/>
        <w:t>in</w:t>
      </w:r>
      <w:r>
        <w:rPr>
          <w:spacing w:val="-29"/>
        </w:rPr>
        <w:t> </w:t>
      </w:r>
      <w:r>
        <w:rPr/>
        <w:t>2019.</w:t>
      </w:r>
      <w:r>
        <w:rPr>
          <w:spacing w:val="-21"/>
        </w:rPr>
        <w:t> </w:t>
      </w:r>
      <w:r>
        <w:rPr/>
        <w:t>At</w:t>
      </w:r>
      <w:r>
        <w:rPr>
          <w:spacing w:val="-32"/>
        </w:rPr>
        <w:t> </w:t>
      </w:r>
      <w:r>
        <w:rPr/>
        <w:t>the</w:t>
      </w:r>
      <w:r>
        <w:rPr>
          <w:spacing w:val="-33"/>
        </w:rPr>
        <w:t> </w:t>
      </w:r>
      <w:r>
        <w:rPr/>
        <w:t>time</w:t>
      </w:r>
      <w:r>
        <w:rPr>
          <w:spacing w:val="-28"/>
        </w:rPr>
        <w:t> </w:t>
      </w:r>
      <w:r>
        <w:rPr/>
        <w:t>of</w:t>
      </w:r>
      <w:r>
        <w:rPr>
          <w:spacing w:val="-29"/>
        </w:rPr>
        <w:t> </w:t>
      </w:r>
      <w:r>
        <w:rPr/>
        <w:t>writing,</w:t>
      </w:r>
      <w:r>
        <w:rPr>
          <w:spacing w:val="-22"/>
        </w:rPr>
        <w:t> </w:t>
      </w:r>
      <w:r>
        <w:rPr/>
        <w:t>workgroup</w:t>
      </w:r>
      <w:r>
        <w:rPr>
          <w:spacing w:val="-20"/>
        </w:rPr>
        <w:t> </w:t>
      </w:r>
      <w:r>
        <w:rPr/>
        <w:t>consultation</w:t>
      </w:r>
      <w:r>
        <w:rPr>
          <w:spacing w:val="-26"/>
        </w:rPr>
        <w:t> </w:t>
      </w:r>
      <w:r>
        <w:rPr/>
        <w:t>is</w:t>
      </w:r>
      <w:r>
        <w:rPr>
          <w:spacing w:val="-34"/>
        </w:rPr>
        <w:t> </w:t>
      </w:r>
      <w:r>
        <w:rPr/>
        <w:t>taking</w:t>
      </w:r>
      <w:r>
        <w:rPr>
          <w:spacing w:val="-28"/>
        </w:rPr>
        <w:t> </w:t>
      </w:r>
      <w:r>
        <w:rPr/>
        <w:t>place</w:t>
      </w:r>
      <w:r>
        <w:rPr>
          <w:spacing w:val="-32"/>
        </w:rPr>
        <w:t> </w:t>
      </w:r>
      <w:r>
        <w:rPr/>
        <w:t>to</w:t>
      </w:r>
      <w:r>
        <w:rPr>
          <w:spacing w:val="-32"/>
        </w:rPr>
        <w:t> </w:t>
      </w:r>
      <w:r>
        <w:rPr/>
        <w:t>consider</w:t>
      </w:r>
      <w:r>
        <w:rPr>
          <w:spacing w:val="-27"/>
        </w:rPr>
        <w:t> </w:t>
      </w:r>
      <w:r>
        <w:rPr/>
        <w:t>the ambition</w:t>
      </w:r>
      <w:r>
        <w:rPr>
          <w:spacing w:val="-19"/>
        </w:rPr>
        <w:t> </w:t>
      </w:r>
      <w:r>
        <w:rPr/>
        <w:t>for</w:t>
      </w:r>
      <w:r>
        <w:rPr>
          <w:spacing w:val="-28"/>
        </w:rPr>
        <w:t> </w:t>
      </w:r>
      <w:r>
        <w:rPr/>
        <w:t>flood</w:t>
      </w:r>
      <w:r>
        <w:rPr>
          <w:spacing w:val="-23"/>
        </w:rPr>
        <w:t> </w:t>
      </w:r>
      <w:r>
        <w:rPr/>
        <w:t>and</w:t>
      </w:r>
      <w:r>
        <w:rPr>
          <w:spacing w:val="-24"/>
        </w:rPr>
        <w:t> </w:t>
      </w:r>
      <w:r>
        <w:rPr/>
        <w:t>coastal</w:t>
      </w:r>
      <w:r>
        <w:rPr>
          <w:spacing w:val="-15"/>
        </w:rPr>
        <w:t> </w:t>
      </w:r>
      <w:r>
        <w:rPr/>
        <w:t>erosion</w:t>
      </w:r>
      <w:r>
        <w:rPr>
          <w:spacing w:val="-26"/>
        </w:rPr>
        <w:t> </w:t>
      </w:r>
      <w:r>
        <w:rPr/>
        <w:t>risk</w:t>
      </w:r>
      <w:r>
        <w:rPr>
          <w:spacing w:val="-30"/>
        </w:rPr>
        <w:t> </w:t>
      </w:r>
      <w:r>
        <w:rPr/>
        <w:t>management</w:t>
      </w:r>
      <w:r>
        <w:rPr>
          <w:spacing w:val="-13"/>
        </w:rPr>
        <w:t> </w:t>
      </w:r>
      <w:r>
        <w:rPr/>
        <w:t>in</w:t>
      </w:r>
      <w:r>
        <w:rPr>
          <w:spacing w:val="-25"/>
        </w:rPr>
        <w:t> </w:t>
      </w:r>
      <w:r>
        <w:rPr/>
        <w:t>2050.</w:t>
      </w:r>
      <w:r>
        <w:rPr>
          <w:spacing w:val="-16"/>
        </w:rPr>
        <w:t> </w:t>
      </w:r>
      <w:r>
        <w:rPr/>
        <w:t>The</w:t>
      </w:r>
      <w:r>
        <w:rPr>
          <w:spacing w:val="-20"/>
        </w:rPr>
        <w:t> </w:t>
      </w:r>
      <w:r>
        <w:rPr/>
        <w:t>strategy</w:t>
      </w:r>
      <w:r>
        <w:rPr>
          <w:spacing w:val="-24"/>
        </w:rPr>
        <w:t> </w:t>
      </w:r>
      <w:r>
        <w:rPr/>
        <w:t>will</w:t>
      </w:r>
      <w:r>
        <w:rPr>
          <w:spacing w:val="-23"/>
        </w:rPr>
        <w:t> </w:t>
      </w:r>
      <w:r>
        <w:rPr/>
        <w:t>include:</w:t>
      </w:r>
    </w:p>
    <w:p>
      <w:pPr>
        <w:pStyle w:val="ListParagraph"/>
        <w:numPr>
          <w:ilvl w:val="0"/>
          <w:numId w:val="12"/>
        </w:numPr>
        <w:tabs>
          <w:tab w:pos="1404" w:val="left" w:leader="none"/>
          <w:tab w:pos="1405" w:val="left" w:leader="none"/>
        </w:tabs>
        <w:spacing w:line="240" w:lineRule="auto" w:before="108" w:after="0"/>
        <w:ind w:left="1405" w:right="0" w:hanging="378"/>
        <w:jc w:val="left"/>
        <w:rPr>
          <w:color w:val="FF3434"/>
          <w:sz w:val="23"/>
        </w:rPr>
      </w:pPr>
      <w:r>
        <w:rPr>
          <w:sz w:val="23"/>
        </w:rPr>
        <w:t>An overview of flood and coastal erosion risk in</w:t>
      </w:r>
      <w:r>
        <w:rPr>
          <w:spacing w:val="-28"/>
          <w:sz w:val="23"/>
        </w:rPr>
        <w:t> </w:t>
      </w:r>
      <w:r>
        <w:rPr>
          <w:sz w:val="23"/>
        </w:rPr>
        <w:t>England.</w:t>
      </w:r>
    </w:p>
    <w:p>
      <w:pPr>
        <w:pStyle w:val="ListParagraph"/>
        <w:numPr>
          <w:ilvl w:val="0"/>
          <w:numId w:val="12"/>
        </w:numPr>
        <w:tabs>
          <w:tab w:pos="1404" w:val="left" w:leader="none"/>
          <w:tab w:pos="1405" w:val="left" w:leader="none"/>
        </w:tabs>
        <w:spacing w:line="240" w:lineRule="auto" w:before="33" w:after="0"/>
        <w:ind w:left="1405" w:right="0" w:hanging="378"/>
        <w:jc w:val="left"/>
        <w:rPr>
          <w:color w:val="FF261D"/>
          <w:sz w:val="23"/>
        </w:rPr>
      </w:pPr>
      <w:r>
        <w:rPr>
          <w:sz w:val="23"/>
        </w:rPr>
        <w:t>A</w:t>
      </w:r>
      <w:r>
        <w:rPr>
          <w:spacing w:val="-18"/>
          <w:sz w:val="23"/>
        </w:rPr>
        <w:t> </w:t>
      </w:r>
      <w:r>
        <w:rPr>
          <w:sz w:val="23"/>
        </w:rPr>
        <w:t>long-term,</w:t>
      </w:r>
      <w:r>
        <w:rPr>
          <w:spacing w:val="2"/>
          <w:sz w:val="23"/>
        </w:rPr>
        <w:t> </w:t>
      </w:r>
      <w:r>
        <w:rPr>
          <w:sz w:val="23"/>
        </w:rPr>
        <w:t>strategic</w:t>
      </w:r>
      <w:r>
        <w:rPr>
          <w:spacing w:val="-4"/>
          <w:sz w:val="23"/>
        </w:rPr>
        <w:t> </w:t>
      </w:r>
      <w:r>
        <w:rPr>
          <w:sz w:val="23"/>
        </w:rPr>
        <w:t>ambition for</w:t>
      </w:r>
      <w:r>
        <w:rPr>
          <w:spacing w:val="-19"/>
          <w:sz w:val="23"/>
        </w:rPr>
        <w:t> </w:t>
      </w:r>
      <w:r>
        <w:rPr>
          <w:sz w:val="23"/>
        </w:rPr>
        <w:t>managing</w:t>
      </w:r>
      <w:r>
        <w:rPr>
          <w:spacing w:val="-5"/>
          <w:sz w:val="23"/>
        </w:rPr>
        <w:t> </w:t>
      </w:r>
      <w:r>
        <w:rPr>
          <w:sz w:val="23"/>
        </w:rPr>
        <w:t>flood</w:t>
      </w:r>
      <w:r>
        <w:rPr>
          <w:spacing w:val="-11"/>
          <w:sz w:val="23"/>
        </w:rPr>
        <w:t> </w:t>
      </w:r>
      <w:r>
        <w:rPr>
          <w:sz w:val="23"/>
        </w:rPr>
        <w:t>and</w:t>
      </w:r>
      <w:r>
        <w:rPr>
          <w:spacing w:val="-13"/>
          <w:sz w:val="23"/>
        </w:rPr>
        <w:t> </w:t>
      </w:r>
      <w:r>
        <w:rPr>
          <w:sz w:val="23"/>
        </w:rPr>
        <w:t>coastal</w:t>
      </w:r>
      <w:r>
        <w:rPr>
          <w:spacing w:val="-1"/>
          <w:sz w:val="23"/>
        </w:rPr>
        <w:t> </w:t>
      </w:r>
      <w:r>
        <w:rPr>
          <w:sz w:val="23"/>
        </w:rPr>
        <w:t>erosion</w:t>
      </w:r>
      <w:r>
        <w:rPr>
          <w:spacing w:val="-14"/>
          <w:sz w:val="23"/>
        </w:rPr>
        <w:t> </w:t>
      </w:r>
      <w:r>
        <w:rPr>
          <w:sz w:val="23"/>
        </w:rPr>
        <w:t>risk</w:t>
      </w:r>
      <w:r>
        <w:rPr>
          <w:spacing w:val="-16"/>
          <w:sz w:val="23"/>
        </w:rPr>
        <w:t> </w:t>
      </w:r>
      <w:r>
        <w:rPr>
          <w:sz w:val="23"/>
        </w:rPr>
        <w:t>in</w:t>
      </w:r>
      <w:r>
        <w:rPr>
          <w:spacing w:val="-15"/>
          <w:sz w:val="23"/>
        </w:rPr>
        <w:t> </w:t>
      </w:r>
      <w:r>
        <w:rPr>
          <w:sz w:val="23"/>
        </w:rPr>
        <w:t>England.</w:t>
      </w:r>
    </w:p>
    <w:p>
      <w:pPr>
        <w:pStyle w:val="ListParagraph"/>
        <w:numPr>
          <w:ilvl w:val="0"/>
          <w:numId w:val="12"/>
        </w:numPr>
        <w:tabs>
          <w:tab w:pos="1408" w:val="left" w:leader="none"/>
          <w:tab w:pos="1409" w:val="left" w:leader="none"/>
        </w:tabs>
        <w:spacing w:line="240" w:lineRule="auto" w:before="23" w:after="0"/>
        <w:ind w:left="1408" w:right="0" w:hanging="381"/>
        <w:jc w:val="left"/>
        <w:rPr>
          <w:color w:val="ED462F"/>
          <w:sz w:val="23"/>
        </w:rPr>
      </w:pPr>
      <w:r>
        <w:rPr>
          <w:sz w:val="23"/>
        </w:rPr>
        <w:t>The high-level measures proposed to achieve that</w:t>
      </w:r>
      <w:r>
        <w:rPr>
          <w:spacing w:val="23"/>
          <w:sz w:val="23"/>
        </w:rPr>
        <w:t> </w:t>
      </w:r>
      <w:r>
        <w:rPr>
          <w:sz w:val="23"/>
        </w:rPr>
        <w:t>ambition.</w:t>
      </w:r>
    </w:p>
    <w:p>
      <w:pPr>
        <w:pStyle w:val="ListParagraph"/>
        <w:numPr>
          <w:ilvl w:val="0"/>
          <w:numId w:val="12"/>
        </w:numPr>
        <w:tabs>
          <w:tab w:pos="1408" w:val="left" w:leader="none"/>
          <w:tab w:pos="1409" w:val="left" w:leader="none"/>
        </w:tabs>
        <w:spacing w:line="240" w:lineRule="auto" w:before="24" w:after="0"/>
        <w:ind w:left="1408" w:right="0" w:hanging="381"/>
        <w:jc w:val="left"/>
        <w:rPr>
          <w:color w:val="FF3F3F"/>
          <w:sz w:val="23"/>
        </w:rPr>
      </w:pPr>
      <w:r>
        <w:rPr>
          <w:sz w:val="23"/>
        </w:rPr>
        <w:t>The</w:t>
      </w:r>
      <w:r>
        <w:rPr>
          <w:spacing w:val="-24"/>
          <w:sz w:val="23"/>
        </w:rPr>
        <w:t> </w:t>
      </w:r>
      <w:r>
        <w:rPr>
          <w:sz w:val="23"/>
        </w:rPr>
        <w:t>contribution</w:t>
      </w:r>
      <w:r>
        <w:rPr>
          <w:spacing w:val="-16"/>
          <w:sz w:val="23"/>
        </w:rPr>
        <w:t> </w:t>
      </w:r>
      <w:r>
        <w:rPr>
          <w:sz w:val="23"/>
        </w:rPr>
        <w:t>these</w:t>
      </w:r>
      <w:r>
        <w:rPr>
          <w:spacing w:val="-21"/>
          <w:sz w:val="23"/>
        </w:rPr>
        <w:t> </w:t>
      </w:r>
      <w:r>
        <w:rPr>
          <w:sz w:val="23"/>
        </w:rPr>
        <w:t>will</w:t>
      </w:r>
      <w:r>
        <w:rPr>
          <w:spacing w:val="-20"/>
          <w:sz w:val="23"/>
        </w:rPr>
        <w:t> </w:t>
      </w:r>
      <w:r>
        <w:rPr>
          <w:sz w:val="23"/>
        </w:rPr>
        <w:t>make</w:t>
      </w:r>
      <w:r>
        <w:rPr>
          <w:spacing w:val="-22"/>
          <w:sz w:val="23"/>
        </w:rPr>
        <w:t> </w:t>
      </w:r>
      <w:r>
        <w:rPr>
          <w:sz w:val="23"/>
        </w:rPr>
        <w:t>towards</w:t>
      </w:r>
      <w:r>
        <w:rPr>
          <w:spacing w:val="-20"/>
          <w:sz w:val="23"/>
        </w:rPr>
        <w:t> </w:t>
      </w:r>
      <w:r>
        <w:rPr>
          <w:sz w:val="23"/>
        </w:rPr>
        <w:t>the</w:t>
      </w:r>
      <w:r>
        <w:rPr>
          <w:spacing w:val="-23"/>
          <w:sz w:val="23"/>
        </w:rPr>
        <w:t> </w:t>
      </w:r>
      <w:r>
        <w:rPr>
          <w:sz w:val="23"/>
        </w:rPr>
        <w:t>government’s</w:t>
      </w:r>
      <w:r>
        <w:rPr>
          <w:spacing w:val="-13"/>
          <w:sz w:val="23"/>
        </w:rPr>
        <w:t> </w:t>
      </w:r>
      <w:r>
        <w:rPr>
          <w:sz w:val="23"/>
        </w:rPr>
        <w:t>wider</w:t>
      </w:r>
      <w:r>
        <w:rPr>
          <w:spacing w:val="-21"/>
          <w:sz w:val="23"/>
        </w:rPr>
        <w:t> </w:t>
      </w:r>
      <w:r>
        <w:rPr>
          <w:sz w:val="23"/>
        </w:rPr>
        <w:t>environmental</w:t>
      </w:r>
      <w:r>
        <w:rPr>
          <w:spacing w:val="2"/>
          <w:sz w:val="23"/>
        </w:rPr>
        <w:t> </w:t>
      </w:r>
      <w:r>
        <w:rPr>
          <w:sz w:val="23"/>
        </w:rPr>
        <w:t>objectives.</w:t>
      </w:r>
    </w:p>
    <w:p>
      <w:pPr>
        <w:pStyle w:val="ListParagraph"/>
        <w:numPr>
          <w:ilvl w:val="0"/>
          <w:numId w:val="12"/>
        </w:numPr>
        <w:tabs>
          <w:tab w:pos="1405" w:val="left" w:leader="none"/>
          <w:tab w:pos="1406" w:val="left" w:leader="none"/>
        </w:tabs>
        <w:spacing w:line="240" w:lineRule="auto" w:before="33" w:after="0"/>
        <w:ind w:left="1405" w:right="0" w:hanging="378"/>
        <w:jc w:val="left"/>
        <w:rPr>
          <w:color w:val="E93624"/>
          <w:sz w:val="23"/>
        </w:rPr>
      </w:pPr>
      <w:r>
        <w:rPr>
          <w:sz w:val="23"/>
        </w:rPr>
        <w:t>How and when the strategy will be</w:t>
      </w:r>
      <w:r>
        <w:rPr>
          <w:spacing w:val="12"/>
          <w:sz w:val="23"/>
        </w:rPr>
        <w:t> </w:t>
      </w:r>
      <w:r>
        <w:rPr>
          <w:sz w:val="23"/>
        </w:rPr>
        <w:t>reviewed.</w:t>
      </w:r>
    </w:p>
    <w:p>
      <w:pPr>
        <w:spacing w:after="0" w:line="240" w:lineRule="auto"/>
        <w:jc w:val="left"/>
        <w:rPr>
          <w:sz w:val="23"/>
        </w:rPr>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line="261" w:lineRule="auto" w:before="92"/>
        <w:ind w:left="1015" w:right="212" w:firstLine="5"/>
      </w:pPr>
      <w:r>
        <w:rPr/>
        <w:pict>
          <v:group style="position:absolute;margin-left:537.554504pt;margin-top:-50.127747pt;width:5.8pt;height:34.6pt;mso-position-horizontal-relative:page;mso-position-vertical-relative:paragraph;z-index:2416" coordorigin="10751,-1003" coordsize="116,692">
            <v:shape style="position:absolute;left:10751;top:-1003;width:116;height:39" type="#_x0000_t75" stroked="false">
              <v:imagedata r:id="rId27" o:title=""/>
            </v:shape>
            <v:shape style="position:absolute;left:10827;top:-389;width:39;height:77" type="#_x0000_t75" stroked="false">
              <v:imagedata r:id="rId28" o:title=""/>
            </v:shape>
            <v:line style="position:absolute" from="10804,-1003" to="10804,-321" stroked="true" strokeweight="5.279551pt" strokecolor="#d85970">
              <v:stroke dashstyle="solid"/>
            </v:line>
            <w10:wrap type="none"/>
          </v:group>
        </w:pict>
      </w:r>
      <w:bookmarkStart w:name="Leeds LFRMS 2018 Update_Page_30" w:id="39"/>
      <w:bookmarkEnd w:id="39"/>
      <w:r>
        <w:rPr/>
      </w:r>
      <w:r>
        <w:rPr/>
        <w:t>Formal</w:t>
      </w:r>
      <w:r>
        <w:rPr>
          <w:spacing w:val="-26"/>
        </w:rPr>
        <w:t> </w:t>
      </w:r>
      <w:r>
        <w:rPr/>
        <w:t>consultation</w:t>
      </w:r>
      <w:r>
        <w:rPr>
          <w:spacing w:val="-23"/>
        </w:rPr>
        <w:t> </w:t>
      </w:r>
      <w:r>
        <w:rPr/>
        <w:t>on</w:t>
      </w:r>
      <w:r>
        <w:rPr>
          <w:spacing w:val="-33"/>
        </w:rPr>
        <w:t> </w:t>
      </w:r>
      <w:r>
        <w:rPr/>
        <w:t>National</w:t>
      </w:r>
      <w:r>
        <w:rPr>
          <w:spacing w:val="-24"/>
        </w:rPr>
        <w:t> </w:t>
      </w:r>
      <w:r>
        <w:rPr/>
        <w:t>FCERM</w:t>
      </w:r>
      <w:r>
        <w:rPr>
          <w:spacing w:val="-26"/>
        </w:rPr>
        <w:t> </w:t>
      </w:r>
      <w:r>
        <w:rPr/>
        <w:t>Strategy</w:t>
      </w:r>
      <w:r>
        <w:rPr>
          <w:spacing w:val="-30"/>
        </w:rPr>
        <w:t> </w:t>
      </w:r>
      <w:r>
        <w:rPr/>
        <w:t>2050</w:t>
      </w:r>
      <w:r>
        <w:rPr>
          <w:spacing w:val="-33"/>
        </w:rPr>
        <w:t> </w:t>
      </w:r>
      <w:r>
        <w:rPr/>
        <w:t>will</w:t>
      </w:r>
      <w:r>
        <w:rPr>
          <w:spacing w:val="-36"/>
        </w:rPr>
        <w:t> </w:t>
      </w:r>
      <w:r>
        <w:rPr/>
        <w:t>take</w:t>
      </w:r>
      <w:r>
        <w:rPr>
          <w:spacing w:val="-36"/>
        </w:rPr>
        <w:t> </w:t>
      </w:r>
      <w:r>
        <w:rPr/>
        <w:t>place</w:t>
      </w:r>
      <w:r>
        <w:rPr>
          <w:spacing w:val="-35"/>
        </w:rPr>
        <w:t> </w:t>
      </w:r>
      <w:r>
        <w:rPr/>
        <w:t>in</w:t>
      </w:r>
      <w:r>
        <w:rPr>
          <w:spacing w:val="-32"/>
        </w:rPr>
        <w:t> </w:t>
      </w:r>
      <w:r>
        <w:rPr/>
        <w:t>2019.</w:t>
      </w:r>
      <w:r>
        <w:rPr>
          <w:spacing w:val="-26"/>
        </w:rPr>
        <w:t> </w:t>
      </w:r>
      <w:r>
        <w:rPr/>
        <w:t>At</w:t>
      </w:r>
      <w:r>
        <w:rPr>
          <w:spacing w:val="-35"/>
        </w:rPr>
        <w:t> </w:t>
      </w:r>
      <w:r>
        <w:rPr/>
        <w:t>this</w:t>
      </w:r>
      <w:r>
        <w:rPr>
          <w:spacing w:val="-35"/>
        </w:rPr>
        <w:t> </w:t>
      </w:r>
      <w:r>
        <w:rPr/>
        <w:t>time</w:t>
      </w:r>
      <w:r>
        <w:rPr>
          <w:spacing w:val="-33"/>
        </w:rPr>
        <w:t> </w:t>
      </w:r>
      <w:r>
        <w:rPr/>
        <w:t>LLFAs will have the opportunity to comment upon FCERM, as well as any changes in their roles and responsibilities.</w:t>
      </w:r>
    </w:p>
    <w:p>
      <w:pPr>
        <w:pStyle w:val="ListParagraph"/>
        <w:numPr>
          <w:ilvl w:val="1"/>
          <w:numId w:val="11"/>
        </w:numPr>
        <w:tabs>
          <w:tab w:pos="1029" w:val="left" w:leader="none"/>
          <w:tab w:pos="1030" w:val="left" w:leader="none"/>
        </w:tabs>
        <w:spacing w:line="240" w:lineRule="auto" w:before="135" w:after="0"/>
        <w:ind w:left="1029" w:right="0" w:hanging="865"/>
        <w:jc w:val="left"/>
        <w:rPr>
          <w:sz w:val="28"/>
        </w:rPr>
      </w:pPr>
      <w:r>
        <w:rPr>
          <w:sz w:val="28"/>
        </w:rPr>
        <w:t>YORKSHIRE WATER SERVICES</w:t>
      </w:r>
      <w:r>
        <w:rPr>
          <w:spacing w:val="-18"/>
          <w:sz w:val="28"/>
        </w:rPr>
        <w:t> </w:t>
      </w:r>
      <w:r>
        <w:rPr>
          <w:sz w:val="28"/>
        </w:rPr>
        <w:t>LIMITED</w:t>
      </w:r>
    </w:p>
    <w:p>
      <w:pPr>
        <w:pStyle w:val="BodyText"/>
        <w:spacing w:line="264" w:lineRule="auto" w:before="157"/>
        <w:ind w:left="1015" w:firstLine="4"/>
      </w:pPr>
      <w:r>
        <w:rPr/>
        <w:t>YWS</w:t>
      </w:r>
      <w:r>
        <w:rPr>
          <w:spacing w:val="-38"/>
        </w:rPr>
        <w:t> </w:t>
      </w:r>
      <w:r>
        <w:rPr/>
        <w:t>is</w:t>
      </w:r>
      <w:r>
        <w:rPr>
          <w:spacing w:val="-40"/>
        </w:rPr>
        <w:t> </w:t>
      </w:r>
      <w:r>
        <w:rPr/>
        <w:t>the</w:t>
      </w:r>
      <w:r>
        <w:rPr>
          <w:spacing w:val="-30"/>
        </w:rPr>
        <w:t> </w:t>
      </w:r>
      <w:r>
        <w:rPr/>
        <w:t>sole</w:t>
      </w:r>
      <w:r>
        <w:rPr>
          <w:spacing w:val="-33"/>
        </w:rPr>
        <w:t> </w:t>
      </w:r>
      <w:r>
        <w:rPr/>
        <w:t>WaSC</w:t>
      </w:r>
      <w:r>
        <w:rPr>
          <w:spacing w:val="-26"/>
        </w:rPr>
        <w:t> </w:t>
      </w:r>
      <w:r>
        <w:rPr/>
        <w:t>operating</w:t>
      </w:r>
      <w:r>
        <w:rPr>
          <w:spacing w:val="-25"/>
        </w:rPr>
        <w:t> </w:t>
      </w:r>
      <w:r>
        <w:rPr/>
        <w:t>in</w:t>
      </w:r>
      <w:r>
        <w:rPr>
          <w:spacing w:val="-32"/>
        </w:rPr>
        <w:t> </w:t>
      </w:r>
      <w:r>
        <w:rPr/>
        <w:t>the</w:t>
      </w:r>
      <w:r>
        <w:rPr>
          <w:spacing w:val="-30"/>
        </w:rPr>
        <w:t> </w:t>
      </w:r>
      <w:r>
        <w:rPr/>
        <w:t>Leeds</w:t>
      </w:r>
      <w:r>
        <w:rPr>
          <w:spacing w:val="-27"/>
        </w:rPr>
        <w:t> </w:t>
      </w:r>
      <w:r>
        <w:rPr/>
        <w:t>district.</w:t>
      </w:r>
      <w:r>
        <w:rPr>
          <w:spacing w:val="-26"/>
        </w:rPr>
        <w:t> </w:t>
      </w:r>
      <w:r>
        <w:rPr/>
        <w:t>As</w:t>
      </w:r>
      <w:r>
        <w:rPr>
          <w:spacing w:val="-36"/>
        </w:rPr>
        <w:t> </w:t>
      </w:r>
      <w:r>
        <w:rPr/>
        <w:t>a</w:t>
      </w:r>
      <w:r>
        <w:rPr>
          <w:spacing w:val="-31"/>
        </w:rPr>
        <w:t> </w:t>
      </w:r>
      <w:r>
        <w:rPr/>
        <w:t>provider</w:t>
      </w:r>
      <w:r>
        <w:rPr>
          <w:spacing w:val="-23"/>
        </w:rPr>
        <w:t> </w:t>
      </w:r>
      <w:r>
        <w:rPr/>
        <w:t>of</w:t>
      </w:r>
      <w:r>
        <w:rPr>
          <w:spacing w:val="-32"/>
        </w:rPr>
        <w:t> </w:t>
      </w:r>
      <w:r>
        <w:rPr/>
        <w:t>water</w:t>
      </w:r>
      <w:r>
        <w:rPr>
          <w:spacing w:val="-31"/>
        </w:rPr>
        <w:t> </w:t>
      </w:r>
      <w:r>
        <w:rPr/>
        <w:t>infrastructure</w:t>
      </w:r>
      <w:r>
        <w:rPr>
          <w:spacing w:val="-31"/>
        </w:rPr>
        <w:t> </w:t>
      </w:r>
      <w:r>
        <w:rPr/>
        <w:t>services, the</w:t>
      </w:r>
      <w:r>
        <w:rPr>
          <w:spacing w:val="-26"/>
        </w:rPr>
        <w:t> </w:t>
      </w:r>
      <w:r>
        <w:rPr/>
        <w:t>company</w:t>
      </w:r>
      <w:r>
        <w:rPr>
          <w:spacing w:val="-18"/>
        </w:rPr>
        <w:t> </w:t>
      </w:r>
      <w:r>
        <w:rPr/>
        <w:t>have</w:t>
      </w:r>
      <w:r>
        <w:rPr>
          <w:spacing w:val="-23"/>
        </w:rPr>
        <w:t> </w:t>
      </w:r>
      <w:r>
        <w:rPr/>
        <w:t>existing</w:t>
      </w:r>
      <w:r>
        <w:rPr>
          <w:spacing w:val="-21"/>
        </w:rPr>
        <w:t> </w:t>
      </w:r>
      <w:r>
        <w:rPr/>
        <w:t>responsibilities</w:t>
      </w:r>
      <w:r>
        <w:rPr>
          <w:spacing w:val="-29"/>
        </w:rPr>
        <w:t> </w:t>
      </w:r>
      <w:r>
        <w:rPr/>
        <w:t>in</w:t>
      </w:r>
      <w:r>
        <w:rPr>
          <w:spacing w:val="-29"/>
        </w:rPr>
        <w:t> </w:t>
      </w:r>
      <w:r>
        <w:rPr/>
        <w:t>relation</w:t>
      </w:r>
      <w:r>
        <w:rPr>
          <w:spacing w:val="-24"/>
        </w:rPr>
        <w:t> </w:t>
      </w:r>
      <w:r>
        <w:rPr/>
        <w:t>to</w:t>
      </w:r>
      <w:r>
        <w:rPr>
          <w:spacing w:val="-27"/>
        </w:rPr>
        <w:t> </w:t>
      </w:r>
      <w:r>
        <w:rPr/>
        <w:t>FCERM</w:t>
      </w:r>
      <w:r>
        <w:rPr>
          <w:spacing w:val="-18"/>
        </w:rPr>
        <w:t> </w:t>
      </w:r>
      <w:r>
        <w:rPr/>
        <w:t>in</w:t>
      </w:r>
      <w:r>
        <w:rPr>
          <w:spacing w:val="-27"/>
        </w:rPr>
        <w:t> </w:t>
      </w:r>
      <w:r>
        <w:rPr/>
        <w:t>the</w:t>
      </w:r>
      <w:r>
        <w:rPr>
          <w:spacing w:val="-25"/>
        </w:rPr>
        <w:t> </w:t>
      </w:r>
      <w:r>
        <w:rPr/>
        <w:t>Leeds</w:t>
      </w:r>
      <w:r>
        <w:rPr>
          <w:spacing w:val="-20"/>
        </w:rPr>
        <w:t> </w:t>
      </w:r>
      <w:r>
        <w:rPr/>
        <w:t>district,</w:t>
      </w:r>
      <w:r>
        <w:rPr>
          <w:spacing w:val="-18"/>
        </w:rPr>
        <w:t> </w:t>
      </w:r>
      <w:r>
        <w:rPr/>
        <w:t>which</w:t>
      </w:r>
      <w:r>
        <w:rPr>
          <w:spacing w:val="-22"/>
        </w:rPr>
        <w:t> </w:t>
      </w:r>
      <w:r>
        <w:rPr/>
        <w:t>were supplemented</w:t>
      </w:r>
      <w:r>
        <w:rPr>
          <w:spacing w:val="-19"/>
        </w:rPr>
        <w:t> </w:t>
      </w:r>
      <w:r>
        <w:rPr/>
        <w:t>by</w:t>
      </w:r>
      <w:r>
        <w:rPr>
          <w:spacing w:val="-29"/>
        </w:rPr>
        <w:t> </w:t>
      </w:r>
      <w:r>
        <w:rPr/>
        <w:t>the</w:t>
      </w:r>
      <w:r>
        <w:rPr>
          <w:spacing w:val="-29"/>
        </w:rPr>
        <w:t> </w:t>
      </w:r>
      <w:r>
        <w:rPr/>
        <w:t>FWMA.</w:t>
      </w:r>
      <w:r>
        <w:rPr>
          <w:spacing w:val="-17"/>
        </w:rPr>
        <w:t> </w:t>
      </w:r>
      <w:r>
        <w:rPr/>
        <w:t>The</w:t>
      </w:r>
      <w:r>
        <w:rPr>
          <w:spacing w:val="-31"/>
        </w:rPr>
        <w:t> </w:t>
      </w:r>
      <w:r>
        <w:rPr/>
        <w:t>following</w:t>
      </w:r>
      <w:r>
        <w:rPr>
          <w:spacing w:val="-19"/>
        </w:rPr>
        <w:t> </w:t>
      </w:r>
      <w:r>
        <w:rPr/>
        <w:t>responsibilities</w:t>
      </w:r>
      <w:r>
        <w:rPr>
          <w:spacing w:val="-35"/>
        </w:rPr>
        <w:t> </w:t>
      </w:r>
      <w:r>
        <w:rPr/>
        <w:t>were</w:t>
      </w:r>
      <w:r>
        <w:rPr>
          <w:spacing w:val="-30"/>
        </w:rPr>
        <w:t> </w:t>
      </w:r>
      <w:r>
        <w:rPr/>
        <w:t>provided</w:t>
      </w:r>
      <w:r>
        <w:rPr>
          <w:spacing w:val="-25"/>
        </w:rPr>
        <w:t> </w:t>
      </w:r>
      <w:r>
        <w:rPr/>
        <w:t>by</w:t>
      </w:r>
      <w:r>
        <w:rPr>
          <w:spacing w:val="-33"/>
        </w:rPr>
        <w:t> </w:t>
      </w:r>
      <w:r>
        <w:rPr/>
        <w:t>YWS</w:t>
      </w:r>
      <w:r>
        <w:rPr>
          <w:spacing w:val="-27"/>
        </w:rPr>
        <w:t> </w:t>
      </w:r>
      <w:r>
        <w:rPr/>
        <w:t>in</w:t>
      </w:r>
      <w:r>
        <w:rPr>
          <w:spacing w:val="-31"/>
        </w:rPr>
        <w:t> </w:t>
      </w:r>
      <w:r>
        <w:rPr/>
        <w:t>the</w:t>
      </w:r>
      <w:r>
        <w:rPr>
          <w:spacing w:val="-27"/>
        </w:rPr>
        <w:t> </w:t>
      </w:r>
      <w:r>
        <w:rPr/>
        <w:t>previous iteration of the</w:t>
      </w:r>
      <w:r>
        <w:rPr>
          <w:spacing w:val="17"/>
        </w:rPr>
        <w:t> </w:t>
      </w:r>
      <w:r>
        <w:rPr/>
        <w:t>LFRMS:</w:t>
      </w:r>
    </w:p>
    <w:p>
      <w:pPr>
        <w:pStyle w:val="ListParagraph"/>
        <w:numPr>
          <w:ilvl w:val="2"/>
          <w:numId w:val="11"/>
        </w:numPr>
        <w:tabs>
          <w:tab w:pos="1441" w:val="left" w:leader="none"/>
        </w:tabs>
        <w:spacing w:line="261" w:lineRule="auto" w:before="122" w:after="0"/>
        <w:ind w:left="1442" w:right="656" w:hanging="271"/>
        <w:jc w:val="left"/>
        <w:rPr>
          <w:color w:val="FF362F"/>
          <w:sz w:val="23"/>
        </w:rPr>
      </w:pPr>
      <w:r>
        <w:rPr>
          <w:sz w:val="23"/>
        </w:rPr>
        <w:t>Where</w:t>
      </w:r>
      <w:r>
        <w:rPr>
          <w:spacing w:val="-31"/>
          <w:sz w:val="23"/>
        </w:rPr>
        <w:t> </w:t>
      </w:r>
      <w:r>
        <w:rPr>
          <w:sz w:val="23"/>
        </w:rPr>
        <w:t>appropriate</w:t>
      </w:r>
      <w:r>
        <w:rPr>
          <w:spacing w:val="-27"/>
          <w:sz w:val="23"/>
        </w:rPr>
        <w:t> </w:t>
      </w:r>
      <w:r>
        <w:rPr>
          <w:sz w:val="23"/>
        </w:rPr>
        <w:t>assist</w:t>
      </w:r>
      <w:r>
        <w:rPr>
          <w:spacing w:val="-35"/>
          <w:sz w:val="23"/>
        </w:rPr>
        <w:t> </w:t>
      </w:r>
      <w:r>
        <w:rPr>
          <w:sz w:val="23"/>
        </w:rPr>
        <w:t>the</w:t>
      </w:r>
      <w:r>
        <w:rPr>
          <w:spacing w:val="-32"/>
          <w:sz w:val="23"/>
        </w:rPr>
        <w:t> </w:t>
      </w:r>
      <w:r>
        <w:rPr>
          <w:sz w:val="23"/>
        </w:rPr>
        <w:t>LLFAs</w:t>
      </w:r>
      <w:r>
        <w:rPr>
          <w:spacing w:val="-34"/>
          <w:sz w:val="23"/>
        </w:rPr>
        <w:t> </w:t>
      </w:r>
      <w:r>
        <w:rPr>
          <w:sz w:val="23"/>
        </w:rPr>
        <w:t>in</w:t>
      </w:r>
      <w:r>
        <w:rPr>
          <w:spacing w:val="-36"/>
          <w:sz w:val="23"/>
        </w:rPr>
        <w:t> </w:t>
      </w:r>
      <w:r>
        <w:rPr>
          <w:sz w:val="23"/>
        </w:rPr>
        <w:t>meeting</w:t>
      </w:r>
      <w:r>
        <w:rPr>
          <w:spacing w:val="-28"/>
          <w:sz w:val="23"/>
        </w:rPr>
        <w:t> </w:t>
      </w:r>
      <w:r>
        <w:rPr>
          <w:sz w:val="23"/>
        </w:rPr>
        <w:t>their</w:t>
      </w:r>
      <w:r>
        <w:rPr>
          <w:spacing w:val="-30"/>
          <w:sz w:val="23"/>
        </w:rPr>
        <w:t> </w:t>
      </w:r>
      <w:r>
        <w:rPr>
          <w:sz w:val="23"/>
        </w:rPr>
        <w:t>duties</w:t>
      </w:r>
      <w:r>
        <w:rPr>
          <w:spacing w:val="-32"/>
          <w:sz w:val="23"/>
        </w:rPr>
        <w:t> </w:t>
      </w:r>
      <w:r>
        <w:rPr>
          <w:sz w:val="23"/>
        </w:rPr>
        <w:t>in</w:t>
      </w:r>
      <w:r>
        <w:rPr>
          <w:spacing w:val="-36"/>
          <w:sz w:val="23"/>
        </w:rPr>
        <w:t> </w:t>
      </w:r>
      <w:r>
        <w:rPr>
          <w:sz w:val="23"/>
        </w:rPr>
        <w:t>line</w:t>
      </w:r>
      <w:r>
        <w:rPr>
          <w:spacing w:val="-34"/>
          <w:sz w:val="23"/>
        </w:rPr>
        <w:t> </w:t>
      </w:r>
      <w:r>
        <w:rPr>
          <w:sz w:val="23"/>
        </w:rPr>
        <w:t>with</w:t>
      </w:r>
      <w:r>
        <w:rPr>
          <w:spacing w:val="-32"/>
          <w:sz w:val="23"/>
        </w:rPr>
        <w:t> </w:t>
      </w:r>
      <w:r>
        <w:rPr>
          <w:sz w:val="23"/>
        </w:rPr>
        <w:t>the</w:t>
      </w:r>
      <w:r>
        <w:rPr>
          <w:spacing w:val="-33"/>
          <w:sz w:val="23"/>
        </w:rPr>
        <w:t> </w:t>
      </w:r>
      <w:r>
        <w:rPr>
          <w:sz w:val="23"/>
        </w:rPr>
        <w:t>National</w:t>
      </w:r>
      <w:r>
        <w:rPr>
          <w:spacing w:val="-27"/>
          <w:sz w:val="23"/>
        </w:rPr>
        <w:t> </w:t>
      </w:r>
      <w:r>
        <w:rPr>
          <w:sz w:val="23"/>
        </w:rPr>
        <w:t>FCERM Strategy for England and</w:t>
      </w:r>
      <w:r>
        <w:rPr>
          <w:spacing w:val="27"/>
          <w:sz w:val="23"/>
        </w:rPr>
        <w:t> </w:t>
      </w:r>
      <w:r>
        <w:rPr>
          <w:sz w:val="23"/>
        </w:rPr>
        <w:t>guidance.</w:t>
      </w:r>
    </w:p>
    <w:p>
      <w:pPr>
        <w:pStyle w:val="ListParagraph"/>
        <w:numPr>
          <w:ilvl w:val="2"/>
          <w:numId w:val="11"/>
        </w:numPr>
        <w:tabs>
          <w:tab w:pos="1441" w:val="left" w:leader="none"/>
        </w:tabs>
        <w:spacing w:line="261" w:lineRule="auto" w:before="9" w:after="0"/>
        <w:ind w:left="1444" w:right="673" w:hanging="273"/>
        <w:jc w:val="left"/>
        <w:rPr>
          <w:color w:val="DD4B26"/>
          <w:sz w:val="23"/>
        </w:rPr>
      </w:pPr>
      <w:r>
        <w:rPr>
          <w:sz w:val="23"/>
        </w:rPr>
        <w:t>Where</w:t>
      </w:r>
      <w:r>
        <w:rPr>
          <w:spacing w:val="-27"/>
          <w:sz w:val="23"/>
        </w:rPr>
        <w:t> </w:t>
      </w:r>
      <w:r>
        <w:rPr>
          <w:sz w:val="23"/>
        </w:rPr>
        <w:t>appropriate</w:t>
      </w:r>
      <w:r>
        <w:rPr>
          <w:spacing w:val="-24"/>
          <w:sz w:val="23"/>
        </w:rPr>
        <w:t> </w:t>
      </w:r>
      <w:r>
        <w:rPr>
          <w:sz w:val="23"/>
        </w:rPr>
        <w:t>assist</w:t>
      </w:r>
      <w:r>
        <w:rPr>
          <w:spacing w:val="-31"/>
          <w:sz w:val="23"/>
        </w:rPr>
        <w:t> </w:t>
      </w:r>
      <w:r>
        <w:rPr>
          <w:sz w:val="23"/>
        </w:rPr>
        <w:t>the</w:t>
      </w:r>
      <w:r>
        <w:rPr>
          <w:spacing w:val="-29"/>
          <w:sz w:val="23"/>
        </w:rPr>
        <w:t> </w:t>
      </w:r>
      <w:r>
        <w:rPr>
          <w:sz w:val="23"/>
        </w:rPr>
        <w:t>LLFAs</w:t>
      </w:r>
      <w:r>
        <w:rPr>
          <w:spacing w:val="-31"/>
          <w:sz w:val="23"/>
        </w:rPr>
        <w:t> </w:t>
      </w:r>
      <w:r>
        <w:rPr>
          <w:sz w:val="23"/>
        </w:rPr>
        <w:t>in</w:t>
      </w:r>
      <w:r>
        <w:rPr>
          <w:spacing w:val="-32"/>
          <w:sz w:val="23"/>
        </w:rPr>
        <w:t> </w:t>
      </w:r>
      <w:r>
        <w:rPr>
          <w:sz w:val="23"/>
        </w:rPr>
        <w:t>meeting</w:t>
      </w:r>
      <w:r>
        <w:rPr>
          <w:spacing w:val="-24"/>
          <w:sz w:val="23"/>
        </w:rPr>
        <w:t> </w:t>
      </w:r>
      <w:r>
        <w:rPr>
          <w:sz w:val="23"/>
        </w:rPr>
        <w:t>their</w:t>
      </w:r>
      <w:r>
        <w:rPr>
          <w:spacing w:val="-27"/>
          <w:sz w:val="23"/>
        </w:rPr>
        <w:t> </w:t>
      </w:r>
      <w:r>
        <w:rPr>
          <w:sz w:val="23"/>
        </w:rPr>
        <w:t>duties</w:t>
      </w:r>
      <w:r>
        <w:rPr>
          <w:spacing w:val="-29"/>
          <w:sz w:val="23"/>
        </w:rPr>
        <w:t> </w:t>
      </w:r>
      <w:r>
        <w:rPr>
          <w:sz w:val="23"/>
        </w:rPr>
        <w:t>in</w:t>
      </w:r>
      <w:r>
        <w:rPr>
          <w:spacing w:val="-32"/>
          <w:sz w:val="23"/>
        </w:rPr>
        <w:t> </w:t>
      </w:r>
      <w:r>
        <w:rPr>
          <w:sz w:val="23"/>
        </w:rPr>
        <w:t>line</w:t>
      </w:r>
      <w:r>
        <w:rPr>
          <w:spacing w:val="-31"/>
          <w:sz w:val="23"/>
        </w:rPr>
        <w:t> </w:t>
      </w:r>
      <w:r>
        <w:rPr>
          <w:sz w:val="23"/>
        </w:rPr>
        <w:t>with</w:t>
      </w:r>
      <w:r>
        <w:rPr>
          <w:spacing w:val="-30"/>
          <w:sz w:val="23"/>
        </w:rPr>
        <w:t> </w:t>
      </w:r>
      <w:r>
        <w:rPr>
          <w:sz w:val="23"/>
        </w:rPr>
        <w:t>local</w:t>
      </w:r>
      <w:r>
        <w:rPr>
          <w:spacing w:val="-21"/>
          <w:sz w:val="23"/>
        </w:rPr>
        <w:t> </w:t>
      </w:r>
      <w:r>
        <w:rPr>
          <w:sz w:val="23"/>
        </w:rPr>
        <w:t>strategies</w:t>
      </w:r>
      <w:r>
        <w:rPr>
          <w:spacing w:val="-27"/>
          <w:sz w:val="23"/>
        </w:rPr>
        <w:t> </w:t>
      </w:r>
      <w:r>
        <w:rPr>
          <w:sz w:val="23"/>
        </w:rPr>
        <w:t>in</w:t>
      </w:r>
      <w:r>
        <w:rPr>
          <w:spacing w:val="-33"/>
          <w:sz w:val="23"/>
        </w:rPr>
        <w:t> </w:t>
      </w:r>
      <w:r>
        <w:rPr>
          <w:sz w:val="23"/>
        </w:rPr>
        <w:t>its area.</w:t>
      </w:r>
    </w:p>
    <w:p>
      <w:pPr>
        <w:pStyle w:val="ListParagraph"/>
        <w:numPr>
          <w:ilvl w:val="2"/>
          <w:numId w:val="11"/>
        </w:numPr>
        <w:tabs>
          <w:tab w:pos="1441" w:val="left" w:leader="none"/>
        </w:tabs>
        <w:spacing w:line="271" w:lineRule="auto" w:before="0" w:after="0"/>
        <w:ind w:left="1437" w:right="1337" w:hanging="266"/>
        <w:jc w:val="left"/>
        <w:rPr>
          <w:color w:val="EF2F26"/>
          <w:sz w:val="23"/>
        </w:rPr>
      </w:pPr>
      <w:r>
        <w:rPr>
          <w:sz w:val="23"/>
        </w:rPr>
        <w:t>Where</w:t>
      </w:r>
      <w:r>
        <w:rPr>
          <w:spacing w:val="-33"/>
          <w:sz w:val="23"/>
        </w:rPr>
        <w:t> </w:t>
      </w:r>
      <w:r>
        <w:rPr>
          <w:sz w:val="23"/>
        </w:rPr>
        <w:t>appropriate</w:t>
      </w:r>
      <w:r>
        <w:rPr>
          <w:spacing w:val="-29"/>
          <w:sz w:val="23"/>
        </w:rPr>
        <w:t> </w:t>
      </w:r>
      <w:r>
        <w:rPr>
          <w:sz w:val="23"/>
        </w:rPr>
        <w:t>share</w:t>
      </w:r>
      <w:r>
        <w:rPr>
          <w:spacing w:val="-35"/>
          <w:sz w:val="23"/>
        </w:rPr>
        <w:t> </w:t>
      </w:r>
      <w:r>
        <w:rPr>
          <w:sz w:val="23"/>
        </w:rPr>
        <w:t>information</w:t>
      </w:r>
      <w:r>
        <w:rPr>
          <w:spacing w:val="-24"/>
          <w:sz w:val="23"/>
        </w:rPr>
        <w:t> </w:t>
      </w:r>
      <w:r>
        <w:rPr>
          <w:sz w:val="23"/>
        </w:rPr>
        <w:t>and</w:t>
      </w:r>
      <w:r>
        <w:rPr>
          <w:spacing w:val="-34"/>
          <w:sz w:val="23"/>
        </w:rPr>
        <w:t> </w:t>
      </w:r>
      <w:r>
        <w:rPr>
          <w:sz w:val="23"/>
        </w:rPr>
        <w:t>data</w:t>
      </w:r>
      <w:r>
        <w:rPr>
          <w:spacing w:val="-35"/>
          <w:sz w:val="23"/>
        </w:rPr>
        <w:t> </w:t>
      </w:r>
      <w:r>
        <w:rPr>
          <w:sz w:val="23"/>
        </w:rPr>
        <w:t>with</w:t>
      </w:r>
      <w:r>
        <w:rPr>
          <w:spacing w:val="-32"/>
          <w:sz w:val="23"/>
        </w:rPr>
        <w:t> </w:t>
      </w:r>
      <w:r>
        <w:rPr>
          <w:sz w:val="23"/>
        </w:rPr>
        <w:t>RMAs,</w:t>
      </w:r>
      <w:r>
        <w:rPr>
          <w:spacing w:val="-31"/>
          <w:sz w:val="23"/>
        </w:rPr>
        <w:t> </w:t>
      </w:r>
      <w:r>
        <w:rPr>
          <w:sz w:val="23"/>
        </w:rPr>
        <w:t>relevant</w:t>
      </w:r>
      <w:r>
        <w:rPr>
          <w:spacing w:val="-30"/>
          <w:sz w:val="23"/>
        </w:rPr>
        <w:t> </w:t>
      </w:r>
      <w:r>
        <w:rPr>
          <w:sz w:val="23"/>
        </w:rPr>
        <w:t>to</w:t>
      </w:r>
      <w:r>
        <w:rPr>
          <w:spacing w:val="-38"/>
          <w:sz w:val="23"/>
        </w:rPr>
        <w:t> </w:t>
      </w:r>
      <w:r>
        <w:rPr>
          <w:sz w:val="23"/>
        </w:rPr>
        <w:t>their</w:t>
      </w:r>
      <w:r>
        <w:rPr>
          <w:spacing w:val="-34"/>
          <w:sz w:val="23"/>
        </w:rPr>
        <w:t> </w:t>
      </w:r>
      <w:r>
        <w:rPr>
          <w:sz w:val="23"/>
        </w:rPr>
        <w:t>flood</w:t>
      </w:r>
      <w:r>
        <w:rPr>
          <w:spacing w:val="-35"/>
          <w:sz w:val="23"/>
        </w:rPr>
        <w:t> </w:t>
      </w:r>
      <w:r>
        <w:rPr>
          <w:sz w:val="23"/>
        </w:rPr>
        <w:t>risk management</w:t>
      </w:r>
      <w:r>
        <w:rPr>
          <w:spacing w:val="18"/>
          <w:sz w:val="23"/>
        </w:rPr>
        <w:t> </w:t>
      </w:r>
      <w:r>
        <w:rPr>
          <w:sz w:val="23"/>
        </w:rPr>
        <w:t>functions.</w:t>
      </w:r>
    </w:p>
    <w:p>
      <w:pPr>
        <w:pStyle w:val="ListParagraph"/>
        <w:numPr>
          <w:ilvl w:val="2"/>
          <w:numId w:val="11"/>
        </w:numPr>
        <w:tabs>
          <w:tab w:pos="1444" w:val="left" w:leader="none"/>
        </w:tabs>
        <w:spacing w:line="261" w:lineRule="auto" w:before="0" w:after="0"/>
        <w:ind w:left="1447" w:right="547" w:hanging="276"/>
        <w:jc w:val="left"/>
        <w:rPr>
          <w:color w:val="DD4B26"/>
          <w:sz w:val="23"/>
        </w:rPr>
      </w:pPr>
      <w:r>
        <w:rPr>
          <w:sz w:val="23"/>
        </w:rPr>
        <w:t>A</w:t>
      </w:r>
      <w:r>
        <w:rPr>
          <w:spacing w:val="-28"/>
          <w:sz w:val="23"/>
        </w:rPr>
        <w:t> </w:t>
      </w:r>
      <w:r>
        <w:rPr>
          <w:sz w:val="23"/>
        </w:rPr>
        <w:t>duty</w:t>
      </w:r>
      <w:r>
        <w:rPr>
          <w:spacing w:val="-35"/>
          <w:sz w:val="23"/>
        </w:rPr>
        <w:t> </w:t>
      </w:r>
      <w:r>
        <w:rPr>
          <w:sz w:val="23"/>
        </w:rPr>
        <w:t>to</w:t>
      </w:r>
      <w:r>
        <w:rPr>
          <w:spacing w:val="-33"/>
          <w:sz w:val="23"/>
        </w:rPr>
        <w:t> </w:t>
      </w:r>
      <w:r>
        <w:rPr>
          <w:sz w:val="23"/>
        </w:rPr>
        <w:t>effectually</w:t>
      </w:r>
      <w:r>
        <w:rPr>
          <w:spacing w:val="-21"/>
          <w:sz w:val="23"/>
        </w:rPr>
        <w:t> </w:t>
      </w:r>
      <w:r>
        <w:rPr>
          <w:sz w:val="23"/>
        </w:rPr>
        <w:t>drain</w:t>
      </w:r>
      <w:r>
        <w:rPr>
          <w:spacing w:val="-29"/>
          <w:sz w:val="23"/>
        </w:rPr>
        <w:t> </w:t>
      </w:r>
      <w:r>
        <w:rPr>
          <w:sz w:val="23"/>
        </w:rPr>
        <w:t>their</w:t>
      </w:r>
      <w:r>
        <w:rPr>
          <w:spacing w:val="-28"/>
          <w:sz w:val="23"/>
        </w:rPr>
        <w:t> </w:t>
      </w:r>
      <w:r>
        <w:rPr>
          <w:sz w:val="23"/>
        </w:rPr>
        <w:t>area,</w:t>
      </w:r>
      <w:r>
        <w:rPr>
          <w:spacing w:val="-35"/>
          <w:sz w:val="23"/>
        </w:rPr>
        <w:t> </w:t>
      </w:r>
      <w:r>
        <w:rPr>
          <w:sz w:val="23"/>
        </w:rPr>
        <w:t>in</w:t>
      </w:r>
      <w:r>
        <w:rPr>
          <w:spacing w:val="-31"/>
          <w:sz w:val="23"/>
        </w:rPr>
        <w:t> </w:t>
      </w:r>
      <w:r>
        <w:rPr>
          <w:sz w:val="23"/>
        </w:rPr>
        <w:t>accordance</w:t>
      </w:r>
      <w:r>
        <w:rPr>
          <w:spacing w:val="-23"/>
          <w:sz w:val="23"/>
        </w:rPr>
        <w:t> </w:t>
      </w:r>
      <w:r>
        <w:rPr>
          <w:sz w:val="23"/>
        </w:rPr>
        <w:t>with</w:t>
      </w:r>
      <w:r>
        <w:rPr>
          <w:spacing w:val="-28"/>
          <w:sz w:val="23"/>
        </w:rPr>
        <w:t> </w:t>
      </w:r>
      <w:r>
        <w:rPr>
          <w:sz w:val="23"/>
        </w:rPr>
        <w:t>Section</w:t>
      </w:r>
      <w:r>
        <w:rPr>
          <w:spacing w:val="-21"/>
          <w:sz w:val="23"/>
        </w:rPr>
        <w:t> </w:t>
      </w:r>
      <w:r>
        <w:rPr>
          <w:sz w:val="23"/>
        </w:rPr>
        <w:t>94</w:t>
      </w:r>
      <w:r>
        <w:rPr>
          <w:spacing w:val="-32"/>
          <w:sz w:val="23"/>
        </w:rPr>
        <w:t> </w:t>
      </w:r>
      <w:r>
        <w:rPr>
          <w:sz w:val="23"/>
        </w:rPr>
        <w:t>of</w:t>
      </w:r>
      <w:r>
        <w:rPr>
          <w:spacing w:val="-31"/>
          <w:sz w:val="23"/>
        </w:rPr>
        <w:t> </w:t>
      </w:r>
      <w:r>
        <w:rPr>
          <w:sz w:val="23"/>
        </w:rPr>
        <w:t>the</w:t>
      </w:r>
      <w:r>
        <w:rPr>
          <w:spacing w:val="-32"/>
          <w:sz w:val="23"/>
        </w:rPr>
        <w:t> </w:t>
      </w:r>
      <w:r>
        <w:rPr>
          <w:sz w:val="23"/>
        </w:rPr>
        <w:t>Water</w:t>
      </w:r>
      <w:r>
        <w:rPr>
          <w:spacing w:val="-28"/>
          <w:sz w:val="23"/>
        </w:rPr>
        <w:t> </w:t>
      </w:r>
      <w:r>
        <w:rPr>
          <w:sz w:val="23"/>
        </w:rPr>
        <w:t>Industry</w:t>
      </w:r>
      <w:r>
        <w:rPr>
          <w:spacing w:val="-19"/>
          <w:sz w:val="23"/>
        </w:rPr>
        <w:t> </w:t>
      </w:r>
      <w:r>
        <w:rPr>
          <w:sz w:val="23"/>
        </w:rPr>
        <w:t>Act 1991.</w:t>
      </w:r>
    </w:p>
    <w:p>
      <w:pPr>
        <w:pStyle w:val="ListParagraph"/>
        <w:numPr>
          <w:ilvl w:val="2"/>
          <w:numId w:val="11"/>
        </w:numPr>
        <w:tabs>
          <w:tab w:pos="1444" w:val="left" w:leader="none"/>
        </w:tabs>
        <w:spacing w:line="261" w:lineRule="auto" w:before="0" w:after="0"/>
        <w:ind w:left="1443" w:right="725" w:hanging="272"/>
        <w:jc w:val="left"/>
        <w:rPr>
          <w:color w:val="FF362F"/>
          <w:sz w:val="23"/>
        </w:rPr>
      </w:pPr>
      <w:r>
        <w:rPr>
          <w:sz w:val="23"/>
        </w:rPr>
        <w:t>A</w:t>
      </w:r>
      <w:r>
        <w:rPr>
          <w:spacing w:val="-33"/>
          <w:sz w:val="23"/>
        </w:rPr>
        <w:t> </w:t>
      </w:r>
      <w:r>
        <w:rPr>
          <w:sz w:val="23"/>
        </w:rPr>
        <w:t>duty</w:t>
      </w:r>
      <w:r>
        <w:rPr>
          <w:spacing w:val="-39"/>
          <w:sz w:val="23"/>
        </w:rPr>
        <w:t> </w:t>
      </w:r>
      <w:r>
        <w:rPr>
          <w:sz w:val="23"/>
        </w:rPr>
        <w:t>to</w:t>
      </w:r>
      <w:r>
        <w:rPr>
          <w:spacing w:val="-39"/>
          <w:sz w:val="23"/>
        </w:rPr>
        <w:t> </w:t>
      </w:r>
      <w:r>
        <w:rPr>
          <w:sz w:val="23"/>
        </w:rPr>
        <w:t>register</w:t>
      </w:r>
      <w:r>
        <w:rPr>
          <w:spacing w:val="-31"/>
          <w:sz w:val="23"/>
        </w:rPr>
        <w:t> </w:t>
      </w:r>
      <w:r>
        <w:rPr>
          <w:sz w:val="23"/>
        </w:rPr>
        <w:t>all</w:t>
      </w:r>
      <w:r>
        <w:rPr>
          <w:spacing w:val="-37"/>
          <w:sz w:val="23"/>
        </w:rPr>
        <w:t> </w:t>
      </w:r>
      <w:r>
        <w:rPr>
          <w:sz w:val="23"/>
        </w:rPr>
        <w:t>reservoirs</w:t>
      </w:r>
      <w:r>
        <w:rPr>
          <w:spacing w:val="-28"/>
          <w:sz w:val="23"/>
        </w:rPr>
        <w:t> </w:t>
      </w:r>
      <w:r>
        <w:rPr>
          <w:sz w:val="23"/>
        </w:rPr>
        <w:t>with</w:t>
      </w:r>
      <w:r>
        <w:rPr>
          <w:spacing w:val="-32"/>
          <w:sz w:val="23"/>
        </w:rPr>
        <w:t> </w:t>
      </w:r>
      <w:r>
        <w:rPr>
          <w:sz w:val="23"/>
        </w:rPr>
        <w:t>a</w:t>
      </w:r>
      <w:r>
        <w:rPr>
          <w:spacing w:val="-37"/>
          <w:sz w:val="23"/>
        </w:rPr>
        <w:t> </w:t>
      </w:r>
      <w:r>
        <w:rPr>
          <w:sz w:val="23"/>
        </w:rPr>
        <w:t>capacity</w:t>
      </w:r>
      <w:r>
        <w:rPr>
          <w:spacing w:val="-27"/>
          <w:sz w:val="23"/>
        </w:rPr>
        <w:t> </w:t>
      </w:r>
      <w:r>
        <w:rPr>
          <w:sz w:val="23"/>
        </w:rPr>
        <w:t>greater</w:t>
      </w:r>
      <w:r>
        <w:rPr>
          <w:spacing w:val="-31"/>
          <w:sz w:val="23"/>
        </w:rPr>
        <w:t> </w:t>
      </w:r>
      <w:r>
        <w:rPr>
          <w:sz w:val="23"/>
        </w:rPr>
        <w:t>than</w:t>
      </w:r>
      <w:r>
        <w:rPr>
          <w:spacing w:val="-30"/>
          <w:sz w:val="23"/>
        </w:rPr>
        <w:t> </w:t>
      </w:r>
      <w:r>
        <w:rPr>
          <w:sz w:val="23"/>
        </w:rPr>
        <w:t>10,000m*</w:t>
      </w:r>
      <w:r>
        <w:rPr>
          <w:spacing w:val="-26"/>
          <w:sz w:val="23"/>
        </w:rPr>
        <w:t> </w:t>
      </w:r>
      <w:r>
        <w:rPr>
          <w:sz w:val="23"/>
        </w:rPr>
        <w:t>with</w:t>
      </w:r>
      <w:r>
        <w:rPr>
          <w:spacing w:val="-34"/>
          <w:sz w:val="23"/>
        </w:rPr>
        <w:t> </w:t>
      </w:r>
      <w:r>
        <w:rPr>
          <w:sz w:val="23"/>
        </w:rPr>
        <w:t>the</w:t>
      </w:r>
      <w:r>
        <w:rPr>
          <w:spacing w:val="-35"/>
          <w:sz w:val="23"/>
        </w:rPr>
        <w:t> </w:t>
      </w:r>
      <w:r>
        <w:rPr>
          <w:sz w:val="23"/>
        </w:rPr>
        <w:t>Environment Agency.</w:t>
      </w:r>
    </w:p>
    <w:p>
      <w:pPr>
        <w:pStyle w:val="ListParagraph"/>
        <w:numPr>
          <w:ilvl w:val="2"/>
          <w:numId w:val="11"/>
        </w:numPr>
        <w:tabs>
          <w:tab w:pos="1444" w:val="left" w:leader="none"/>
        </w:tabs>
        <w:spacing w:line="271" w:lineRule="auto" w:before="0" w:after="0"/>
        <w:ind w:left="1439" w:right="445" w:hanging="268"/>
        <w:jc w:val="left"/>
        <w:rPr>
          <w:color w:val="FF2F2A"/>
          <w:sz w:val="23"/>
        </w:rPr>
      </w:pPr>
      <w:r>
        <w:rPr>
          <w:sz w:val="23"/>
        </w:rPr>
        <w:t>Agreement</w:t>
      </w:r>
      <w:r>
        <w:rPr>
          <w:spacing w:val="-25"/>
          <w:sz w:val="23"/>
        </w:rPr>
        <w:t> </w:t>
      </w:r>
      <w:r>
        <w:rPr>
          <w:sz w:val="23"/>
        </w:rPr>
        <w:t>with</w:t>
      </w:r>
      <w:r>
        <w:rPr>
          <w:spacing w:val="-31"/>
          <w:sz w:val="23"/>
        </w:rPr>
        <w:t> </w:t>
      </w:r>
      <w:r>
        <w:rPr>
          <w:sz w:val="23"/>
        </w:rPr>
        <w:t>Ofwat</w:t>
      </w:r>
      <w:r>
        <w:rPr>
          <w:spacing w:val="-32"/>
          <w:sz w:val="23"/>
        </w:rPr>
        <w:t> </w:t>
      </w:r>
      <w:r>
        <w:rPr>
          <w:sz w:val="23"/>
        </w:rPr>
        <w:t>to</w:t>
      </w:r>
      <w:r>
        <w:rPr>
          <w:spacing w:val="-38"/>
          <w:sz w:val="23"/>
        </w:rPr>
        <w:t> </w:t>
      </w:r>
      <w:r>
        <w:rPr>
          <w:sz w:val="23"/>
        </w:rPr>
        <w:t>maintain</w:t>
      </w:r>
      <w:r>
        <w:rPr>
          <w:spacing w:val="-25"/>
          <w:sz w:val="23"/>
        </w:rPr>
        <w:t> </w:t>
      </w:r>
      <w:r>
        <w:rPr>
          <w:sz w:val="23"/>
        </w:rPr>
        <w:t>a</w:t>
      </w:r>
      <w:r>
        <w:rPr>
          <w:spacing w:val="-38"/>
          <w:sz w:val="23"/>
        </w:rPr>
        <w:t> </w:t>
      </w:r>
      <w:r>
        <w:rPr>
          <w:sz w:val="23"/>
        </w:rPr>
        <w:t>register</w:t>
      </w:r>
      <w:r>
        <w:rPr>
          <w:spacing w:val="-29"/>
          <w:sz w:val="23"/>
        </w:rPr>
        <w:t> </w:t>
      </w:r>
      <w:r>
        <w:rPr>
          <w:sz w:val="23"/>
        </w:rPr>
        <w:t>of</w:t>
      </w:r>
      <w:r>
        <w:rPr>
          <w:spacing w:val="-39"/>
          <w:sz w:val="23"/>
        </w:rPr>
        <w:t> </w:t>
      </w:r>
      <w:r>
        <w:rPr>
          <w:sz w:val="23"/>
        </w:rPr>
        <w:t>properties</w:t>
      </w:r>
      <w:r>
        <w:rPr>
          <w:spacing w:val="-26"/>
          <w:sz w:val="23"/>
        </w:rPr>
        <w:t> </w:t>
      </w:r>
      <w:r>
        <w:rPr>
          <w:sz w:val="23"/>
        </w:rPr>
        <w:t>at</w:t>
      </w:r>
      <w:r>
        <w:rPr>
          <w:spacing w:val="-36"/>
          <w:sz w:val="23"/>
        </w:rPr>
        <w:t> </w:t>
      </w:r>
      <w:r>
        <w:rPr>
          <w:sz w:val="23"/>
        </w:rPr>
        <w:t>risk</w:t>
      </w:r>
      <w:r>
        <w:rPr>
          <w:spacing w:val="-31"/>
          <w:sz w:val="23"/>
        </w:rPr>
        <w:t> </w:t>
      </w:r>
      <w:r>
        <w:rPr>
          <w:sz w:val="23"/>
        </w:rPr>
        <w:t>from</w:t>
      </w:r>
      <w:r>
        <w:rPr>
          <w:spacing w:val="-32"/>
          <w:sz w:val="23"/>
        </w:rPr>
        <w:t> </w:t>
      </w:r>
      <w:r>
        <w:rPr>
          <w:sz w:val="23"/>
        </w:rPr>
        <w:t>hydraulic</w:t>
      </w:r>
      <w:r>
        <w:rPr>
          <w:spacing w:val="-29"/>
          <w:sz w:val="23"/>
        </w:rPr>
        <w:t> </w:t>
      </w:r>
      <w:r>
        <w:rPr>
          <w:sz w:val="23"/>
        </w:rPr>
        <w:t>overloading</w:t>
      </w:r>
      <w:r>
        <w:rPr>
          <w:spacing w:val="-30"/>
          <w:sz w:val="23"/>
        </w:rPr>
        <w:t> </w:t>
      </w:r>
      <w:r>
        <w:rPr>
          <w:sz w:val="23"/>
        </w:rPr>
        <w:t>in the public sewerage system (DG5</w:t>
      </w:r>
      <w:r>
        <w:rPr>
          <w:spacing w:val="8"/>
          <w:sz w:val="23"/>
        </w:rPr>
        <w:t> </w:t>
      </w:r>
      <w:r>
        <w:rPr>
          <w:sz w:val="23"/>
        </w:rPr>
        <w:t>register).</w:t>
      </w:r>
    </w:p>
    <w:p>
      <w:pPr>
        <w:pStyle w:val="ListParagraph"/>
        <w:numPr>
          <w:ilvl w:val="2"/>
          <w:numId w:val="11"/>
        </w:numPr>
        <w:tabs>
          <w:tab w:pos="1444" w:val="left" w:leader="none"/>
        </w:tabs>
        <w:spacing w:line="252" w:lineRule="exact" w:before="0" w:after="0"/>
        <w:ind w:left="1443" w:right="0" w:hanging="272"/>
        <w:jc w:val="left"/>
        <w:rPr>
          <w:color w:val="F0522A"/>
          <w:sz w:val="23"/>
        </w:rPr>
      </w:pPr>
      <w:r>
        <w:rPr>
          <w:sz w:val="23"/>
        </w:rPr>
        <w:t>Appropriate management of surface water in combined</w:t>
      </w:r>
      <w:r>
        <w:rPr>
          <w:spacing w:val="19"/>
          <w:sz w:val="23"/>
        </w:rPr>
        <w:t> </w:t>
      </w:r>
      <w:r>
        <w:rPr>
          <w:sz w:val="23"/>
        </w:rPr>
        <w:t>systems.</w:t>
      </w:r>
    </w:p>
    <w:p>
      <w:pPr>
        <w:pStyle w:val="ListParagraph"/>
        <w:numPr>
          <w:ilvl w:val="2"/>
          <w:numId w:val="11"/>
        </w:numPr>
        <w:tabs>
          <w:tab w:pos="1445" w:val="left" w:leader="none"/>
        </w:tabs>
        <w:spacing w:line="240" w:lineRule="auto" w:before="20" w:after="0"/>
        <w:ind w:left="1444" w:right="0" w:hanging="273"/>
        <w:jc w:val="left"/>
        <w:rPr>
          <w:color w:val="EF2F26"/>
          <w:sz w:val="23"/>
        </w:rPr>
      </w:pPr>
      <w:r>
        <w:rPr>
          <w:sz w:val="23"/>
        </w:rPr>
        <w:t>Encourage the use of</w:t>
      </w:r>
      <w:r>
        <w:rPr>
          <w:spacing w:val="3"/>
          <w:sz w:val="23"/>
        </w:rPr>
        <w:t> </w:t>
      </w:r>
      <w:r>
        <w:rPr>
          <w:sz w:val="23"/>
        </w:rPr>
        <w:t>SuDS.</w:t>
      </w:r>
    </w:p>
    <w:p>
      <w:pPr>
        <w:pStyle w:val="ListParagraph"/>
        <w:numPr>
          <w:ilvl w:val="2"/>
          <w:numId w:val="11"/>
        </w:numPr>
        <w:tabs>
          <w:tab w:pos="1442" w:val="left" w:leader="none"/>
        </w:tabs>
        <w:spacing w:line="240" w:lineRule="auto" w:before="33" w:after="0"/>
        <w:ind w:left="1441" w:right="0" w:hanging="270"/>
        <w:jc w:val="left"/>
        <w:rPr>
          <w:color w:val="EF2F26"/>
          <w:sz w:val="23"/>
        </w:rPr>
      </w:pPr>
      <w:r>
        <w:rPr>
          <w:sz w:val="23"/>
        </w:rPr>
        <w:t>Create a detailed understanding of flood risk from the public sewer</w:t>
      </w:r>
      <w:r>
        <w:rPr>
          <w:spacing w:val="-36"/>
          <w:sz w:val="23"/>
        </w:rPr>
        <w:t> </w:t>
      </w:r>
      <w:r>
        <w:rPr>
          <w:sz w:val="23"/>
        </w:rPr>
        <w:t>system.</w:t>
      </w:r>
    </w:p>
    <w:p>
      <w:pPr>
        <w:pStyle w:val="ListParagraph"/>
        <w:numPr>
          <w:ilvl w:val="2"/>
          <w:numId w:val="11"/>
        </w:numPr>
        <w:tabs>
          <w:tab w:pos="1445" w:val="left" w:leader="none"/>
        </w:tabs>
        <w:spacing w:line="240" w:lineRule="auto" w:before="23" w:after="0"/>
        <w:ind w:left="1444" w:right="0" w:hanging="273"/>
        <w:jc w:val="left"/>
        <w:rPr>
          <w:color w:val="E2421C"/>
          <w:sz w:val="23"/>
        </w:rPr>
      </w:pPr>
      <w:r>
        <w:rPr>
          <w:sz w:val="23"/>
        </w:rPr>
        <w:t>Explore and implement multi benefit/agency</w:t>
      </w:r>
      <w:r>
        <w:rPr>
          <w:spacing w:val="20"/>
          <w:sz w:val="23"/>
        </w:rPr>
        <w:t> </w:t>
      </w:r>
      <w:r>
        <w:rPr>
          <w:sz w:val="23"/>
        </w:rPr>
        <w:t>schemes.</w:t>
      </w:r>
    </w:p>
    <w:p>
      <w:pPr>
        <w:pStyle w:val="BodyText"/>
        <w:spacing w:before="11"/>
        <w:rPr>
          <w:sz w:val="27"/>
        </w:rPr>
      </w:pPr>
    </w:p>
    <w:p>
      <w:pPr>
        <w:pStyle w:val="BodyText"/>
        <w:ind w:left="1024"/>
      </w:pPr>
      <w:r>
        <w:rPr/>
        <w:t>The following priorities were provided for West Yorkshire:</w:t>
      </w:r>
    </w:p>
    <w:p>
      <w:pPr>
        <w:pStyle w:val="BodyText"/>
        <w:spacing w:before="1"/>
        <w:rPr>
          <w:sz w:val="27"/>
        </w:rPr>
      </w:pPr>
    </w:p>
    <w:p>
      <w:pPr>
        <w:pStyle w:val="ListParagraph"/>
        <w:numPr>
          <w:ilvl w:val="2"/>
          <w:numId w:val="11"/>
        </w:numPr>
        <w:tabs>
          <w:tab w:pos="1444" w:val="left" w:leader="none"/>
        </w:tabs>
        <w:spacing w:line="240" w:lineRule="auto" w:before="0" w:after="0"/>
        <w:ind w:left="1443" w:right="0" w:hanging="272"/>
        <w:jc w:val="left"/>
        <w:rPr>
          <w:color w:val="FF362F"/>
          <w:sz w:val="23"/>
        </w:rPr>
      </w:pPr>
      <w:r>
        <w:rPr>
          <w:sz w:val="23"/>
        </w:rPr>
        <w:t>Appropriate management of surface water from the combined sewer</w:t>
      </w:r>
      <w:r>
        <w:rPr>
          <w:spacing w:val="-21"/>
          <w:sz w:val="23"/>
        </w:rPr>
        <w:t> </w:t>
      </w:r>
      <w:r>
        <w:rPr>
          <w:sz w:val="23"/>
        </w:rPr>
        <w:t>system.</w:t>
      </w:r>
    </w:p>
    <w:p>
      <w:pPr>
        <w:pStyle w:val="ListParagraph"/>
        <w:numPr>
          <w:ilvl w:val="2"/>
          <w:numId w:val="11"/>
        </w:numPr>
        <w:tabs>
          <w:tab w:pos="1445" w:val="left" w:leader="none"/>
        </w:tabs>
        <w:spacing w:line="240" w:lineRule="auto" w:before="33" w:after="0"/>
        <w:ind w:left="1444" w:right="0" w:hanging="273"/>
        <w:jc w:val="left"/>
        <w:rPr>
          <w:color w:val="FF2F2A"/>
          <w:sz w:val="23"/>
        </w:rPr>
      </w:pPr>
      <w:r>
        <w:rPr>
          <w:sz w:val="23"/>
        </w:rPr>
        <w:t>Encourage the use of</w:t>
      </w:r>
      <w:r>
        <w:rPr>
          <w:spacing w:val="3"/>
          <w:sz w:val="23"/>
        </w:rPr>
        <w:t> </w:t>
      </w:r>
      <w:r>
        <w:rPr>
          <w:sz w:val="23"/>
        </w:rPr>
        <w:t>SuDS.</w:t>
      </w:r>
    </w:p>
    <w:p>
      <w:pPr>
        <w:pStyle w:val="ListParagraph"/>
        <w:numPr>
          <w:ilvl w:val="2"/>
          <w:numId w:val="11"/>
        </w:numPr>
        <w:tabs>
          <w:tab w:pos="1441" w:val="left" w:leader="none"/>
        </w:tabs>
        <w:spacing w:line="240" w:lineRule="auto" w:before="23" w:after="0"/>
        <w:ind w:left="1442" w:right="0" w:hanging="271"/>
        <w:jc w:val="left"/>
        <w:rPr>
          <w:color w:val="DD4B26"/>
          <w:sz w:val="23"/>
        </w:rPr>
      </w:pPr>
      <w:r>
        <w:rPr>
          <w:sz w:val="23"/>
        </w:rPr>
        <w:t>Where appropriate share information and data with</w:t>
      </w:r>
      <w:r>
        <w:rPr>
          <w:spacing w:val="22"/>
          <w:sz w:val="23"/>
        </w:rPr>
        <w:t> </w:t>
      </w:r>
      <w:r>
        <w:rPr>
          <w:sz w:val="23"/>
        </w:rPr>
        <w:t>RMAs.</w:t>
      </w:r>
    </w:p>
    <w:p>
      <w:pPr>
        <w:pStyle w:val="ListParagraph"/>
        <w:numPr>
          <w:ilvl w:val="2"/>
          <w:numId w:val="11"/>
        </w:numPr>
        <w:tabs>
          <w:tab w:pos="1442" w:val="left" w:leader="none"/>
        </w:tabs>
        <w:spacing w:line="240" w:lineRule="auto" w:before="24" w:after="0"/>
        <w:ind w:left="1441" w:right="0" w:hanging="270"/>
        <w:jc w:val="left"/>
        <w:rPr>
          <w:color w:val="EF4136"/>
          <w:sz w:val="23"/>
        </w:rPr>
      </w:pPr>
      <w:r>
        <w:rPr>
          <w:sz w:val="23"/>
        </w:rPr>
        <w:t>Create a detailed understanding of flood risk from the public sewer</w:t>
      </w:r>
      <w:r>
        <w:rPr>
          <w:spacing w:val="-37"/>
          <w:sz w:val="23"/>
        </w:rPr>
        <w:t> </w:t>
      </w:r>
      <w:r>
        <w:rPr>
          <w:sz w:val="23"/>
        </w:rPr>
        <w:t>system.</w:t>
      </w:r>
    </w:p>
    <w:p>
      <w:pPr>
        <w:pStyle w:val="ListParagraph"/>
        <w:numPr>
          <w:ilvl w:val="2"/>
          <w:numId w:val="11"/>
        </w:numPr>
        <w:tabs>
          <w:tab w:pos="1445" w:val="left" w:leader="none"/>
        </w:tabs>
        <w:spacing w:line="271" w:lineRule="auto" w:before="23" w:after="0"/>
        <w:ind w:left="1443" w:right="646" w:hanging="272"/>
        <w:jc w:val="left"/>
        <w:rPr>
          <w:color w:val="EF2F26"/>
          <w:sz w:val="23"/>
        </w:rPr>
      </w:pPr>
      <w:r>
        <w:rPr>
          <w:sz w:val="23"/>
        </w:rPr>
        <w:t>Explore</w:t>
      </w:r>
      <w:r>
        <w:rPr>
          <w:spacing w:val="-37"/>
          <w:sz w:val="23"/>
        </w:rPr>
        <w:t> </w:t>
      </w:r>
      <w:r>
        <w:rPr>
          <w:sz w:val="23"/>
        </w:rPr>
        <w:t>and</w:t>
      </w:r>
      <w:r>
        <w:rPr>
          <w:spacing w:val="-40"/>
          <w:sz w:val="23"/>
        </w:rPr>
        <w:t> </w:t>
      </w:r>
      <w:r>
        <w:rPr>
          <w:sz w:val="23"/>
        </w:rPr>
        <w:t>implement</w:t>
      </w:r>
      <w:r>
        <w:rPr>
          <w:spacing w:val="-35"/>
          <w:sz w:val="23"/>
        </w:rPr>
        <w:t> </w:t>
      </w:r>
      <w:r>
        <w:rPr>
          <w:sz w:val="23"/>
        </w:rPr>
        <w:t>multi-agency</w:t>
      </w:r>
      <w:r>
        <w:rPr>
          <w:spacing w:val="-32"/>
          <w:sz w:val="23"/>
        </w:rPr>
        <w:t> </w:t>
      </w:r>
      <w:r>
        <w:rPr>
          <w:sz w:val="23"/>
        </w:rPr>
        <w:t>and</w:t>
      </w:r>
      <w:r>
        <w:rPr>
          <w:spacing w:val="-40"/>
          <w:sz w:val="23"/>
        </w:rPr>
        <w:t> </w:t>
      </w:r>
      <w:r>
        <w:rPr>
          <w:sz w:val="23"/>
        </w:rPr>
        <w:t>multi-benefit</w:t>
      </w:r>
      <w:r>
        <w:rPr>
          <w:spacing w:val="-32"/>
          <w:sz w:val="23"/>
        </w:rPr>
        <w:t> </w:t>
      </w:r>
      <w:r>
        <w:rPr>
          <w:sz w:val="23"/>
        </w:rPr>
        <w:t>schemes</w:t>
      </w:r>
      <w:r>
        <w:rPr>
          <w:spacing w:val="-40"/>
          <w:sz w:val="23"/>
        </w:rPr>
        <w:t> </w:t>
      </w:r>
      <w:r>
        <w:rPr>
          <w:sz w:val="23"/>
        </w:rPr>
        <w:t>to</w:t>
      </w:r>
      <w:r>
        <w:rPr>
          <w:spacing w:val="-43"/>
          <w:sz w:val="23"/>
        </w:rPr>
        <w:t> </w:t>
      </w:r>
      <w:r>
        <w:rPr>
          <w:sz w:val="23"/>
        </w:rPr>
        <w:t>resolve</w:t>
      </w:r>
      <w:r>
        <w:rPr>
          <w:spacing w:val="-38"/>
          <w:sz w:val="23"/>
        </w:rPr>
        <w:t> </w:t>
      </w:r>
      <w:r>
        <w:rPr>
          <w:sz w:val="23"/>
        </w:rPr>
        <w:t>issues</w:t>
      </w:r>
      <w:r>
        <w:rPr>
          <w:spacing w:val="-38"/>
          <w:sz w:val="23"/>
        </w:rPr>
        <w:t> </w:t>
      </w:r>
      <w:r>
        <w:rPr>
          <w:sz w:val="23"/>
        </w:rPr>
        <w:t>within</w:t>
      </w:r>
      <w:r>
        <w:rPr>
          <w:spacing w:val="-36"/>
          <w:sz w:val="23"/>
        </w:rPr>
        <w:t> </w:t>
      </w:r>
      <w:r>
        <w:rPr>
          <w:sz w:val="23"/>
        </w:rPr>
        <w:t>the company’s appointed</w:t>
      </w:r>
      <w:r>
        <w:rPr>
          <w:spacing w:val="18"/>
          <w:sz w:val="23"/>
        </w:rPr>
        <w:t> </w:t>
      </w:r>
      <w:r>
        <w:rPr>
          <w:sz w:val="23"/>
        </w:rPr>
        <w:t>business.</w:t>
      </w:r>
    </w:p>
    <w:p>
      <w:pPr>
        <w:pStyle w:val="ListParagraph"/>
        <w:numPr>
          <w:ilvl w:val="1"/>
          <w:numId w:val="11"/>
        </w:numPr>
        <w:tabs>
          <w:tab w:pos="1021" w:val="left" w:leader="none"/>
          <w:tab w:pos="1022" w:val="left" w:leader="none"/>
        </w:tabs>
        <w:spacing w:line="240" w:lineRule="auto" w:before="124" w:after="0"/>
        <w:ind w:left="1021" w:right="0" w:hanging="857"/>
        <w:jc w:val="left"/>
        <w:rPr>
          <w:sz w:val="28"/>
        </w:rPr>
      </w:pPr>
      <w:r>
        <w:rPr>
          <w:sz w:val="28"/>
        </w:rPr>
        <w:t>AINSTY INTERNAL DRAINAGE</w:t>
      </w:r>
      <w:r>
        <w:rPr>
          <w:spacing w:val="-11"/>
          <w:sz w:val="28"/>
        </w:rPr>
        <w:t> </w:t>
      </w:r>
      <w:r>
        <w:rPr>
          <w:sz w:val="28"/>
        </w:rPr>
        <w:t>BOARD</w:t>
      </w:r>
    </w:p>
    <w:p>
      <w:pPr>
        <w:pStyle w:val="BodyText"/>
        <w:spacing w:line="264" w:lineRule="auto" w:before="157"/>
        <w:ind w:left="1015" w:right="215" w:firstLine="5"/>
      </w:pPr>
      <w:r>
        <w:rPr/>
        <w:t>Ainsty</w:t>
      </w:r>
      <w:r>
        <w:rPr>
          <w:spacing w:val="-23"/>
        </w:rPr>
        <w:t> </w:t>
      </w:r>
      <w:r>
        <w:rPr/>
        <w:t>IDB</w:t>
      </w:r>
      <w:r>
        <w:rPr>
          <w:spacing w:val="-29"/>
        </w:rPr>
        <w:t> </w:t>
      </w:r>
      <w:r>
        <w:rPr/>
        <w:t>are</w:t>
      </w:r>
      <w:r>
        <w:rPr>
          <w:spacing w:val="-32"/>
        </w:rPr>
        <w:t> </w:t>
      </w:r>
      <w:r>
        <w:rPr/>
        <w:t>the</w:t>
      </w:r>
      <w:r>
        <w:rPr>
          <w:spacing w:val="-28"/>
        </w:rPr>
        <w:t> </w:t>
      </w:r>
      <w:r>
        <w:rPr/>
        <w:t>sole</w:t>
      </w:r>
      <w:r>
        <w:rPr>
          <w:spacing w:val="-29"/>
        </w:rPr>
        <w:t> </w:t>
      </w:r>
      <w:r>
        <w:rPr/>
        <w:t>IDB</w:t>
      </w:r>
      <w:r>
        <w:rPr>
          <w:spacing w:val="-23"/>
        </w:rPr>
        <w:t> </w:t>
      </w:r>
      <w:r>
        <w:rPr/>
        <w:t>operating</w:t>
      </w:r>
      <w:r>
        <w:rPr>
          <w:spacing w:val="-21"/>
        </w:rPr>
        <w:t> </w:t>
      </w:r>
      <w:r>
        <w:rPr/>
        <w:t>in</w:t>
      </w:r>
      <w:r>
        <w:rPr>
          <w:spacing w:val="-32"/>
        </w:rPr>
        <w:t> </w:t>
      </w:r>
      <w:r>
        <w:rPr/>
        <w:t>the</w:t>
      </w:r>
      <w:r>
        <w:rPr>
          <w:spacing w:val="-28"/>
        </w:rPr>
        <w:t> </w:t>
      </w:r>
      <w:r>
        <w:rPr/>
        <w:t>Leeds</w:t>
      </w:r>
      <w:r>
        <w:rPr>
          <w:spacing w:val="-30"/>
        </w:rPr>
        <w:t> </w:t>
      </w:r>
      <w:r>
        <w:rPr/>
        <w:t>district</w:t>
      </w:r>
      <w:r>
        <w:rPr>
          <w:spacing w:val="-20"/>
        </w:rPr>
        <w:t> </w:t>
      </w:r>
      <w:r>
        <w:rPr/>
        <w:t>and</w:t>
      </w:r>
      <w:r>
        <w:rPr>
          <w:spacing w:val="-26"/>
        </w:rPr>
        <w:t> </w:t>
      </w:r>
      <w:r>
        <w:rPr/>
        <w:t>cover</w:t>
      </w:r>
      <w:r>
        <w:rPr>
          <w:spacing w:val="-25"/>
        </w:rPr>
        <w:t> </w:t>
      </w:r>
      <w:r>
        <w:rPr/>
        <w:t>only</w:t>
      </w:r>
      <w:r>
        <w:rPr>
          <w:spacing w:val="-24"/>
        </w:rPr>
        <w:t> </w:t>
      </w:r>
      <w:r>
        <w:rPr/>
        <w:t>a</w:t>
      </w:r>
      <w:r>
        <w:rPr>
          <w:spacing w:val="-33"/>
        </w:rPr>
        <w:t> </w:t>
      </w:r>
      <w:r>
        <w:rPr/>
        <w:t>very</w:t>
      </w:r>
      <w:r>
        <w:rPr>
          <w:spacing w:val="-28"/>
        </w:rPr>
        <w:t> </w:t>
      </w:r>
      <w:r>
        <w:rPr/>
        <w:t>small</w:t>
      </w:r>
      <w:r>
        <w:rPr>
          <w:spacing w:val="-27"/>
        </w:rPr>
        <w:t> </w:t>
      </w:r>
      <w:r>
        <w:rPr/>
        <w:t>percentage</w:t>
      </w:r>
      <w:r>
        <w:rPr>
          <w:spacing w:val="-17"/>
        </w:rPr>
        <w:t> </w:t>
      </w:r>
      <w:r>
        <w:rPr/>
        <w:t>of Leeds</w:t>
      </w:r>
      <w:r>
        <w:rPr>
          <w:spacing w:val="-20"/>
        </w:rPr>
        <w:t> </w:t>
      </w:r>
      <w:r>
        <w:rPr/>
        <w:t>district</w:t>
      </w:r>
      <w:r>
        <w:rPr>
          <w:spacing w:val="-22"/>
        </w:rPr>
        <w:t> </w:t>
      </w:r>
      <w:r>
        <w:rPr/>
        <w:t>(in</w:t>
      </w:r>
      <w:r>
        <w:rPr>
          <w:spacing w:val="-26"/>
        </w:rPr>
        <w:t> </w:t>
      </w:r>
      <w:r>
        <w:rPr/>
        <w:t>the</w:t>
      </w:r>
      <w:r>
        <w:rPr>
          <w:spacing w:val="-26"/>
        </w:rPr>
        <w:t> </w:t>
      </w:r>
      <w:r>
        <w:rPr/>
        <w:t>Wetherby</w:t>
      </w:r>
      <w:r>
        <w:rPr>
          <w:spacing w:val="-11"/>
        </w:rPr>
        <w:t> </w:t>
      </w:r>
      <w:r>
        <w:rPr/>
        <w:t>area)</w:t>
      </w:r>
      <w:r>
        <w:rPr>
          <w:spacing w:val="-21"/>
        </w:rPr>
        <w:t> </w:t>
      </w:r>
      <w:r>
        <w:rPr/>
        <w:t>and,</w:t>
      </w:r>
      <w:r>
        <w:rPr>
          <w:spacing w:val="-19"/>
        </w:rPr>
        <w:t> </w:t>
      </w:r>
      <w:r>
        <w:rPr/>
        <w:t>as</w:t>
      </w:r>
      <w:r>
        <w:rPr>
          <w:spacing w:val="-30"/>
        </w:rPr>
        <w:t> </w:t>
      </w:r>
      <w:r>
        <w:rPr/>
        <w:t>such,</w:t>
      </w:r>
      <w:r>
        <w:rPr>
          <w:spacing w:val="-22"/>
        </w:rPr>
        <w:t> </w:t>
      </w:r>
      <w:r>
        <w:rPr/>
        <w:t>its</w:t>
      </w:r>
      <w:r>
        <w:rPr>
          <w:spacing w:val="-29"/>
        </w:rPr>
        <w:t> </w:t>
      </w:r>
      <w:r>
        <w:rPr/>
        <w:t>role</w:t>
      </w:r>
      <w:r>
        <w:rPr>
          <w:spacing w:val="-31"/>
        </w:rPr>
        <w:t> </w:t>
      </w:r>
      <w:r>
        <w:rPr/>
        <w:t>is</w:t>
      </w:r>
      <w:r>
        <w:rPr>
          <w:spacing w:val="-37"/>
        </w:rPr>
        <w:t> </w:t>
      </w:r>
      <w:r>
        <w:rPr/>
        <w:t>limited.</w:t>
      </w:r>
      <w:r>
        <w:rPr>
          <w:spacing w:val="-20"/>
        </w:rPr>
        <w:t> </w:t>
      </w:r>
      <w:r>
        <w:rPr/>
        <w:t>Under</w:t>
      </w:r>
      <w:r>
        <w:rPr>
          <w:spacing w:val="-23"/>
        </w:rPr>
        <w:t> </w:t>
      </w:r>
      <w:r>
        <w:rPr/>
        <w:t>the</w:t>
      </w:r>
      <w:r>
        <w:rPr>
          <w:spacing w:val="-24"/>
        </w:rPr>
        <w:t> </w:t>
      </w:r>
      <w:r>
        <w:rPr/>
        <w:t>FWMA,</w:t>
      </w:r>
      <w:r>
        <w:rPr>
          <w:spacing w:val="-13"/>
        </w:rPr>
        <w:t> </w:t>
      </w:r>
      <w:r>
        <w:rPr/>
        <w:t>Ainsty</w:t>
      </w:r>
      <w:r>
        <w:rPr>
          <w:spacing w:val="-18"/>
        </w:rPr>
        <w:t> </w:t>
      </w:r>
      <w:r>
        <w:rPr/>
        <w:t>IDB have new duties and responsibilities supplementing their existing powers. Their key powers and responsibilities are:</w:t>
      </w:r>
    </w:p>
    <w:p>
      <w:pPr>
        <w:pStyle w:val="BodyText"/>
        <w:spacing w:before="9"/>
        <w:rPr>
          <w:sz w:val="24"/>
        </w:rPr>
      </w:pPr>
    </w:p>
    <w:p>
      <w:pPr>
        <w:pStyle w:val="ListParagraph"/>
        <w:numPr>
          <w:ilvl w:val="2"/>
          <w:numId w:val="11"/>
        </w:numPr>
        <w:tabs>
          <w:tab w:pos="1445" w:val="left" w:leader="none"/>
        </w:tabs>
        <w:spacing w:line="240" w:lineRule="auto" w:before="0" w:after="0"/>
        <w:ind w:left="1437" w:right="0" w:hanging="266"/>
        <w:jc w:val="left"/>
        <w:rPr>
          <w:color w:val="DD4B26"/>
          <w:sz w:val="23"/>
        </w:rPr>
      </w:pPr>
      <w:r>
        <w:rPr>
          <w:sz w:val="23"/>
        </w:rPr>
        <w:t>Power</w:t>
      </w:r>
      <w:r>
        <w:rPr>
          <w:spacing w:val="-12"/>
          <w:sz w:val="23"/>
        </w:rPr>
        <w:t> </w:t>
      </w:r>
      <w:r>
        <w:rPr>
          <w:sz w:val="23"/>
        </w:rPr>
        <w:t>to</w:t>
      </w:r>
      <w:r>
        <w:rPr>
          <w:spacing w:val="-14"/>
          <w:sz w:val="23"/>
        </w:rPr>
        <w:t> </w:t>
      </w:r>
      <w:r>
        <w:rPr>
          <w:sz w:val="23"/>
        </w:rPr>
        <w:t>designate structures</w:t>
      </w:r>
      <w:r>
        <w:rPr>
          <w:spacing w:val="-3"/>
          <w:sz w:val="23"/>
        </w:rPr>
        <w:t> </w:t>
      </w:r>
      <w:r>
        <w:rPr>
          <w:sz w:val="23"/>
        </w:rPr>
        <w:t>and</w:t>
      </w:r>
      <w:r>
        <w:rPr>
          <w:spacing w:val="-13"/>
          <w:sz w:val="23"/>
        </w:rPr>
        <w:t> </w:t>
      </w:r>
      <w:r>
        <w:rPr>
          <w:sz w:val="23"/>
        </w:rPr>
        <w:t>features</w:t>
      </w:r>
      <w:r>
        <w:rPr>
          <w:spacing w:val="-5"/>
          <w:sz w:val="23"/>
        </w:rPr>
        <w:t> </w:t>
      </w:r>
      <w:r>
        <w:rPr>
          <w:sz w:val="23"/>
        </w:rPr>
        <w:t>that</w:t>
      </w:r>
      <w:r>
        <w:rPr>
          <w:spacing w:val="-14"/>
          <w:sz w:val="23"/>
        </w:rPr>
        <w:t> </w:t>
      </w:r>
      <w:r>
        <w:rPr>
          <w:sz w:val="23"/>
        </w:rPr>
        <w:t>affect</w:t>
      </w:r>
      <w:r>
        <w:rPr>
          <w:spacing w:val="-7"/>
          <w:sz w:val="23"/>
        </w:rPr>
        <w:t> </w:t>
      </w:r>
      <w:r>
        <w:rPr>
          <w:sz w:val="23"/>
        </w:rPr>
        <w:t>flooding or</w:t>
      </w:r>
      <w:r>
        <w:rPr>
          <w:spacing w:val="-13"/>
          <w:sz w:val="23"/>
        </w:rPr>
        <w:t> </w:t>
      </w:r>
      <w:r>
        <w:rPr>
          <w:sz w:val="23"/>
        </w:rPr>
        <w:t>coastal</w:t>
      </w:r>
      <w:r>
        <w:rPr>
          <w:spacing w:val="-5"/>
          <w:sz w:val="23"/>
        </w:rPr>
        <w:t> </w:t>
      </w:r>
      <w:r>
        <w:rPr>
          <w:sz w:val="23"/>
        </w:rPr>
        <w:t>erosion.</w:t>
      </w:r>
    </w:p>
    <w:p>
      <w:pPr>
        <w:pStyle w:val="ListParagraph"/>
        <w:numPr>
          <w:ilvl w:val="2"/>
          <w:numId w:val="11"/>
        </w:numPr>
        <w:tabs>
          <w:tab w:pos="1445" w:val="left" w:leader="none"/>
        </w:tabs>
        <w:spacing w:line="261" w:lineRule="auto" w:before="33" w:after="0"/>
        <w:ind w:left="1437" w:right="274" w:hanging="266"/>
        <w:jc w:val="left"/>
        <w:rPr>
          <w:color w:val="F0522A"/>
          <w:sz w:val="23"/>
        </w:rPr>
      </w:pPr>
      <w:r>
        <w:rPr>
          <w:sz w:val="23"/>
        </w:rPr>
        <w:t>Power</w:t>
      </w:r>
      <w:r>
        <w:rPr>
          <w:spacing w:val="-38"/>
          <w:sz w:val="23"/>
        </w:rPr>
        <w:t> </w:t>
      </w:r>
      <w:r>
        <w:rPr>
          <w:sz w:val="23"/>
        </w:rPr>
        <w:t>to</w:t>
      </w:r>
      <w:r>
        <w:rPr>
          <w:spacing w:val="-39"/>
          <w:sz w:val="23"/>
        </w:rPr>
        <w:t> </w:t>
      </w:r>
      <w:r>
        <w:rPr>
          <w:sz w:val="23"/>
        </w:rPr>
        <w:t>cause</w:t>
      </w:r>
      <w:r>
        <w:rPr>
          <w:spacing w:val="-32"/>
          <w:sz w:val="23"/>
        </w:rPr>
        <w:t> </w:t>
      </w:r>
      <w:r>
        <w:rPr>
          <w:sz w:val="23"/>
        </w:rPr>
        <w:t>flooding</w:t>
      </w:r>
      <w:r>
        <w:rPr>
          <w:spacing w:val="-31"/>
          <w:sz w:val="23"/>
        </w:rPr>
        <w:t> </w:t>
      </w:r>
      <w:r>
        <w:rPr>
          <w:sz w:val="23"/>
        </w:rPr>
        <w:t>and</w:t>
      </w:r>
      <w:r>
        <w:rPr>
          <w:spacing w:val="-36"/>
          <w:sz w:val="23"/>
        </w:rPr>
        <w:t> </w:t>
      </w:r>
      <w:r>
        <w:rPr>
          <w:sz w:val="23"/>
        </w:rPr>
        <w:t>erosion</w:t>
      </w:r>
      <w:r>
        <w:rPr>
          <w:spacing w:val="-34"/>
          <w:sz w:val="23"/>
        </w:rPr>
        <w:t> </w:t>
      </w:r>
      <w:r>
        <w:rPr>
          <w:sz w:val="23"/>
        </w:rPr>
        <w:t>for</w:t>
      </w:r>
      <w:r>
        <w:rPr>
          <w:spacing w:val="-40"/>
          <w:sz w:val="23"/>
        </w:rPr>
        <w:t> </w:t>
      </w:r>
      <w:r>
        <w:rPr>
          <w:sz w:val="23"/>
        </w:rPr>
        <w:t>nature</w:t>
      </w:r>
      <w:r>
        <w:rPr>
          <w:spacing w:val="-35"/>
          <w:sz w:val="23"/>
        </w:rPr>
        <w:t> </w:t>
      </w:r>
      <w:r>
        <w:rPr>
          <w:sz w:val="23"/>
        </w:rPr>
        <w:t>conservation</w:t>
      </w:r>
      <w:r>
        <w:rPr>
          <w:spacing w:val="-27"/>
          <w:sz w:val="23"/>
        </w:rPr>
        <w:t> </w:t>
      </w:r>
      <w:r>
        <w:rPr>
          <w:sz w:val="23"/>
        </w:rPr>
        <w:t>and</w:t>
      </w:r>
      <w:r>
        <w:rPr>
          <w:spacing w:val="-36"/>
          <w:sz w:val="23"/>
        </w:rPr>
        <w:t> </w:t>
      </w:r>
      <w:r>
        <w:rPr>
          <w:sz w:val="23"/>
        </w:rPr>
        <w:t>cultural</w:t>
      </w:r>
      <w:r>
        <w:rPr>
          <w:spacing w:val="-35"/>
          <w:sz w:val="23"/>
        </w:rPr>
        <w:t> </w:t>
      </w:r>
      <w:r>
        <w:rPr>
          <w:sz w:val="23"/>
        </w:rPr>
        <w:t>heritage</w:t>
      </w:r>
      <w:r>
        <w:rPr>
          <w:spacing w:val="-30"/>
          <w:sz w:val="23"/>
        </w:rPr>
        <w:t> </w:t>
      </w:r>
      <w:r>
        <w:rPr>
          <w:sz w:val="23"/>
        </w:rPr>
        <w:t>reasons,</w:t>
      </w:r>
      <w:r>
        <w:rPr>
          <w:spacing w:val="-29"/>
          <w:sz w:val="23"/>
        </w:rPr>
        <w:t> </w:t>
      </w:r>
      <w:r>
        <w:rPr>
          <w:sz w:val="23"/>
        </w:rPr>
        <w:t>and people’s enjoyment of these</w:t>
      </w:r>
      <w:r>
        <w:rPr>
          <w:spacing w:val="-42"/>
          <w:sz w:val="23"/>
        </w:rPr>
        <w:t> </w:t>
      </w:r>
      <w:r>
        <w:rPr>
          <w:sz w:val="23"/>
        </w:rPr>
        <w:t>assets.</w:t>
      </w:r>
    </w:p>
    <w:p>
      <w:pPr>
        <w:pStyle w:val="ListParagraph"/>
        <w:numPr>
          <w:ilvl w:val="2"/>
          <w:numId w:val="11"/>
        </w:numPr>
        <w:tabs>
          <w:tab w:pos="1444" w:val="left" w:leader="none"/>
        </w:tabs>
        <w:spacing w:line="264" w:lineRule="exact" w:before="0" w:after="0"/>
        <w:ind w:left="1443" w:right="0" w:hanging="272"/>
        <w:jc w:val="left"/>
        <w:rPr>
          <w:color w:val="EB3D31"/>
          <w:sz w:val="23"/>
        </w:rPr>
      </w:pPr>
      <w:r>
        <w:rPr>
          <w:sz w:val="23"/>
        </w:rPr>
        <w:t>A</w:t>
      </w:r>
      <w:r>
        <w:rPr>
          <w:spacing w:val="-15"/>
          <w:sz w:val="23"/>
        </w:rPr>
        <w:t> </w:t>
      </w:r>
      <w:r>
        <w:rPr>
          <w:sz w:val="23"/>
        </w:rPr>
        <w:t>duty</w:t>
      </w:r>
      <w:r>
        <w:rPr>
          <w:spacing w:val="-25"/>
          <w:sz w:val="23"/>
        </w:rPr>
        <w:t> </w:t>
      </w:r>
      <w:r>
        <w:rPr>
          <w:sz w:val="23"/>
        </w:rPr>
        <w:t>to</w:t>
      </w:r>
      <w:r>
        <w:rPr>
          <w:spacing w:val="-20"/>
          <w:sz w:val="23"/>
        </w:rPr>
        <w:t> </w:t>
      </w:r>
      <w:r>
        <w:rPr>
          <w:sz w:val="23"/>
        </w:rPr>
        <w:t>exercise</w:t>
      </w:r>
      <w:r>
        <w:rPr>
          <w:spacing w:val="-14"/>
          <w:sz w:val="23"/>
        </w:rPr>
        <w:t> </w:t>
      </w:r>
      <w:r>
        <w:rPr>
          <w:sz w:val="23"/>
        </w:rPr>
        <w:t>their</w:t>
      </w:r>
      <w:r>
        <w:rPr>
          <w:spacing w:val="-17"/>
          <w:sz w:val="23"/>
        </w:rPr>
        <w:t> </w:t>
      </w:r>
      <w:r>
        <w:rPr>
          <w:sz w:val="23"/>
        </w:rPr>
        <w:t>functions</w:t>
      </w:r>
      <w:r>
        <w:rPr>
          <w:spacing w:val="-14"/>
          <w:sz w:val="23"/>
        </w:rPr>
        <w:t> </w:t>
      </w:r>
      <w:r>
        <w:rPr>
          <w:sz w:val="23"/>
        </w:rPr>
        <w:t>in</w:t>
      </w:r>
      <w:r>
        <w:rPr>
          <w:spacing w:val="-17"/>
          <w:sz w:val="23"/>
        </w:rPr>
        <w:t> </w:t>
      </w:r>
      <w:r>
        <w:rPr>
          <w:sz w:val="23"/>
        </w:rPr>
        <w:t>a</w:t>
      </w:r>
      <w:r>
        <w:rPr>
          <w:spacing w:val="-25"/>
          <w:sz w:val="23"/>
        </w:rPr>
        <w:t> </w:t>
      </w:r>
      <w:r>
        <w:rPr>
          <w:sz w:val="23"/>
        </w:rPr>
        <w:t>manner</w:t>
      </w:r>
      <w:r>
        <w:rPr>
          <w:spacing w:val="-9"/>
          <w:sz w:val="23"/>
        </w:rPr>
        <w:t> </w:t>
      </w:r>
      <w:r>
        <w:rPr>
          <w:sz w:val="23"/>
        </w:rPr>
        <w:t>consistent</w:t>
      </w:r>
      <w:r>
        <w:rPr>
          <w:spacing w:val="-7"/>
          <w:sz w:val="23"/>
        </w:rPr>
        <w:t> </w:t>
      </w:r>
      <w:r>
        <w:rPr>
          <w:sz w:val="23"/>
        </w:rPr>
        <w:t>with</w:t>
      </w:r>
      <w:r>
        <w:rPr>
          <w:spacing w:val="-19"/>
          <w:sz w:val="23"/>
        </w:rPr>
        <w:t> </w:t>
      </w:r>
      <w:r>
        <w:rPr>
          <w:sz w:val="23"/>
        </w:rPr>
        <w:t>local</w:t>
      </w:r>
      <w:r>
        <w:rPr>
          <w:spacing w:val="-8"/>
          <w:sz w:val="23"/>
        </w:rPr>
        <w:t> </w:t>
      </w:r>
      <w:r>
        <w:rPr>
          <w:sz w:val="23"/>
        </w:rPr>
        <w:t>and</w:t>
      </w:r>
      <w:r>
        <w:rPr>
          <w:spacing w:val="-21"/>
          <w:sz w:val="23"/>
        </w:rPr>
        <w:t> </w:t>
      </w:r>
      <w:r>
        <w:rPr>
          <w:sz w:val="23"/>
        </w:rPr>
        <w:t>national</w:t>
      </w:r>
      <w:r>
        <w:rPr>
          <w:spacing w:val="-4"/>
          <w:sz w:val="23"/>
        </w:rPr>
        <w:t> </w:t>
      </w:r>
      <w:r>
        <w:rPr>
          <w:sz w:val="23"/>
        </w:rPr>
        <w:t>strategies.</w:t>
      </w:r>
    </w:p>
    <w:p>
      <w:pPr>
        <w:spacing w:after="0" w:line="264" w:lineRule="exact"/>
        <w:jc w:val="left"/>
        <w:rPr>
          <w:sz w:val="23"/>
        </w:rPr>
        <w:sectPr>
          <w:pgSz w:w="11920" w:h="16850"/>
          <w:pgMar w:header="0" w:footer="1246" w:top="580" w:bottom="1440" w:left="400" w:right="54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ListParagraph"/>
        <w:numPr>
          <w:ilvl w:val="2"/>
          <w:numId w:val="11"/>
        </w:numPr>
        <w:tabs>
          <w:tab w:pos="1444" w:val="left" w:leader="none"/>
        </w:tabs>
        <w:spacing w:line="240" w:lineRule="auto" w:before="92" w:after="0"/>
        <w:ind w:left="1443" w:right="0" w:hanging="272"/>
        <w:jc w:val="left"/>
        <w:rPr>
          <w:color w:val="FF362F"/>
          <w:sz w:val="23"/>
        </w:rPr>
      </w:pPr>
      <w:r>
        <w:rPr/>
        <w:pict>
          <v:group style="position:absolute;margin-left:123.349602pt;margin-top:-50.127747pt;width:5.3pt;height:35.050pt;mso-position-horizontal-relative:page;mso-position-vertical-relative:paragraph;z-index:2440" coordorigin="2467,-1003" coordsize="106,701">
            <v:shape style="position:absolute;left:2467;top:-1003;width:106;height:48" type="#_x0000_t75" stroked="false">
              <v:imagedata r:id="rId14" o:title=""/>
            </v:shape>
            <v:shape style="position:absolute;left:2486;top:-341;width:87;height:39" type="#_x0000_t75" stroked="false">
              <v:imagedata r:id="rId15" o:title=""/>
            </v:shape>
            <v:line style="position:absolute" from="2515,-1003" to="2515,-311" stroked="true" strokeweight="4.799592pt" strokecolor="#ff6477">
              <v:stroke dashstyle="solid"/>
            </v:line>
            <w10:wrap type="none"/>
          </v:group>
        </w:pict>
      </w:r>
      <w:bookmarkStart w:name="Leeds LFRMS 2018 Update_Page_31" w:id="40"/>
      <w:bookmarkEnd w:id="40"/>
      <w:r>
        <w:rPr/>
      </w:r>
      <w:bookmarkStart w:name="Leeds LFRMS 2018 Update_Page_31" w:id="41"/>
      <w:bookmarkEnd w:id="41"/>
      <w:r>
        <w:rPr>
          <w:sz w:val="23"/>
        </w:rPr>
        <w:t>A</w:t>
      </w:r>
      <w:r>
        <w:rPr>
          <w:sz w:val="23"/>
        </w:rPr>
        <w:t> duty to</w:t>
      </w:r>
      <w:r>
        <w:rPr>
          <w:spacing w:val="-48"/>
          <w:sz w:val="23"/>
        </w:rPr>
        <w:t> </w:t>
      </w:r>
      <w:r>
        <w:rPr>
          <w:sz w:val="23"/>
        </w:rPr>
        <w:t>be subject to scrutiny from the LLFA’s democratic processes.</w:t>
      </w:r>
    </w:p>
    <w:p>
      <w:pPr>
        <w:pStyle w:val="ListParagraph"/>
        <w:numPr>
          <w:ilvl w:val="2"/>
          <w:numId w:val="11"/>
        </w:numPr>
        <w:tabs>
          <w:tab w:pos="1448" w:val="left" w:leader="none"/>
        </w:tabs>
        <w:spacing w:line="240" w:lineRule="auto" w:before="24" w:after="0"/>
        <w:ind w:left="1447" w:right="0" w:hanging="276"/>
        <w:jc w:val="left"/>
        <w:rPr>
          <w:color w:val="F93834"/>
          <w:sz w:val="23"/>
        </w:rPr>
      </w:pPr>
      <w:r>
        <w:rPr>
          <w:sz w:val="23"/>
        </w:rPr>
        <w:t>The ability to work in consortia with other</w:t>
      </w:r>
      <w:r>
        <w:rPr>
          <w:spacing w:val="18"/>
          <w:sz w:val="23"/>
        </w:rPr>
        <w:t> </w:t>
      </w:r>
      <w:r>
        <w:rPr>
          <w:sz w:val="23"/>
        </w:rPr>
        <w:t>IDBs.</w:t>
      </w:r>
    </w:p>
    <w:p>
      <w:pPr>
        <w:pStyle w:val="ListParagraph"/>
        <w:numPr>
          <w:ilvl w:val="2"/>
          <w:numId w:val="11"/>
        </w:numPr>
        <w:tabs>
          <w:tab w:pos="1443" w:val="left" w:leader="none"/>
        </w:tabs>
        <w:spacing w:line="271" w:lineRule="auto" w:before="23" w:after="0"/>
        <w:ind w:left="1445" w:right="706" w:hanging="274"/>
        <w:jc w:val="left"/>
        <w:rPr>
          <w:color w:val="F0522A"/>
          <w:sz w:val="23"/>
        </w:rPr>
      </w:pPr>
      <w:r>
        <w:rPr>
          <w:sz w:val="23"/>
        </w:rPr>
        <w:t>Statutory</w:t>
      </w:r>
      <w:r>
        <w:rPr>
          <w:spacing w:val="-30"/>
          <w:sz w:val="23"/>
        </w:rPr>
        <w:t> </w:t>
      </w:r>
      <w:r>
        <w:rPr>
          <w:sz w:val="23"/>
        </w:rPr>
        <w:t>consultee</w:t>
      </w:r>
      <w:r>
        <w:rPr>
          <w:spacing w:val="-32"/>
          <w:sz w:val="23"/>
        </w:rPr>
        <w:t> </w:t>
      </w:r>
      <w:r>
        <w:rPr>
          <w:sz w:val="23"/>
        </w:rPr>
        <w:t>to</w:t>
      </w:r>
      <w:r>
        <w:rPr>
          <w:spacing w:val="-41"/>
          <w:sz w:val="23"/>
        </w:rPr>
        <w:t> </w:t>
      </w:r>
      <w:r>
        <w:rPr>
          <w:sz w:val="23"/>
        </w:rPr>
        <w:t>the</w:t>
      </w:r>
      <w:r>
        <w:rPr>
          <w:spacing w:val="-38"/>
          <w:sz w:val="23"/>
        </w:rPr>
        <w:t> </w:t>
      </w:r>
      <w:r>
        <w:rPr>
          <w:sz w:val="23"/>
        </w:rPr>
        <w:t>SuDS</w:t>
      </w:r>
      <w:r>
        <w:rPr>
          <w:spacing w:val="-32"/>
          <w:sz w:val="23"/>
        </w:rPr>
        <w:t> </w:t>
      </w:r>
      <w:r>
        <w:rPr>
          <w:sz w:val="23"/>
        </w:rPr>
        <w:t>approving</w:t>
      </w:r>
      <w:r>
        <w:rPr>
          <w:spacing w:val="-32"/>
          <w:sz w:val="23"/>
        </w:rPr>
        <w:t> </w:t>
      </w:r>
      <w:r>
        <w:rPr>
          <w:sz w:val="23"/>
        </w:rPr>
        <w:t>body</w:t>
      </w:r>
      <w:r>
        <w:rPr>
          <w:spacing w:val="-33"/>
          <w:sz w:val="23"/>
        </w:rPr>
        <w:t> </w:t>
      </w:r>
      <w:r>
        <w:rPr>
          <w:sz w:val="23"/>
        </w:rPr>
        <w:t>on</w:t>
      </w:r>
      <w:r>
        <w:rPr>
          <w:spacing w:val="-37"/>
          <w:sz w:val="23"/>
        </w:rPr>
        <w:t> </w:t>
      </w:r>
      <w:r>
        <w:rPr>
          <w:sz w:val="23"/>
        </w:rPr>
        <w:t>sustainable</w:t>
      </w:r>
      <w:r>
        <w:rPr>
          <w:spacing w:val="-29"/>
          <w:sz w:val="23"/>
        </w:rPr>
        <w:t> </w:t>
      </w:r>
      <w:r>
        <w:rPr>
          <w:sz w:val="23"/>
        </w:rPr>
        <w:t>drainage</w:t>
      </w:r>
      <w:r>
        <w:rPr>
          <w:spacing w:val="-35"/>
          <w:sz w:val="23"/>
        </w:rPr>
        <w:t> </w:t>
      </w:r>
      <w:r>
        <w:rPr>
          <w:sz w:val="23"/>
        </w:rPr>
        <w:t>that</w:t>
      </w:r>
      <w:r>
        <w:rPr>
          <w:spacing w:val="-37"/>
          <w:sz w:val="23"/>
        </w:rPr>
        <w:t> </w:t>
      </w:r>
      <w:r>
        <w:rPr>
          <w:sz w:val="23"/>
        </w:rPr>
        <w:t>impacts</w:t>
      </w:r>
      <w:r>
        <w:rPr>
          <w:spacing w:val="-36"/>
          <w:sz w:val="23"/>
        </w:rPr>
        <w:t> </w:t>
      </w:r>
      <w:r>
        <w:rPr>
          <w:sz w:val="23"/>
        </w:rPr>
        <w:t>land drainage.</w:t>
      </w:r>
    </w:p>
    <w:p>
      <w:pPr>
        <w:pStyle w:val="ListParagraph"/>
        <w:numPr>
          <w:ilvl w:val="2"/>
          <w:numId w:val="11"/>
        </w:numPr>
        <w:tabs>
          <w:tab w:pos="1445" w:val="left" w:leader="none"/>
        </w:tabs>
        <w:spacing w:line="252" w:lineRule="exact" w:before="0" w:after="0"/>
        <w:ind w:left="1437" w:right="0" w:hanging="266"/>
        <w:jc w:val="left"/>
        <w:rPr>
          <w:color w:val="EF2F26"/>
          <w:sz w:val="23"/>
        </w:rPr>
      </w:pPr>
      <w:r>
        <w:rPr>
          <w:sz w:val="23"/>
        </w:rPr>
        <w:t>Power to do works on ordinary watercourses flooding within their</w:t>
      </w:r>
      <w:r>
        <w:rPr>
          <w:spacing w:val="-37"/>
          <w:sz w:val="23"/>
        </w:rPr>
        <w:t> </w:t>
      </w:r>
      <w:r>
        <w:rPr>
          <w:sz w:val="23"/>
        </w:rPr>
        <w:t>boundary.</w:t>
      </w:r>
    </w:p>
    <w:p>
      <w:pPr>
        <w:pStyle w:val="ListParagraph"/>
        <w:numPr>
          <w:ilvl w:val="1"/>
          <w:numId w:val="11"/>
        </w:numPr>
        <w:tabs>
          <w:tab w:pos="1017" w:val="left" w:leader="none"/>
          <w:tab w:pos="1018" w:val="left" w:leader="none"/>
        </w:tabs>
        <w:spacing w:line="240" w:lineRule="auto" w:before="159" w:after="0"/>
        <w:ind w:left="1017" w:right="0" w:hanging="853"/>
        <w:jc w:val="left"/>
        <w:rPr>
          <w:sz w:val="28"/>
        </w:rPr>
      </w:pPr>
      <w:r>
        <w:rPr>
          <w:sz w:val="28"/>
        </w:rPr>
        <w:t>HIGHWAYS</w:t>
      </w:r>
      <w:r>
        <w:rPr>
          <w:spacing w:val="32"/>
          <w:sz w:val="28"/>
        </w:rPr>
        <w:t> </w:t>
      </w:r>
      <w:r>
        <w:rPr>
          <w:sz w:val="28"/>
        </w:rPr>
        <w:t>ENGLAND</w:t>
      </w:r>
    </w:p>
    <w:p>
      <w:pPr>
        <w:pStyle w:val="BodyText"/>
        <w:spacing w:line="266" w:lineRule="auto" w:before="157"/>
        <w:ind w:left="1021" w:hanging="1"/>
      </w:pPr>
      <w:r>
        <w:rPr/>
        <w:t>As</w:t>
      </w:r>
      <w:r>
        <w:rPr>
          <w:spacing w:val="-32"/>
        </w:rPr>
        <w:t> </w:t>
      </w:r>
      <w:r>
        <w:rPr/>
        <w:t>a</w:t>
      </w:r>
      <w:r>
        <w:rPr>
          <w:spacing w:val="-37"/>
        </w:rPr>
        <w:t> </w:t>
      </w:r>
      <w:r>
        <w:rPr/>
        <w:t>highway</w:t>
      </w:r>
      <w:r>
        <w:rPr>
          <w:spacing w:val="-21"/>
        </w:rPr>
        <w:t> </w:t>
      </w:r>
      <w:r>
        <w:rPr/>
        <w:t>authority,</w:t>
      </w:r>
      <w:r>
        <w:rPr>
          <w:spacing w:val="-20"/>
        </w:rPr>
        <w:t> </w:t>
      </w:r>
      <w:r>
        <w:rPr/>
        <w:t>Highways</w:t>
      </w:r>
      <w:r>
        <w:rPr>
          <w:spacing w:val="-24"/>
        </w:rPr>
        <w:t> </w:t>
      </w:r>
      <w:r>
        <w:rPr/>
        <w:t>England</w:t>
      </w:r>
      <w:r>
        <w:rPr>
          <w:spacing w:val="-28"/>
        </w:rPr>
        <w:t> </w:t>
      </w:r>
      <w:r>
        <w:rPr/>
        <w:t>manage</w:t>
      </w:r>
      <w:r>
        <w:rPr>
          <w:spacing w:val="-28"/>
        </w:rPr>
        <w:t> </w:t>
      </w:r>
      <w:r>
        <w:rPr/>
        <w:t>major</w:t>
      </w:r>
      <w:r>
        <w:rPr>
          <w:spacing w:val="-29"/>
        </w:rPr>
        <w:t> </w:t>
      </w:r>
      <w:r>
        <w:rPr/>
        <w:t>trunk</w:t>
      </w:r>
      <w:r>
        <w:rPr>
          <w:spacing w:val="-30"/>
        </w:rPr>
        <w:t> </w:t>
      </w:r>
      <w:r>
        <w:rPr/>
        <w:t>roads</w:t>
      </w:r>
      <w:r>
        <w:rPr>
          <w:spacing w:val="-28"/>
        </w:rPr>
        <w:t> </w:t>
      </w:r>
      <w:r>
        <w:rPr/>
        <w:t>and</w:t>
      </w:r>
      <w:r>
        <w:rPr>
          <w:spacing w:val="-34"/>
        </w:rPr>
        <w:t> </w:t>
      </w:r>
      <w:r>
        <w:rPr/>
        <w:t>motorways</w:t>
      </w:r>
      <w:r>
        <w:rPr>
          <w:spacing w:val="-26"/>
        </w:rPr>
        <w:t> </w:t>
      </w:r>
      <w:r>
        <w:rPr/>
        <w:t>in</w:t>
      </w:r>
      <w:r>
        <w:rPr>
          <w:spacing w:val="-34"/>
        </w:rPr>
        <w:t> </w:t>
      </w:r>
      <w:r>
        <w:rPr/>
        <w:t>the</w:t>
      </w:r>
      <w:r>
        <w:rPr>
          <w:spacing w:val="-31"/>
        </w:rPr>
        <w:t> </w:t>
      </w:r>
      <w:r>
        <w:rPr/>
        <w:t>Leeds district</w:t>
      </w:r>
      <w:r>
        <w:rPr>
          <w:spacing w:val="-35"/>
        </w:rPr>
        <w:t> </w:t>
      </w:r>
      <w:r>
        <w:rPr/>
        <w:t>including</w:t>
      </w:r>
      <w:r>
        <w:rPr>
          <w:spacing w:val="-28"/>
        </w:rPr>
        <w:t> </w:t>
      </w:r>
      <w:r>
        <w:rPr/>
        <w:t>the</w:t>
      </w:r>
      <w:r>
        <w:rPr>
          <w:spacing w:val="-29"/>
        </w:rPr>
        <w:t> </w:t>
      </w:r>
      <w:r>
        <w:rPr/>
        <w:t>M621,</w:t>
      </w:r>
      <w:r>
        <w:rPr>
          <w:spacing w:val="-26"/>
        </w:rPr>
        <w:t> </w:t>
      </w:r>
      <w:r>
        <w:rPr/>
        <w:t>M62,</w:t>
      </w:r>
      <w:r>
        <w:rPr>
          <w:spacing w:val="-28"/>
        </w:rPr>
        <w:t> </w:t>
      </w:r>
      <w:r>
        <w:rPr/>
        <w:t>M1</w:t>
      </w:r>
      <w:r>
        <w:rPr>
          <w:spacing w:val="-36"/>
        </w:rPr>
        <w:t> </w:t>
      </w:r>
      <w:r>
        <w:rPr/>
        <w:t>&amp;</w:t>
      </w:r>
      <w:r>
        <w:rPr>
          <w:spacing w:val="-31"/>
        </w:rPr>
        <w:t> </w:t>
      </w:r>
      <w:r>
        <w:rPr/>
        <w:t>A1.</w:t>
      </w:r>
      <w:r>
        <w:rPr>
          <w:spacing w:val="-28"/>
        </w:rPr>
        <w:t> </w:t>
      </w:r>
      <w:r>
        <w:rPr/>
        <w:t>Their</w:t>
      </w:r>
      <w:r>
        <w:rPr>
          <w:spacing w:val="-35"/>
        </w:rPr>
        <w:t> </w:t>
      </w:r>
      <w:r>
        <w:rPr/>
        <w:t>responsibilities</w:t>
      </w:r>
      <w:r>
        <w:rPr>
          <w:spacing w:val="-38"/>
        </w:rPr>
        <w:t> </w:t>
      </w:r>
      <w:r>
        <w:rPr/>
        <w:t>in</w:t>
      </w:r>
      <w:r>
        <w:rPr>
          <w:spacing w:val="-32"/>
        </w:rPr>
        <w:t> </w:t>
      </w:r>
      <w:r>
        <w:rPr/>
        <w:t>relation</w:t>
      </w:r>
      <w:r>
        <w:rPr>
          <w:spacing w:val="-32"/>
        </w:rPr>
        <w:t> </w:t>
      </w:r>
      <w:r>
        <w:rPr/>
        <w:t>to</w:t>
      </w:r>
      <w:r>
        <w:rPr>
          <w:spacing w:val="-32"/>
        </w:rPr>
        <w:t> </w:t>
      </w:r>
      <w:r>
        <w:rPr/>
        <w:t>flood</w:t>
      </w:r>
      <w:r>
        <w:rPr>
          <w:spacing w:val="-34"/>
        </w:rPr>
        <w:t> </w:t>
      </w:r>
      <w:r>
        <w:rPr/>
        <w:t>risk</w:t>
      </w:r>
      <w:r>
        <w:rPr>
          <w:spacing w:val="-34"/>
        </w:rPr>
        <w:t> </w:t>
      </w:r>
      <w:r>
        <w:rPr/>
        <w:t>management are listed</w:t>
      </w:r>
      <w:r>
        <w:rPr>
          <w:spacing w:val="-8"/>
        </w:rPr>
        <w:t> </w:t>
      </w:r>
      <w:r>
        <w:rPr/>
        <w:t>below.</w:t>
      </w:r>
    </w:p>
    <w:p>
      <w:pPr>
        <w:pStyle w:val="ListParagraph"/>
        <w:numPr>
          <w:ilvl w:val="2"/>
          <w:numId w:val="11"/>
        </w:numPr>
        <w:tabs>
          <w:tab w:pos="1445" w:val="left" w:leader="none"/>
        </w:tabs>
        <w:spacing w:line="240" w:lineRule="auto" w:before="108" w:after="0"/>
        <w:ind w:left="1444" w:right="0" w:hanging="273"/>
        <w:jc w:val="left"/>
        <w:rPr>
          <w:color w:val="F93834"/>
          <w:sz w:val="23"/>
        </w:rPr>
      </w:pPr>
      <w:r>
        <w:rPr>
          <w:sz w:val="23"/>
        </w:rPr>
        <w:t>Provide</w:t>
      </w:r>
      <w:r>
        <w:rPr>
          <w:spacing w:val="-17"/>
          <w:sz w:val="23"/>
        </w:rPr>
        <w:t> </w:t>
      </w:r>
      <w:r>
        <w:rPr>
          <w:sz w:val="23"/>
        </w:rPr>
        <w:t>and</w:t>
      </w:r>
      <w:r>
        <w:rPr>
          <w:spacing w:val="-24"/>
          <w:sz w:val="23"/>
        </w:rPr>
        <w:t> </w:t>
      </w:r>
      <w:r>
        <w:rPr>
          <w:sz w:val="23"/>
        </w:rPr>
        <w:t>manage</w:t>
      </w:r>
      <w:r>
        <w:rPr>
          <w:spacing w:val="-17"/>
          <w:sz w:val="23"/>
        </w:rPr>
        <w:t> </w:t>
      </w:r>
      <w:r>
        <w:rPr>
          <w:sz w:val="23"/>
        </w:rPr>
        <w:t>highway</w:t>
      </w:r>
      <w:r>
        <w:rPr>
          <w:spacing w:val="-9"/>
          <w:sz w:val="23"/>
        </w:rPr>
        <w:t> </w:t>
      </w:r>
      <w:r>
        <w:rPr>
          <w:sz w:val="23"/>
        </w:rPr>
        <w:t>drainage</w:t>
      </w:r>
      <w:r>
        <w:rPr>
          <w:spacing w:val="-14"/>
          <w:sz w:val="23"/>
        </w:rPr>
        <w:t> </w:t>
      </w:r>
      <w:r>
        <w:rPr>
          <w:sz w:val="23"/>
        </w:rPr>
        <w:t>and</w:t>
      </w:r>
      <w:r>
        <w:rPr>
          <w:spacing w:val="-23"/>
          <w:sz w:val="23"/>
        </w:rPr>
        <w:t> </w:t>
      </w:r>
      <w:r>
        <w:rPr>
          <w:sz w:val="23"/>
        </w:rPr>
        <w:t>roadside</w:t>
      </w:r>
      <w:r>
        <w:rPr>
          <w:spacing w:val="-14"/>
          <w:sz w:val="23"/>
        </w:rPr>
        <w:t> </w:t>
      </w:r>
      <w:r>
        <w:rPr>
          <w:sz w:val="23"/>
        </w:rPr>
        <w:t>ditches</w:t>
      </w:r>
      <w:r>
        <w:rPr>
          <w:spacing w:val="-22"/>
          <w:sz w:val="23"/>
        </w:rPr>
        <w:t> </w:t>
      </w:r>
      <w:r>
        <w:rPr>
          <w:sz w:val="23"/>
        </w:rPr>
        <w:t>under</w:t>
      </w:r>
      <w:r>
        <w:rPr>
          <w:spacing w:val="-22"/>
          <w:sz w:val="23"/>
        </w:rPr>
        <w:t> </w:t>
      </w:r>
      <w:r>
        <w:rPr>
          <w:sz w:val="23"/>
        </w:rPr>
        <w:t>the</w:t>
      </w:r>
      <w:r>
        <w:rPr>
          <w:spacing w:val="-23"/>
          <w:sz w:val="23"/>
        </w:rPr>
        <w:t> </w:t>
      </w:r>
      <w:r>
        <w:rPr>
          <w:sz w:val="23"/>
        </w:rPr>
        <w:t>Highways</w:t>
      </w:r>
      <w:r>
        <w:rPr>
          <w:spacing w:val="-13"/>
          <w:sz w:val="23"/>
        </w:rPr>
        <w:t> </w:t>
      </w:r>
      <w:r>
        <w:rPr>
          <w:sz w:val="23"/>
        </w:rPr>
        <w:t>Act</w:t>
      </w:r>
      <w:r>
        <w:rPr>
          <w:spacing w:val="-17"/>
          <w:sz w:val="23"/>
        </w:rPr>
        <w:t> </w:t>
      </w:r>
      <w:r>
        <w:rPr>
          <w:sz w:val="23"/>
        </w:rPr>
        <w:t>1980.</w:t>
      </w:r>
    </w:p>
    <w:p>
      <w:pPr>
        <w:pStyle w:val="ListParagraph"/>
        <w:numPr>
          <w:ilvl w:val="2"/>
          <w:numId w:val="11"/>
        </w:numPr>
        <w:tabs>
          <w:tab w:pos="1444" w:val="left" w:leader="none"/>
        </w:tabs>
        <w:spacing w:line="240" w:lineRule="auto" w:before="33" w:after="0"/>
        <w:ind w:left="1443" w:right="0" w:hanging="272"/>
        <w:jc w:val="left"/>
        <w:rPr>
          <w:color w:val="DD4B26"/>
          <w:sz w:val="23"/>
        </w:rPr>
      </w:pPr>
      <w:r>
        <w:rPr>
          <w:sz w:val="23"/>
        </w:rPr>
        <w:t>A</w:t>
      </w:r>
      <w:r>
        <w:rPr>
          <w:spacing w:val="-15"/>
          <w:sz w:val="23"/>
        </w:rPr>
        <w:t> </w:t>
      </w:r>
      <w:r>
        <w:rPr>
          <w:sz w:val="23"/>
        </w:rPr>
        <w:t>duty</w:t>
      </w:r>
      <w:r>
        <w:rPr>
          <w:spacing w:val="-25"/>
          <w:sz w:val="23"/>
        </w:rPr>
        <w:t> </w:t>
      </w:r>
      <w:r>
        <w:rPr>
          <w:sz w:val="23"/>
        </w:rPr>
        <w:t>to</w:t>
      </w:r>
      <w:r>
        <w:rPr>
          <w:spacing w:val="-20"/>
          <w:sz w:val="23"/>
        </w:rPr>
        <w:t> </w:t>
      </w:r>
      <w:r>
        <w:rPr>
          <w:sz w:val="23"/>
        </w:rPr>
        <w:t>exercise</w:t>
      </w:r>
      <w:r>
        <w:rPr>
          <w:spacing w:val="-14"/>
          <w:sz w:val="23"/>
        </w:rPr>
        <w:t> </w:t>
      </w:r>
      <w:r>
        <w:rPr>
          <w:sz w:val="23"/>
        </w:rPr>
        <w:t>their</w:t>
      </w:r>
      <w:r>
        <w:rPr>
          <w:spacing w:val="-17"/>
          <w:sz w:val="23"/>
        </w:rPr>
        <w:t> </w:t>
      </w:r>
      <w:r>
        <w:rPr>
          <w:sz w:val="23"/>
        </w:rPr>
        <w:t>functions</w:t>
      </w:r>
      <w:r>
        <w:rPr>
          <w:spacing w:val="-14"/>
          <w:sz w:val="23"/>
        </w:rPr>
        <w:t> </w:t>
      </w:r>
      <w:r>
        <w:rPr>
          <w:sz w:val="23"/>
        </w:rPr>
        <w:t>in</w:t>
      </w:r>
      <w:r>
        <w:rPr>
          <w:spacing w:val="-17"/>
          <w:sz w:val="23"/>
        </w:rPr>
        <w:t> </w:t>
      </w:r>
      <w:r>
        <w:rPr>
          <w:sz w:val="23"/>
        </w:rPr>
        <w:t>a</w:t>
      </w:r>
      <w:r>
        <w:rPr>
          <w:spacing w:val="-25"/>
          <w:sz w:val="23"/>
        </w:rPr>
        <w:t> </w:t>
      </w:r>
      <w:r>
        <w:rPr>
          <w:sz w:val="23"/>
        </w:rPr>
        <w:t>manner</w:t>
      </w:r>
      <w:r>
        <w:rPr>
          <w:spacing w:val="-9"/>
          <w:sz w:val="23"/>
        </w:rPr>
        <w:t> </w:t>
      </w:r>
      <w:r>
        <w:rPr>
          <w:sz w:val="23"/>
        </w:rPr>
        <w:t>consistent</w:t>
      </w:r>
      <w:r>
        <w:rPr>
          <w:spacing w:val="-7"/>
          <w:sz w:val="23"/>
        </w:rPr>
        <w:t> </w:t>
      </w:r>
      <w:r>
        <w:rPr>
          <w:sz w:val="23"/>
        </w:rPr>
        <w:t>with</w:t>
      </w:r>
      <w:r>
        <w:rPr>
          <w:spacing w:val="-19"/>
          <w:sz w:val="23"/>
        </w:rPr>
        <w:t> </w:t>
      </w:r>
      <w:r>
        <w:rPr>
          <w:sz w:val="23"/>
        </w:rPr>
        <w:t>local</w:t>
      </w:r>
      <w:r>
        <w:rPr>
          <w:spacing w:val="-8"/>
          <w:sz w:val="23"/>
        </w:rPr>
        <w:t> </w:t>
      </w:r>
      <w:r>
        <w:rPr>
          <w:sz w:val="23"/>
        </w:rPr>
        <w:t>and</w:t>
      </w:r>
      <w:r>
        <w:rPr>
          <w:spacing w:val="-21"/>
          <w:sz w:val="23"/>
        </w:rPr>
        <w:t> </w:t>
      </w:r>
      <w:r>
        <w:rPr>
          <w:sz w:val="23"/>
        </w:rPr>
        <w:t>national</w:t>
      </w:r>
      <w:r>
        <w:rPr>
          <w:spacing w:val="-4"/>
          <w:sz w:val="23"/>
        </w:rPr>
        <w:t> </w:t>
      </w:r>
      <w:r>
        <w:rPr>
          <w:sz w:val="23"/>
        </w:rPr>
        <w:t>strategies.</w:t>
      </w:r>
    </w:p>
    <w:p>
      <w:pPr>
        <w:pStyle w:val="BodyText"/>
        <w:spacing w:before="10"/>
        <w:rPr>
          <w:sz w:val="38"/>
        </w:rPr>
      </w:pPr>
    </w:p>
    <w:p>
      <w:pPr>
        <w:pStyle w:val="ListParagraph"/>
        <w:numPr>
          <w:ilvl w:val="1"/>
          <w:numId w:val="11"/>
        </w:numPr>
        <w:tabs>
          <w:tab w:pos="1016" w:val="left" w:leader="none"/>
          <w:tab w:pos="1017" w:val="left" w:leader="none"/>
        </w:tabs>
        <w:spacing w:line="240" w:lineRule="auto" w:before="0" w:after="0"/>
        <w:ind w:left="1016" w:right="0" w:hanging="852"/>
        <w:jc w:val="left"/>
        <w:rPr>
          <w:sz w:val="28"/>
        </w:rPr>
      </w:pPr>
      <w:r>
        <w:rPr>
          <w:sz w:val="28"/>
        </w:rPr>
        <w:t>OTHER RISK MANAGEMENT</w:t>
      </w:r>
      <w:r>
        <w:rPr>
          <w:spacing w:val="70"/>
          <w:sz w:val="28"/>
        </w:rPr>
        <w:t> </w:t>
      </w:r>
      <w:r>
        <w:rPr>
          <w:sz w:val="28"/>
        </w:rPr>
        <w:t>AUTHORITIES</w:t>
      </w:r>
    </w:p>
    <w:p>
      <w:pPr>
        <w:pStyle w:val="BodyText"/>
        <w:spacing w:line="261" w:lineRule="auto" w:before="157"/>
        <w:ind w:left="1015" w:firstLine="3"/>
      </w:pPr>
      <w:r>
        <w:rPr/>
        <w:t>Other</w:t>
      </w:r>
      <w:r>
        <w:rPr>
          <w:spacing w:val="-32"/>
        </w:rPr>
        <w:t> </w:t>
      </w:r>
      <w:r>
        <w:rPr/>
        <w:t>authorities</w:t>
      </w:r>
      <w:r>
        <w:rPr>
          <w:spacing w:val="-28"/>
        </w:rPr>
        <w:t> </w:t>
      </w:r>
      <w:r>
        <w:rPr/>
        <w:t>and</w:t>
      </w:r>
      <w:r>
        <w:rPr>
          <w:spacing w:val="-33"/>
        </w:rPr>
        <w:t> </w:t>
      </w:r>
      <w:r>
        <w:rPr/>
        <w:t>stakeholders,</w:t>
      </w:r>
      <w:r>
        <w:rPr>
          <w:spacing w:val="-19"/>
        </w:rPr>
        <w:t> </w:t>
      </w:r>
      <w:r>
        <w:rPr/>
        <w:t>with</w:t>
      </w:r>
      <w:r>
        <w:rPr>
          <w:spacing w:val="-36"/>
        </w:rPr>
        <w:t> </w:t>
      </w:r>
      <w:r>
        <w:rPr/>
        <w:t>no</w:t>
      </w:r>
      <w:r>
        <w:rPr>
          <w:spacing w:val="-33"/>
        </w:rPr>
        <w:t> </w:t>
      </w:r>
      <w:r>
        <w:rPr/>
        <w:t>designated</w:t>
      </w:r>
      <w:r>
        <w:rPr>
          <w:spacing w:val="-25"/>
        </w:rPr>
        <w:t> </w:t>
      </w:r>
      <w:r>
        <w:rPr/>
        <w:t>role</w:t>
      </w:r>
      <w:r>
        <w:rPr>
          <w:spacing w:val="-36"/>
        </w:rPr>
        <w:t> </w:t>
      </w:r>
      <w:r>
        <w:rPr/>
        <w:t>under</w:t>
      </w:r>
      <w:r>
        <w:rPr>
          <w:spacing w:val="-34"/>
        </w:rPr>
        <w:t> </w:t>
      </w:r>
      <w:r>
        <w:rPr/>
        <w:t>the</w:t>
      </w:r>
      <w:r>
        <w:rPr>
          <w:spacing w:val="-34"/>
        </w:rPr>
        <w:t> </w:t>
      </w:r>
      <w:r>
        <w:rPr/>
        <w:t>FWMA,</w:t>
      </w:r>
      <w:r>
        <w:rPr>
          <w:spacing w:val="-26"/>
        </w:rPr>
        <w:t> </w:t>
      </w:r>
      <w:r>
        <w:rPr/>
        <w:t>also</w:t>
      </w:r>
      <w:r>
        <w:rPr>
          <w:spacing w:val="-36"/>
        </w:rPr>
        <w:t> </w:t>
      </w:r>
      <w:r>
        <w:rPr/>
        <w:t>have</w:t>
      </w:r>
      <w:r>
        <w:rPr>
          <w:spacing w:val="-32"/>
        </w:rPr>
        <w:t> </w:t>
      </w:r>
      <w:r>
        <w:rPr/>
        <w:t>a</w:t>
      </w:r>
      <w:r>
        <w:rPr>
          <w:spacing w:val="-38"/>
        </w:rPr>
        <w:t> </w:t>
      </w:r>
      <w:r>
        <w:rPr/>
        <w:t>key responsibility</w:t>
      </w:r>
      <w:r>
        <w:rPr>
          <w:spacing w:val="-23"/>
        </w:rPr>
        <w:t> </w:t>
      </w:r>
      <w:r>
        <w:rPr/>
        <w:t>for</w:t>
      </w:r>
      <w:r>
        <w:rPr>
          <w:spacing w:val="-20"/>
        </w:rPr>
        <w:t> </w:t>
      </w:r>
      <w:r>
        <w:rPr/>
        <w:t>flood</w:t>
      </w:r>
      <w:r>
        <w:rPr>
          <w:spacing w:val="-19"/>
        </w:rPr>
        <w:t> </w:t>
      </w:r>
      <w:r>
        <w:rPr/>
        <w:t>risk</w:t>
      </w:r>
      <w:r>
        <w:rPr>
          <w:spacing w:val="-19"/>
        </w:rPr>
        <w:t> </w:t>
      </w:r>
      <w:r>
        <w:rPr/>
        <w:t>management</w:t>
      </w:r>
      <w:r>
        <w:rPr>
          <w:spacing w:val="-8"/>
        </w:rPr>
        <w:t> </w:t>
      </w:r>
      <w:r>
        <w:rPr/>
        <w:t>in</w:t>
      </w:r>
      <w:r>
        <w:rPr>
          <w:spacing w:val="-16"/>
        </w:rPr>
        <w:t> </w:t>
      </w:r>
      <w:r>
        <w:rPr/>
        <w:t>their</w:t>
      </w:r>
      <w:r>
        <w:rPr>
          <w:spacing w:val="-15"/>
        </w:rPr>
        <w:t> </w:t>
      </w:r>
      <w:r>
        <w:rPr/>
        <w:t>own</w:t>
      </w:r>
      <w:r>
        <w:rPr>
          <w:spacing w:val="-16"/>
        </w:rPr>
        <w:t> </w:t>
      </w:r>
      <w:r>
        <w:rPr/>
        <w:t>areas</w:t>
      </w:r>
      <w:r>
        <w:rPr>
          <w:spacing w:val="-13"/>
        </w:rPr>
        <w:t> </w:t>
      </w:r>
      <w:r>
        <w:rPr/>
        <w:t>of</w:t>
      </w:r>
      <w:r>
        <w:rPr>
          <w:spacing w:val="-23"/>
        </w:rPr>
        <w:t> </w:t>
      </w:r>
      <w:r>
        <w:rPr/>
        <w:t>discipline;</w:t>
      </w:r>
      <w:r>
        <w:rPr>
          <w:spacing w:val="-12"/>
        </w:rPr>
        <w:t> </w:t>
      </w:r>
      <w:r>
        <w:rPr/>
        <w:t>as</w:t>
      </w:r>
      <w:r>
        <w:rPr>
          <w:spacing w:val="-25"/>
        </w:rPr>
        <w:t> </w:t>
      </w:r>
      <w:r>
        <w:rPr/>
        <w:t>listed</w:t>
      </w:r>
      <w:r>
        <w:rPr>
          <w:spacing w:val="-19"/>
        </w:rPr>
        <w:t> </w:t>
      </w:r>
      <w:r>
        <w:rPr/>
        <w:t>below.</w:t>
      </w:r>
    </w:p>
    <w:p>
      <w:pPr>
        <w:pStyle w:val="ListParagraph"/>
        <w:numPr>
          <w:ilvl w:val="2"/>
          <w:numId w:val="11"/>
        </w:numPr>
        <w:tabs>
          <w:tab w:pos="1445" w:val="left" w:leader="none"/>
        </w:tabs>
        <w:spacing w:line="240" w:lineRule="auto" w:before="124" w:after="0"/>
        <w:ind w:left="1444" w:right="0" w:hanging="273"/>
        <w:jc w:val="left"/>
        <w:rPr>
          <w:color w:val="FF2626"/>
          <w:sz w:val="23"/>
        </w:rPr>
      </w:pPr>
      <w:r>
        <w:rPr>
          <w:sz w:val="23"/>
        </w:rPr>
        <w:t>Network</w:t>
      </w:r>
      <w:r>
        <w:rPr>
          <w:spacing w:val="13"/>
          <w:sz w:val="23"/>
        </w:rPr>
        <w:t> </w:t>
      </w:r>
      <w:r>
        <w:rPr>
          <w:sz w:val="23"/>
        </w:rPr>
        <w:t>Rail.</w:t>
      </w:r>
    </w:p>
    <w:p>
      <w:pPr>
        <w:pStyle w:val="ListParagraph"/>
        <w:numPr>
          <w:ilvl w:val="2"/>
          <w:numId w:val="11"/>
        </w:numPr>
        <w:tabs>
          <w:tab w:pos="1442" w:val="left" w:leader="none"/>
        </w:tabs>
        <w:spacing w:line="240" w:lineRule="auto" w:before="24" w:after="0"/>
        <w:ind w:left="1441" w:right="0" w:hanging="270"/>
        <w:jc w:val="left"/>
        <w:rPr>
          <w:color w:val="FF362F"/>
          <w:sz w:val="23"/>
        </w:rPr>
      </w:pPr>
      <w:r>
        <w:rPr>
          <w:sz w:val="23"/>
        </w:rPr>
        <w:t>Canal and River</w:t>
      </w:r>
      <w:r>
        <w:rPr>
          <w:spacing w:val="26"/>
          <w:sz w:val="23"/>
        </w:rPr>
        <w:t> </w:t>
      </w:r>
      <w:r>
        <w:rPr>
          <w:sz w:val="23"/>
        </w:rPr>
        <w:t>Trust.</w:t>
      </w:r>
    </w:p>
    <w:p>
      <w:pPr>
        <w:pStyle w:val="ListParagraph"/>
        <w:numPr>
          <w:ilvl w:val="2"/>
          <w:numId w:val="11"/>
        </w:numPr>
        <w:tabs>
          <w:tab w:pos="1445" w:val="left" w:leader="none"/>
        </w:tabs>
        <w:spacing w:line="240" w:lineRule="auto" w:before="33" w:after="0"/>
        <w:ind w:left="1445" w:right="0" w:hanging="274"/>
        <w:jc w:val="left"/>
        <w:rPr>
          <w:color w:val="FF2F2A"/>
          <w:sz w:val="23"/>
        </w:rPr>
      </w:pPr>
      <w:r>
        <w:rPr>
          <w:sz w:val="23"/>
        </w:rPr>
        <w:t>Met</w:t>
      </w:r>
      <w:r>
        <w:rPr>
          <w:spacing w:val="7"/>
          <w:sz w:val="23"/>
        </w:rPr>
        <w:t> </w:t>
      </w:r>
      <w:r>
        <w:rPr>
          <w:sz w:val="23"/>
        </w:rPr>
        <w:t>Office.</w:t>
      </w:r>
    </w:p>
    <w:p>
      <w:pPr>
        <w:pStyle w:val="ListParagraph"/>
        <w:numPr>
          <w:ilvl w:val="2"/>
          <w:numId w:val="11"/>
        </w:numPr>
        <w:tabs>
          <w:tab w:pos="1445" w:val="left" w:leader="none"/>
        </w:tabs>
        <w:spacing w:line="240" w:lineRule="auto" w:before="24" w:after="0"/>
        <w:ind w:left="1444" w:right="0" w:hanging="273"/>
        <w:jc w:val="left"/>
        <w:rPr>
          <w:color w:val="DD4B26"/>
          <w:sz w:val="23"/>
        </w:rPr>
      </w:pPr>
      <w:r>
        <w:rPr>
          <w:w w:val="95"/>
          <w:sz w:val="23"/>
        </w:rPr>
        <w:t>Natural</w:t>
      </w:r>
      <w:r>
        <w:rPr>
          <w:spacing w:val="-22"/>
          <w:w w:val="95"/>
          <w:sz w:val="23"/>
        </w:rPr>
        <w:t> </w:t>
      </w:r>
      <w:r>
        <w:rPr>
          <w:w w:val="95"/>
          <w:sz w:val="23"/>
        </w:rPr>
        <w:t>England.</w:t>
      </w:r>
    </w:p>
    <w:p>
      <w:pPr>
        <w:pStyle w:val="ListParagraph"/>
        <w:numPr>
          <w:ilvl w:val="2"/>
          <w:numId w:val="11"/>
        </w:numPr>
        <w:tabs>
          <w:tab w:pos="1445" w:val="left" w:leader="none"/>
        </w:tabs>
        <w:spacing w:line="240" w:lineRule="auto" w:before="23" w:after="0"/>
        <w:ind w:left="1444" w:right="0" w:hanging="273"/>
        <w:jc w:val="left"/>
        <w:rPr>
          <w:color w:val="EF4136"/>
          <w:sz w:val="23"/>
        </w:rPr>
      </w:pPr>
      <w:r>
        <w:rPr>
          <w:w w:val="90"/>
          <w:sz w:val="23"/>
        </w:rPr>
        <w:t>English</w:t>
      </w:r>
      <w:r>
        <w:rPr>
          <w:spacing w:val="54"/>
          <w:w w:val="90"/>
          <w:sz w:val="23"/>
        </w:rPr>
        <w:t> </w:t>
      </w:r>
      <w:r>
        <w:rPr>
          <w:w w:val="90"/>
          <w:sz w:val="23"/>
        </w:rPr>
        <w:t>Heritage.</w:t>
      </w:r>
    </w:p>
    <w:p>
      <w:pPr>
        <w:pStyle w:val="ListParagraph"/>
        <w:numPr>
          <w:ilvl w:val="2"/>
          <w:numId w:val="11"/>
        </w:numPr>
        <w:tabs>
          <w:tab w:pos="1444" w:val="left" w:leader="none"/>
        </w:tabs>
        <w:spacing w:line="240" w:lineRule="auto" w:before="33" w:after="0"/>
        <w:ind w:left="1443" w:right="0" w:hanging="272"/>
        <w:jc w:val="left"/>
        <w:rPr>
          <w:color w:val="EF2F26"/>
          <w:sz w:val="23"/>
        </w:rPr>
      </w:pPr>
      <w:r>
        <w:rPr>
          <w:sz w:val="23"/>
        </w:rPr>
        <w:t>Association of British</w:t>
      </w:r>
      <w:r>
        <w:rPr>
          <w:spacing w:val="-36"/>
          <w:sz w:val="23"/>
        </w:rPr>
        <w:t> </w:t>
      </w:r>
      <w:r>
        <w:rPr>
          <w:sz w:val="23"/>
        </w:rPr>
        <w:t>Insurers.</w:t>
      </w:r>
    </w:p>
    <w:p>
      <w:pPr>
        <w:pStyle w:val="ListParagraph"/>
        <w:numPr>
          <w:ilvl w:val="2"/>
          <w:numId w:val="11"/>
        </w:numPr>
        <w:tabs>
          <w:tab w:pos="1446" w:val="left" w:leader="none"/>
        </w:tabs>
        <w:spacing w:line="240" w:lineRule="auto" w:before="24" w:after="0"/>
        <w:ind w:left="1445" w:right="0" w:hanging="274"/>
        <w:jc w:val="left"/>
        <w:rPr>
          <w:color w:val="EB3D31"/>
          <w:sz w:val="23"/>
        </w:rPr>
      </w:pPr>
      <w:r>
        <w:rPr>
          <w:sz w:val="23"/>
        </w:rPr>
        <w:t>Local flood partnerships, forums and community</w:t>
      </w:r>
      <w:r>
        <w:rPr>
          <w:spacing w:val="32"/>
          <w:sz w:val="23"/>
        </w:rPr>
        <w:t> </w:t>
      </w:r>
      <w:r>
        <w:rPr>
          <w:sz w:val="23"/>
        </w:rPr>
        <w:t>groups.</w:t>
      </w:r>
    </w:p>
    <w:p>
      <w:pPr>
        <w:pStyle w:val="BodyText"/>
        <w:spacing w:line="261" w:lineRule="auto" w:before="148"/>
        <w:ind w:left="1016" w:right="212" w:firstLine="1"/>
      </w:pPr>
      <w:r>
        <w:rPr/>
        <w:t>It</w:t>
      </w:r>
      <w:r>
        <w:rPr>
          <w:spacing w:val="-35"/>
        </w:rPr>
        <w:t> </w:t>
      </w:r>
      <w:r>
        <w:rPr/>
        <w:t>is</w:t>
      </w:r>
      <w:r>
        <w:rPr>
          <w:spacing w:val="-32"/>
        </w:rPr>
        <w:t> </w:t>
      </w:r>
      <w:r>
        <w:rPr/>
        <w:t>expected</w:t>
      </w:r>
      <w:r>
        <w:rPr>
          <w:spacing w:val="-25"/>
        </w:rPr>
        <w:t> </w:t>
      </w:r>
      <w:r>
        <w:rPr/>
        <w:t>that</w:t>
      </w:r>
      <w:r>
        <w:rPr>
          <w:spacing w:val="-29"/>
        </w:rPr>
        <w:t> </w:t>
      </w:r>
      <w:r>
        <w:rPr/>
        <w:t>these</w:t>
      </w:r>
      <w:r>
        <w:rPr>
          <w:spacing w:val="-28"/>
        </w:rPr>
        <w:t> </w:t>
      </w:r>
      <w:r>
        <w:rPr/>
        <w:t>authorities</w:t>
      </w:r>
      <w:r>
        <w:rPr>
          <w:spacing w:val="-31"/>
        </w:rPr>
        <w:t> </w:t>
      </w:r>
      <w:r>
        <w:rPr/>
        <w:t>will</w:t>
      </w:r>
      <w:r>
        <w:rPr>
          <w:spacing w:val="-27"/>
        </w:rPr>
        <w:t> </w:t>
      </w:r>
      <w:r>
        <w:rPr/>
        <w:t>undertake</w:t>
      </w:r>
      <w:r>
        <w:rPr>
          <w:spacing w:val="-25"/>
        </w:rPr>
        <w:t> </w:t>
      </w:r>
      <w:r>
        <w:rPr/>
        <w:t>their</w:t>
      </w:r>
      <w:r>
        <w:rPr>
          <w:spacing w:val="-29"/>
        </w:rPr>
        <w:t> </w:t>
      </w:r>
      <w:r>
        <w:rPr/>
        <w:t>activities</w:t>
      </w:r>
      <w:r>
        <w:rPr>
          <w:spacing w:val="-29"/>
        </w:rPr>
        <w:t> </w:t>
      </w:r>
      <w:r>
        <w:rPr/>
        <w:t>in</w:t>
      </w:r>
      <w:r>
        <w:rPr>
          <w:spacing w:val="-30"/>
        </w:rPr>
        <w:t> </w:t>
      </w:r>
      <w:r>
        <w:rPr/>
        <w:t>a</w:t>
      </w:r>
      <w:r>
        <w:rPr>
          <w:spacing w:val="-36"/>
        </w:rPr>
        <w:t> </w:t>
      </w:r>
      <w:r>
        <w:rPr/>
        <w:t>manner</w:t>
      </w:r>
      <w:r>
        <w:rPr>
          <w:spacing w:val="-26"/>
        </w:rPr>
        <w:t> </w:t>
      </w:r>
      <w:r>
        <w:rPr/>
        <w:t>that</w:t>
      </w:r>
      <w:r>
        <w:rPr>
          <w:spacing w:val="-32"/>
        </w:rPr>
        <w:t> </w:t>
      </w:r>
      <w:r>
        <w:rPr/>
        <w:t>is</w:t>
      </w:r>
      <w:r>
        <w:rPr>
          <w:spacing w:val="-38"/>
        </w:rPr>
        <w:t> </w:t>
      </w:r>
      <w:r>
        <w:rPr/>
        <w:t>consistent</w:t>
      </w:r>
      <w:r>
        <w:rPr>
          <w:spacing w:val="-22"/>
        </w:rPr>
        <w:t> </w:t>
      </w:r>
      <w:r>
        <w:rPr/>
        <w:t>with this</w:t>
      </w:r>
      <w:r>
        <w:rPr>
          <w:spacing w:val="4"/>
        </w:rPr>
        <w:t> </w:t>
      </w:r>
      <w:r>
        <w:rPr/>
        <w:t>strategy.</w:t>
      </w:r>
    </w:p>
    <w:p>
      <w:pPr>
        <w:spacing w:after="0" w:line="261" w:lineRule="auto"/>
        <w:sectPr>
          <w:pgSz w:w="11920" w:h="16850"/>
          <w:pgMar w:header="0" w:footer="1246" w:top="580" w:bottom="1440" w:left="400" w:right="540"/>
        </w:sectPr>
      </w:pPr>
    </w:p>
    <w:p>
      <w:pPr>
        <w:pStyle w:val="ListParagraph"/>
        <w:numPr>
          <w:ilvl w:val="0"/>
          <w:numId w:val="11"/>
        </w:numPr>
        <w:tabs>
          <w:tab w:pos="997" w:val="left" w:leader="none"/>
          <w:tab w:pos="998" w:val="left" w:leader="none"/>
        </w:tabs>
        <w:spacing w:line="240" w:lineRule="auto" w:before="106" w:after="0"/>
        <w:ind w:left="997" w:right="0" w:hanging="845"/>
        <w:jc w:val="left"/>
        <w:rPr>
          <w:sz w:val="31"/>
        </w:rPr>
      </w:pPr>
      <w:r>
        <w:rPr/>
        <w:pict>
          <v:line style="position:absolute;mso-position-horizontal-relative:page;mso-position-vertical-relative:paragraph;z-index:416;mso-wrap-distance-left:0;mso-wrap-distance-right:0" from="26.638639pt,27.518366pt" to="561.811333pt,27.518366pt" stroked="true" strokeweight="1.19993pt" strokecolor="#f64142">
            <v:stroke dashstyle="solid"/>
            <w10:wrap type="topAndBottom"/>
          </v:line>
        </w:pict>
      </w:r>
      <w:bookmarkStart w:name="Leeds LFRMS 2018 Update_Page_32" w:id="42"/>
      <w:bookmarkEnd w:id="42"/>
      <w:r>
        <w:rPr/>
      </w:r>
      <w:bookmarkStart w:name="Leeds LFRMS 2018 Update_Page_32" w:id="43"/>
      <w:bookmarkEnd w:id="43"/>
      <w:r>
        <w:rPr>
          <w:w w:val="105"/>
          <w:sz w:val="31"/>
        </w:rPr>
        <w:t>LOCA</w:t>
      </w:r>
      <w:r>
        <w:rPr>
          <w:w w:val="105"/>
          <w:sz w:val="31"/>
        </w:rPr>
        <w:t>L FLOOD RISK</w:t>
      </w:r>
      <w:r>
        <w:rPr>
          <w:spacing w:val="46"/>
          <w:w w:val="105"/>
          <w:sz w:val="31"/>
        </w:rPr>
        <w:t> </w:t>
      </w:r>
      <w:r>
        <w:rPr>
          <w:w w:val="105"/>
          <w:sz w:val="31"/>
        </w:rPr>
        <w:t>MANAGEMENT</w:t>
      </w:r>
    </w:p>
    <w:p>
      <w:pPr>
        <w:pStyle w:val="ListParagraph"/>
        <w:numPr>
          <w:ilvl w:val="1"/>
          <w:numId w:val="11"/>
        </w:numPr>
        <w:tabs>
          <w:tab w:pos="985" w:val="left" w:leader="none"/>
          <w:tab w:pos="986" w:val="left" w:leader="none"/>
        </w:tabs>
        <w:spacing w:line="240" w:lineRule="auto" w:before="198" w:after="0"/>
        <w:ind w:left="985" w:right="0" w:hanging="841"/>
        <w:jc w:val="left"/>
        <w:rPr>
          <w:sz w:val="28"/>
        </w:rPr>
      </w:pPr>
      <w:r>
        <w:rPr>
          <w:sz w:val="28"/>
        </w:rPr>
        <w:t>INTRODUCTION</w:t>
      </w:r>
    </w:p>
    <w:p>
      <w:pPr>
        <w:pStyle w:val="Heading3"/>
        <w:spacing w:line="254" w:lineRule="auto" w:before="148"/>
        <w:ind w:left="992" w:firstLine="5"/>
      </w:pPr>
      <w:r>
        <w:rPr/>
        <w:t>The</w:t>
      </w:r>
      <w:r>
        <w:rPr>
          <w:spacing w:val="-42"/>
        </w:rPr>
        <w:t> </w:t>
      </w:r>
      <w:r>
        <w:rPr/>
        <w:t>management</w:t>
      </w:r>
      <w:r>
        <w:rPr>
          <w:spacing w:val="-25"/>
        </w:rPr>
        <w:t> </w:t>
      </w:r>
      <w:r>
        <w:rPr/>
        <w:t>of</w:t>
      </w:r>
      <w:r>
        <w:rPr>
          <w:spacing w:val="-42"/>
        </w:rPr>
        <w:t> </w:t>
      </w:r>
      <w:r>
        <w:rPr/>
        <w:t>flooding</w:t>
      </w:r>
      <w:r>
        <w:rPr>
          <w:spacing w:val="-32"/>
        </w:rPr>
        <w:t> </w:t>
      </w:r>
      <w:r>
        <w:rPr/>
        <w:t>in</w:t>
      </w:r>
      <w:r>
        <w:rPr>
          <w:spacing w:val="-43"/>
        </w:rPr>
        <w:t> </w:t>
      </w:r>
      <w:r>
        <w:rPr/>
        <w:t>Leeds</w:t>
      </w:r>
      <w:r>
        <w:rPr>
          <w:spacing w:val="-38"/>
        </w:rPr>
        <w:t> </w:t>
      </w:r>
      <w:r>
        <w:rPr/>
        <w:t>district</w:t>
      </w:r>
      <w:r>
        <w:rPr>
          <w:spacing w:val="-36"/>
        </w:rPr>
        <w:t> </w:t>
      </w:r>
      <w:r>
        <w:rPr/>
        <w:t>is</w:t>
      </w:r>
      <w:r>
        <w:rPr>
          <w:spacing w:val="-44"/>
        </w:rPr>
        <w:t> </w:t>
      </w:r>
      <w:r>
        <w:rPr/>
        <w:t>the</w:t>
      </w:r>
      <w:r>
        <w:rPr>
          <w:spacing w:val="-40"/>
        </w:rPr>
        <w:t> </w:t>
      </w:r>
      <w:r>
        <w:rPr/>
        <w:t>responsibility</w:t>
      </w:r>
      <w:r>
        <w:rPr>
          <w:spacing w:val="-43"/>
        </w:rPr>
        <w:t> </w:t>
      </w:r>
      <w:r>
        <w:rPr/>
        <w:t>of</w:t>
      </w:r>
      <w:r>
        <w:rPr>
          <w:spacing w:val="-40"/>
        </w:rPr>
        <w:t> </w:t>
      </w:r>
      <w:r>
        <w:rPr/>
        <w:t>the</w:t>
      </w:r>
      <w:r>
        <w:rPr>
          <w:spacing w:val="-42"/>
        </w:rPr>
        <w:t> </w:t>
      </w:r>
      <w:r>
        <w:rPr/>
        <w:t>principal</w:t>
      </w:r>
      <w:r>
        <w:rPr>
          <w:spacing w:val="-34"/>
        </w:rPr>
        <w:t> </w:t>
      </w:r>
      <w:r>
        <w:rPr/>
        <w:t>RMAs</w:t>
      </w:r>
      <w:r>
        <w:rPr>
          <w:spacing w:val="-38"/>
        </w:rPr>
        <w:t> </w:t>
      </w:r>
      <w:r>
        <w:rPr/>
        <w:t>listed</w:t>
      </w:r>
      <w:r>
        <w:rPr>
          <w:spacing w:val="-36"/>
        </w:rPr>
        <w:t> </w:t>
      </w:r>
      <w:r>
        <w:rPr/>
        <w:t>in </w:t>
      </w:r>
      <w:r>
        <w:rPr>
          <w:w w:val="95"/>
        </w:rPr>
        <w:t>Section</w:t>
      </w:r>
      <w:r>
        <w:rPr>
          <w:spacing w:val="-15"/>
          <w:w w:val="95"/>
        </w:rPr>
        <w:t> </w:t>
      </w:r>
      <w:r>
        <w:rPr>
          <w:w w:val="95"/>
        </w:rPr>
        <w:t>3</w:t>
      </w:r>
      <w:r>
        <w:rPr>
          <w:spacing w:val="-24"/>
          <w:w w:val="95"/>
        </w:rPr>
        <w:t> </w:t>
      </w:r>
      <w:r>
        <w:rPr>
          <w:w w:val="95"/>
        </w:rPr>
        <w:t>of</w:t>
      </w:r>
      <w:r>
        <w:rPr>
          <w:spacing w:val="-27"/>
          <w:w w:val="95"/>
        </w:rPr>
        <w:t> </w:t>
      </w:r>
      <w:r>
        <w:rPr>
          <w:w w:val="95"/>
        </w:rPr>
        <w:t>this</w:t>
      </w:r>
      <w:r>
        <w:rPr>
          <w:spacing w:val="-20"/>
          <w:w w:val="95"/>
        </w:rPr>
        <w:t> </w:t>
      </w:r>
      <w:r>
        <w:rPr>
          <w:w w:val="95"/>
        </w:rPr>
        <w:t>strategy.</w:t>
      </w:r>
      <w:r>
        <w:rPr>
          <w:spacing w:val="-7"/>
          <w:w w:val="95"/>
        </w:rPr>
        <w:t> </w:t>
      </w:r>
      <w:r>
        <w:rPr>
          <w:w w:val="95"/>
        </w:rPr>
        <w:t>A</w:t>
      </w:r>
      <w:r>
        <w:rPr>
          <w:spacing w:val="-21"/>
          <w:w w:val="95"/>
        </w:rPr>
        <w:t> </w:t>
      </w:r>
      <w:r>
        <w:rPr>
          <w:w w:val="95"/>
        </w:rPr>
        <w:t>list</w:t>
      </w:r>
      <w:r>
        <w:rPr>
          <w:spacing w:val="-22"/>
          <w:w w:val="95"/>
        </w:rPr>
        <w:t> </w:t>
      </w:r>
      <w:r>
        <w:rPr>
          <w:w w:val="95"/>
        </w:rPr>
        <w:t>of</w:t>
      </w:r>
      <w:r>
        <w:rPr>
          <w:spacing w:val="-23"/>
          <w:w w:val="95"/>
        </w:rPr>
        <w:t> </w:t>
      </w:r>
      <w:r>
        <w:rPr>
          <w:w w:val="95"/>
        </w:rPr>
        <w:t>the</w:t>
      </w:r>
      <w:r>
        <w:rPr>
          <w:spacing w:val="-23"/>
          <w:w w:val="95"/>
        </w:rPr>
        <w:t> </w:t>
      </w:r>
      <w:r>
        <w:rPr>
          <w:w w:val="95"/>
        </w:rPr>
        <w:t>key</w:t>
      </w:r>
      <w:r>
        <w:rPr>
          <w:spacing w:val="-21"/>
          <w:w w:val="95"/>
        </w:rPr>
        <w:t> </w:t>
      </w:r>
      <w:r>
        <w:rPr>
          <w:w w:val="95"/>
        </w:rPr>
        <w:t>local</w:t>
      </w:r>
      <w:r>
        <w:rPr>
          <w:spacing w:val="-26"/>
          <w:w w:val="95"/>
        </w:rPr>
        <w:t> </w:t>
      </w:r>
      <w:r>
        <w:rPr>
          <w:w w:val="95"/>
        </w:rPr>
        <w:t>flood</w:t>
      </w:r>
      <w:r>
        <w:rPr>
          <w:spacing w:val="-19"/>
          <w:w w:val="95"/>
        </w:rPr>
        <w:t> </w:t>
      </w:r>
      <w:r>
        <w:rPr>
          <w:w w:val="95"/>
        </w:rPr>
        <w:t>risk</w:t>
      </w:r>
      <w:r>
        <w:rPr>
          <w:spacing w:val="-25"/>
          <w:w w:val="95"/>
        </w:rPr>
        <w:t> </w:t>
      </w:r>
      <w:r>
        <w:rPr>
          <w:w w:val="95"/>
        </w:rPr>
        <w:t>management</w:t>
      </w:r>
      <w:r>
        <w:rPr>
          <w:spacing w:val="-7"/>
          <w:w w:val="95"/>
        </w:rPr>
        <w:t> </w:t>
      </w:r>
      <w:r>
        <w:rPr>
          <w:w w:val="95"/>
        </w:rPr>
        <w:t>contacts</w:t>
      </w:r>
      <w:r>
        <w:rPr>
          <w:spacing w:val="-18"/>
          <w:w w:val="95"/>
        </w:rPr>
        <w:t> </w:t>
      </w:r>
      <w:r>
        <w:rPr>
          <w:w w:val="95"/>
        </w:rPr>
        <w:t>at</w:t>
      </w:r>
      <w:r>
        <w:rPr>
          <w:spacing w:val="-25"/>
          <w:w w:val="95"/>
        </w:rPr>
        <w:t> </w:t>
      </w:r>
      <w:r>
        <w:rPr>
          <w:w w:val="95"/>
        </w:rPr>
        <w:t>each</w:t>
      </w:r>
      <w:r>
        <w:rPr>
          <w:spacing w:val="-19"/>
          <w:w w:val="95"/>
        </w:rPr>
        <w:t> </w:t>
      </w:r>
      <w:r>
        <w:rPr>
          <w:w w:val="95"/>
        </w:rPr>
        <w:t>of</w:t>
      </w:r>
      <w:r>
        <w:rPr>
          <w:spacing w:val="-23"/>
          <w:w w:val="95"/>
        </w:rPr>
        <w:t> </w:t>
      </w:r>
      <w:r>
        <w:rPr>
          <w:w w:val="95"/>
        </w:rPr>
        <w:t>the</w:t>
      </w:r>
      <w:r>
        <w:rPr>
          <w:spacing w:val="-24"/>
          <w:w w:val="95"/>
        </w:rPr>
        <w:t> </w:t>
      </w:r>
      <w:r>
        <w:rPr>
          <w:w w:val="95"/>
        </w:rPr>
        <w:t>RMAs </w:t>
      </w:r>
      <w:r>
        <w:rPr/>
        <w:t>are included in Appendix D of this</w:t>
      </w:r>
      <w:r>
        <w:rPr>
          <w:spacing w:val="-17"/>
        </w:rPr>
        <w:t> </w:t>
      </w:r>
      <w:r>
        <w:rPr/>
        <w:t>strategy.</w:t>
      </w:r>
    </w:p>
    <w:p>
      <w:pPr>
        <w:pStyle w:val="Heading3"/>
        <w:spacing w:line="254" w:lineRule="auto" w:before="114"/>
        <w:ind w:left="993" w:right="134" w:firstLine="8"/>
      </w:pPr>
      <w:r>
        <w:rPr/>
        <w:t>Management of flooding is a collaborative effort between RMAs, but the key activities and </w:t>
      </w:r>
      <w:r>
        <w:rPr>
          <w:w w:val="95"/>
        </w:rPr>
        <w:t>responsibilities</w:t>
      </w:r>
      <w:r>
        <w:rPr>
          <w:spacing w:val="-28"/>
          <w:w w:val="95"/>
        </w:rPr>
        <w:t> </w:t>
      </w:r>
      <w:r>
        <w:rPr>
          <w:w w:val="95"/>
        </w:rPr>
        <w:t>involved</w:t>
      </w:r>
      <w:r>
        <w:rPr>
          <w:spacing w:val="-19"/>
          <w:w w:val="95"/>
        </w:rPr>
        <w:t> </w:t>
      </w:r>
      <w:r>
        <w:rPr>
          <w:w w:val="95"/>
        </w:rPr>
        <w:t>can</w:t>
      </w:r>
      <w:r>
        <w:rPr>
          <w:spacing w:val="-22"/>
          <w:w w:val="95"/>
        </w:rPr>
        <w:t> </w:t>
      </w:r>
      <w:r>
        <w:rPr>
          <w:w w:val="95"/>
        </w:rPr>
        <w:t>be</w:t>
      </w:r>
      <w:r>
        <w:rPr>
          <w:spacing w:val="-24"/>
          <w:w w:val="95"/>
        </w:rPr>
        <w:t> </w:t>
      </w:r>
      <w:r>
        <w:rPr>
          <w:w w:val="95"/>
        </w:rPr>
        <w:t>separated</w:t>
      </w:r>
      <w:r>
        <w:rPr>
          <w:spacing w:val="-13"/>
          <w:w w:val="95"/>
        </w:rPr>
        <w:t> </w:t>
      </w:r>
      <w:r>
        <w:rPr>
          <w:w w:val="95"/>
        </w:rPr>
        <w:t>into</w:t>
      </w:r>
      <w:r>
        <w:rPr>
          <w:spacing w:val="-24"/>
          <w:w w:val="95"/>
        </w:rPr>
        <w:t> </w:t>
      </w:r>
      <w:r>
        <w:rPr>
          <w:w w:val="95"/>
        </w:rPr>
        <w:t>3</w:t>
      </w:r>
      <w:r>
        <w:rPr>
          <w:spacing w:val="-30"/>
          <w:w w:val="95"/>
        </w:rPr>
        <w:t> </w:t>
      </w:r>
      <w:r>
        <w:rPr>
          <w:w w:val="95"/>
        </w:rPr>
        <w:t>stages:</w:t>
      </w:r>
      <w:r>
        <w:rPr>
          <w:spacing w:val="-19"/>
          <w:w w:val="95"/>
        </w:rPr>
        <w:t> </w:t>
      </w:r>
      <w:r>
        <w:rPr>
          <w:w w:val="95"/>
        </w:rPr>
        <w:t>before,</w:t>
      </w:r>
      <w:r>
        <w:rPr>
          <w:spacing w:val="-15"/>
          <w:w w:val="95"/>
        </w:rPr>
        <w:t> </w:t>
      </w:r>
      <w:r>
        <w:rPr>
          <w:w w:val="95"/>
        </w:rPr>
        <w:t>during</w:t>
      </w:r>
      <w:r>
        <w:rPr>
          <w:spacing w:val="-19"/>
          <w:w w:val="95"/>
        </w:rPr>
        <w:t> </w:t>
      </w:r>
      <w:r>
        <w:rPr>
          <w:w w:val="95"/>
        </w:rPr>
        <w:t>and</w:t>
      </w:r>
      <w:r>
        <w:rPr>
          <w:spacing w:val="-23"/>
          <w:w w:val="95"/>
        </w:rPr>
        <w:t> </w:t>
      </w:r>
      <w:r>
        <w:rPr>
          <w:w w:val="95"/>
        </w:rPr>
        <w:t>after</w:t>
      </w:r>
      <w:r>
        <w:rPr>
          <w:spacing w:val="-24"/>
          <w:w w:val="95"/>
        </w:rPr>
        <w:t> </w:t>
      </w:r>
      <w:r>
        <w:rPr>
          <w:w w:val="95"/>
        </w:rPr>
        <w:t>a</w:t>
      </w:r>
      <w:r>
        <w:rPr>
          <w:spacing w:val="-27"/>
          <w:w w:val="95"/>
        </w:rPr>
        <w:t> </w:t>
      </w:r>
      <w:r>
        <w:rPr>
          <w:w w:val="95"/>
        </w:rPr>
        <w:t>flood,</w:t>
      </w:r>
      <w:r>
        <w:rPr>
          <w:spacing w:val="-20"/>
          <w:w w:val="95"/>
        </w:rPr>
        <w:t> </w:t>
      </w:r>
      <w:r>
        <w:rPr>
          <w:w w:val="95"/>
        </w:rPr>
        <w:t>as</w:t>
      </w:r>
      <w:r>
        <w:rPr>
          <w:spacing w:val="-29"/>
          <w:w w:val="95"/>
        </w:rPr>
        <w:t> </w:t>
      </w:r>
      <w:r>
        <w:rPr>
          <w:w w:val="95"/>
        </w:rPr>
        <w:t>shown in</w:t>
      </w:r>
      <w:r>
        <w:rPr>
          <w:spacing w:val="-34"/>
          <w:w w:val="95"/>
        </w:rPr>
        <w:t> </w:t>
      </w:r>
      <w:r>
        <w:rPr>
          <w:w w:val="95"/>
        </w:rPr>
        <w:t>Figure</w:t>
      </w:r>
      <w:r>
        <w:rPr>
          <w:spacing w:val="-28"/>
          <w:w w:val="95"/>
        </w:rPr>
        <w:t> </w:t>
      </w:r>
      <w:r>
        <w:rPr>
          <w:w w:val="95"/>
        </w:rPr>
        <w:t>1.</w:t>
      </w:r>
      <w:r>
        <w:rPr>
          <w:spacing w:val="-26"/>
          <w:w w:val="95"/>
        </w:rPr>
        <w:t> </w:t>
      </w:r>
      <w:r>
        <w:rPr>
          <w:w w:val="95"/>
        </w:rPr>
        <w:t>These</w:t>
      </w:r>
      <w:r>
        <w:rPr>
          <w:spacing w:val="-30"/>
          <w:w w:val="95"/>
        </w:rPr>
        <w:t> </w:t>
      </w:r>
      <w:r>
        <w:rPr>
          <w:w w:val="95"/>
        </w:rPr>
        <w:t>3</w:t>
      </w:r>
      <w:r>
        <w:rPr>
          <w:spacing w:val="-33"/>
          <w:w w:val="95"/>
        </w:rPr>
        <w:t> </w:t>
      </w:r>
      <w:r>
        <w:rPr>
          <w:w w:val="95"/>
        </w:rPr>
        <w:t>stages</w:t>
      </w:r>
      <w:r>
        <w:rPr>
          <w:spacing w:val="-33"/>
          <w:w w:val="95"/>
        </w:rPr>
        <w:t> </w:t>
      </w:r>
      <w:r>
        <w:rPr>
          <w:w w:val="95"/>
        </w:rPr>
        <w:t>(Resilience,</w:t>
      </w:r>
      <w:r>
        <w:rPr>
          <w:spacing w:val="-19"/>
          <w:w w:val="95"/>
        </w:rPr>
        <w:t> </w:t>
      </w:r>
      <w:r>
        <w:rPr>
          <w:w w:val="95"/>
        </w:rPr>
        <w:t>Response,</w:t>
      </w:r>
      <w:r>
        <w:rPr>
          <w:spacing w:val="-22"/>
          <w:w w:val="95"/>
        </w:rPr>
        <w:t> </w:t>
      </w:r>
      <w:r>
        <w:rPr>
          <w:w w:val="95"/>
        </w:rPr>
        <w:t>Recovery),</w:t>
      </w:r>
      <w:r>
        <w:rPr>
          <w:spacing w:val="-19"/>
          <w:w w:val="95"/>
        </w:rPr>
        <w:t> </w:t>
      </w:r>
      <w:r>
        <w:rPr>
          <w:w w:val="95"/>
        </w:rPr>
        <w:t>align</w:t>
      </w:r>
      <w:r>
        <w:rPr>
          <w:spacing w:val="-30"/>
          <w:w w:val="95"/>
        </w:rPr>
        <w:t> </w:t>
      </w:r>
      <w:r>
        <w:rPr>
          <w:w w:val="95"/>
        </w:rPr>
        <w:t>with</w:t>
      </w:r>
      <w:r>
        <w:rPr>
          <w:spacing w:val="-33"/>
          <w:w w:val="95"/>
        </w:rPr>
        <w:t> </w:t>
      </w:r>
      <w:r>
        <w:rPr>
          <w:w w:val="95"/>
        </w:rPr>
        <w:t>the</w:t>
      </w:r>
      <w:r>
        <w:rPr>
          <w:spacing w:val="-33"/>
          <w:w w:val="95"/>
        </w:rPr>
        <w:t> </w:t>
      </w:r>
      <w:r>
        <w:rPr>
          <w:w w:val="95"/>
        </w:rPr>
        <w:t>three</w:t>
      </w:r>
      <w:r>
        <w:rPr>
          <w:spacing w:val="-29"/>
          <w:w w:val="95"/>
        </w:rPr>
        <w:t> </w:t>
      </w:r>
      <w:r>
        <w:rPr>
          <w:w w:val="95"/>
        </w:rPr>
        <w:t>'P’s</w:t>
      </w:r>
      <w:r>
        <w:rPr>
          <w:spacing w:val="-34"/>
          <w:w w:val="95"/>
        </w:rPr>
        <w:t> </w:t>
      </w:r>
      <w:r>
        <w:rPr>
          <w:w w:val="95"/>
        </w:rPr>
        <w:t>(Prevention, </w:t>
      </w:r>
      <w:r>
        <w:rPr/>
        <w:t>Protection</w:t>
      </w:r>
      <w:r>
        <w:rPr>
          <w:spacing w:val="-7"/>
        </w:rPr>
        <w:t> </w:t>
      </w:r>
      <w:r>
        <w:rPr/>
        <w:t>and</w:t>
      </w:r>
      <w:r>
        <w:rPr>
          <w:spacing w:val="-18"/>
        </w:rPr>
        <w:t> </w:t>
      </w:r>
      <w:r>
        <w:rPr/>
        <w:t>Preparedness);</w:t>
      </w:r>
      <w:r>
        <w:rPr>
          <w:spacing w:val="-18"/>
        </w:rPr>
        <w:t> </w:t>
      </w:r>
      <w:r>
        <w:rPr/>
        <w:t>as</w:t>
      </w:r>
      <w:r>
        <w:rPr>
          <w:spacing w:val="-24"/>
        </w:rPr>
        <w:t> </w:t>
      </w:r>
      <w:r>
        <w:rPr/>
        <w:t>defined</w:t>
      </w:r>
      <w:r>
        <w:rPr>
          <w:spacing w:val="-9"/>
        </w:rPr>
        <w:t> </w:t>
      </w:r>
      <w:r>
        <w:rPr/>
        <w:t>in</w:t>
      </w:r>
      <w:r>
        <w:rPr>
          <w:spacing w:val="-22"/>
        </w:rPr>
        <w:t> </w:t>
      </w:r>
      <w:r>
        <w:rPr/>
        <w:t>the</w:t>
      </w:r>
      <w:r>
        <w:rPr>
          <w:spacing w:val="-22"/>
        </w:rPr>
        <w:t> </w:t>
      </w:r>
      <w:r>
        <w:rPr/>
        <w:t>EA’s</w:t>
      </w:r>
      <w:r>
        <w:rPr>
          <w:spacing w:val="-22"/>
        </w:rPr>
        <w:t> </w:t>
      </w:r>
      <w:r>
        <w:rPr/>
        <w:t>flood</w:t>
      </w:r>
      <w:r>
        <w:rPr>
          <w:spacing w:val="-15"/>
        </w:rPr>
        <w:t> </w:t>
      </w:r>
      <w:r>
        <w:rPr/>
        <w:t>resilience</w:t>
      </w:r>
      <w:r>
        <w:rPr>
          <w:spacing w:val="-9"/>
        </w:rPr>
        <w:t> </w:t>
      </w:r>
      <w:r>
        <w:rPr/>
        <w:t>guidance.</w:t>
      </w:r>
    </w:p>
    <w:p>
      <w:pPr>
        <w:pStyle w:val="BodyText"/>
        <w:spacing w:before="127"/>
        <w:ind w:left="993"/>
      </w:pPr>
      <w:r>
        <w:rPr/>
        <w:t>Figure 1 </w:t>
      </w:r>
      <w:r>
        <w:rPr>
          <w:w w:val="90"/>
        </w:rPr>
        <w:t>— </w:t>
      </w:r>
      <w:r>
        <w:rPr/>
        <w:t>Management activities before, during and after a flood event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before="93"/>
        <w:ind w:left="6821" w:right="0" w:firstLine="0"/>
        <w:jc w:val="left"/>
        <w:rPr>
          <w:sz w:val="20"/>
        </w:rPr>
      </w:pPr>
      <w:r>
        <w:rPr/>
        <w:pict>
          <v:group style="position:absolute;margin-left:207.989395pt;margin-top:1.83055pt;width:70pt;height:79.6pt;mso-position-horizontal-relative:page;mso-position-vertical-relative:paragraph;z-index:2488" coordorigin="4160,37" coordsize="1400,1592">
            <v:shape style="position:absolute;left:4159;top:36;width:1400;height:1056" type="#_x0000_t75" stroked="false">
              <v:imagedata r:id="rId46" o:title=""/>
            </v:shape>
            <v:shape style="position:absolute;left:4311;top:132;width:1064;height:1496" type="#_x0000_t75" stroked="false">
              <v:imagedata r:id="rId47" o:title=""/>
            </v:shape>
            <w10:wrap type="none"/>
          </v:group>
        </w:pict>
      </w:r>
      <w:r>
        <w:rPr>
          <w:sz w:val="20"/>
        </w:rPr>
        <w:t>Before a flood</w:t>
      </w:r>
    </w:p>
    <w:p>
      <w:pPr>
        <w:pStyle w:val="Heading3"/>
        <w:spacing w:before="21"/>
        <w:ind w:left="6896"/>
      </w:pPr>
      <w:r>
        <w:rPr/>
        <w:t>Resilience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spacing w:before="58"/>
        <w:ind w:left="5329" w:right="4280" w:firstLine="0"/>
        <w:jc w:val="center"/>
        <w:rPr>
          <w:rFonts w:ascii="Calibri"/>
          <w:sz w:val="21"/>
        </w:rPr>
      </w:pPr>
      <w:r>
        <w:rPr>
          <w:rFonts w:ascii="Calibri"/>
          <w:sz w:val="21"/>
        </w:rPr>
        <w:t>During a flood</w:t>
      </w:r>
    </w:p>
    <w:p>
      <w:pPr>
        <w:pStyle w:val="Heading3"/>
        <w:spacing w:before="3"/>
        <w:ind w:left="5322" w:right="4280"/>
        <w:jc w:val="center"/>
        <w:rPr>
          <w:rFonts w:ascii="Calibri"/>
        </w:rPr>
      </w:pPr>
      <w:r>
        <w:rPr>
          <w:rFonts w:ascii="Calibri"/>
          <w:w w:val="105"/>
        </w:rPr>
        <w:t>Response</w:t>
      </w:r>
    </w:p>
    <w:p>
      <w:pPr>
        <w:pStyle w:val="BodyText"/>
        <w:rPr>
          <w:rFonts w:ascii="Calibri"/>
          <w:sz w:val="24"/>
        </w:rPr>
      </w:pPr>
    </w:p>
    <w:p>
      <w:pPr>
        <w:pStyle w:val="BodyText"/>
        <w:rPr>
          <w:rFonts w:ascii="Calibri"/>
          <w:sz w:val="24"/>
        </w:rPr>
      </w:pPr>
    </w:p>
    <w:p>
      <w:pPr>
        <w:pStyle w:val="BodyText"/>
        <w:rPr>
          <w:rFonts w:ascii="Calibri"/>
          <w:sz w:val="24"/>
        </w:rPr>
      </w:pPr>
    </w:p>
    <w:p>
      <w:pPr>
        <w:pStyle w:val="BodyText"/>
        <w:spacing w:before="1"/>
        <w:rPr>
          <w:rFonts w:ascii="Calibri"/>
          <w:sz w:val="26"/>
        </w:rPr>
      </w:pPr>
    </w:p>
    <w:p>
      <w:pPr>
        <w:tabs>
          <w:tab w:pos="2247" w:val="left" w:leader="none"/>
        </w:tabs>
        <w:spacing w:line="237" w:lineRule="auto" w:before="0"/>
        <w:ind w:left="2251" w:right="255" w:hanging="1136"/>
        <w:jc w:val="left"/>
        <w:rPr>
          <w:sz w:val="20"/>
        </w:rPr>
      </w:pPr>
      <w:r>
        <w:rPr>
          <w:color w:val="FF4644"/>
          <w:sz w:val="20"/>
        </w:rPr>
        <w:t>Resilience</w:t>
        <w:tab/>
      </w:r>
      <w:r>
        <w:rPr>
          <w:color w:val="DF3B56"/>
          <w:sz w:val="20"/>
        </w:rPr>
        <w:t>The </w:t>
      </w:r>
      <w:r>
        <w:rPr>
          <w:color w:val="FF234B"/>
          <w:sz w:val="20"/>
        </w:rPr>
        <w:t>phase </w:t>
      </w:r>
      <w:r>
        <w:rPr>
          <w:color w:val="AA5E4F"/>
          <w:sz w:val="20"/>
        </w:rPr>
        <w:t>before </w:t>
      </w:r>
      <w:r>
        <w:rPr>
          <w:color w:val="C63B50"/>
          <w:sz w:val="20"/>
        </w:rPr>
        <w:t>a </w:t>
      </w:r>
      <w:r>
        <w:rPr>
          <w:color w:val="F92F52"/>
          <w:sz w:val="20"/>
        </w:rPr>
        <w:t>flood </w:t>
      </w:r>
      <w:r>
        <w:rPr>
          <w:color w:val="AC7267"/>
          <w:sz w:val="20"/>
        </w:rPr>
        <w:t>involves </w:t>
      </w:r>
      <w:r>
        <w:rPr>
          <w:color w:val="FF3667"/>
          <w:sz w:val="20"/>
        </w:rPr>
        <w:t>activities </w:t>
      </w:r>
      <w:r>
        <w:rPr>
          <w:color w:val="FD2D60"/>
          <w:sz w:val="20"/>
        </w:rPr>
        <w:t>to </w:t>
      </w:r>
      <w:r>
        <w:rPr>
          <w:color w:val="A15D60"/>
          <w:sz w:val="20"/>
        </w:rPr>
        <w:t>reduce </w:t>
      </w:r>
      <w:r>
        <w:rPr>
          <w:color w:val="D3485D"/>
          <w:sz w:val="20"/>
        </w:rPr>
        <w:t>but </w:t>
      </w:r>
      <w:r>
        <w:rPr>
          <w:color w:val="E63B52"/>
          <w:sz w:val="20"/>
        </w:rPr>
        <w:t>not </w:t>
      </w:r>
      <w:r>
        <w:rPr>
          <w:color w:val="DD4D74"/>
          <w:sz w:val="20"/>
        </w:rPr>
        <w:t>necessarily </w:t>
      </w:r>
      <w:r>
        <w:rPr>
          <w:color w:val="B85654"/>
          <w:sz w:val="20"/>
        </w:rPr>
        <w:t>eliminate </w:t>
      </w:r>
      <w:r>
        <w:rPr>
          <w:color w:val="FF4975"/>
          <w:sz w:val="20"/>
        </w:rPr>
        <w:t>the </w:t>
      </w:r>
      <w:r>
        <w:rPr>
          <w:color w:val="D65738"/>
          <w:sz w:val="20"/>
        </w:rPr>
        <w:t>likelihood </w:t>
      </w:r>
      <w:r>
        <w:rPr>
          <w:color w:val="EF4D46"/>
          <w:sz w:val="20"/>
        </w:rPr>
        <w:t>of </w:t>
      </w:r>
      <w:r>
        <w:rPr>
          <w:color w:val="B66056"/>
          <w:sz w:val="20"/>
        </w:rPr>
        <w:t>flooding. </w:t>
      </w:r>
      <w:r>
        <w:rPr>
          <w:color w:val="B85B66"/>
          <w:sz w:val="20"/>
        </w:rPr>
        <w:t>For </w:t>
      </w:r>
      <w:r>
        <w:rPr>
          <w:color w:val="FF2111"/>
          <w:sz w:val="20"/>
        </w:rPr>
        <w:t>example, </w:t>
      </w:r>
      <w:r>
        <w:rPr>
          <w:color w:val="D1494D"/>
          <w:sz w:val="20"/>
        </w:rPr>
        <w:t>this </w:t>
      </w:r>
      <w:r>
        <w:rPr>
          <w:color w:val="DF3841"/>
          <w:sz w:val="20"/>
        </w:rPr>
        <w:t>can </w:t>
      </w:r>
      <w:r>
        <w:rPr>
          <w:color w:val="AF6B6D"/>
          <w:sz w:val="20"/>
        </w:rPr>
        <w:t>include </w:t>
      </w:r>
      <w:r>
        <w:rPr>
          <w:color w:val="F6283D"/>
          <w:sz w:val="20"/>
        </w:rPr>
        <w:t>capital </w:t>
      </w:r>
      <w:r>
        <w:rPr>
          <w:color w:val="DF4B56"/>
          <w:sz w:val="20"/>
        </w:rPr>
        <w:t>schemes, </w:t>
      </w:r>
      <w:r>
        <w:rPr>
          <w:color w:val="FF3B42"/>
          <w:sz w:val="20"/>
        </w:rPr>
        <w:t>asset </w:t>
      </w:r>
      <w:r>
        <w:rPr>
          <w:color w:val="BF595B"/>
          <w:sz w:val="20"/>
        </w:rPr>
        <w:t>maintenance, </w:t>
      </w:r>
      <w:r>
        <w:rPr>
          <w:color w:val="FF3B46"/>
          <w:sz w:val="20"/>
        </w:rPr>
        <w:t>flood </w:t>
      </w:r>
      <w:r>
        <w:rPr>
          <w:color w:val="B3603B"/>
          <w:sz w:val="20"/>
        </w:rPr>
        <w:t>warning, </w:t>
      </w:r>
      <w:r>
        <w:rPr>
          <w:color w:val="90676E"/>
          <w:sz w:val="20"/>
        </w:rPr>
        <w:t>preparedness, </w:t>
      </w:r>
      <w:r>
        <w:rPr>
          <w:color w:val="DD3F23"/>
          <w:sz w:val="20"/>
        </w:rPr>
        <w:t>planning </w:t>
      </w:r>
      <w:r>
        <w:rPr>
          <w:color w:val="9E3B3D"/>
          <w:sz w:val="20"/>
        </w:rPr>
        <w:t>and</w:t>
      </w:r>
      <w:r>
        <w:rPr>
          <w:color w:val="9E3B3D"/>
          <w:spacing w:val="17"/>
          <w:sz w:val="20"/>
        </w:rPr>
        <w:t> </w:t>
      </w:r>
      <w:r>
        <w:rPr>
          <w:color w:val="808080"/>
          <w:sz w:val="20"/>
        </w:rPr>
        <w:t>strategies.</w:t>
      </w:r>
    </w:p>
    <w:p>
      <w:pPr>
        <w:pStyle w:val="BodyText"/>
        <w:spacing w:before="2"/>
        <w:rPr>
          <w:sz w:val="21"/>
        </w:rPr>
      </w:pPr>
    </w:p>
    <w:p>
      <w:pPr>
        <w:tabs>
          <w:tab w:pos="2247" w:val="left" w:leader="none"/>
        </w:tabs>
        <w:spacing w:line="242" w:lineRule="auto" w:before="0"/>
        <w:ind w:left="2252" w:right="773" w:hanging="1137"/>
        <w:jc w:val="left"/>
        <w:rPr>
          <w:sz w:val="20"/>
        </w:rPr>
      </w:pPr>
      <w:r>
        <w:rPr>
          <w:color w:val="212121"/>
          <w:sz w:val="20"/>
        </w:rPr>
        <w:t>Response</w:t>
        <w:tab/>
      </w:r>
      <w:r>
        <w:rPr>
          <w:color w:val="343434"/>
          <w:sz w:val="20"/>
        </w:rPr>
        <w:t>The </w:t>
      </w:r>
      <w:r>
        <w:rPr>
          <w:color w:val="181818"/>
          <w:sz w:val="20"/>
        </w:rPr>
        <w:t>phase </w:t>
      </w:r>
      <w:r>
        <w:rPr>
          <w:color w:val="282828"/>
          <w:sz w:val="20"/>
        </w:rPr>
        <w:t>during </w:t>
      </w:r>
      <w:r>
        <w:rPr>
          <w:color w:val="2B2B2B"/>
          <w:sz w:val="20"/>
        </w:rPr>
        <w:t>a </w:t>
      </w:r>
      <w:r>
        <w:rPr>
          <w:color w:val="2A2A2A"/>
          <w:sz w:val="20"/>
        </w:rPr>
        <w:t>flood, </w:t>
      </w:r>
      <w:r>
        <w:rPr>
          <w:color w:val="212121"/>
          <w:sz w:val="20"/>
        </w:rPr>
        <w:t>which </w:t>
      </w:r>
      <w:r>
        <w:rPr>
          <w:color w:val="2B2B2B"/>
          <w:sz w:val="20"/>
        </w:rPr>
        <w:t>involves </w:t>
      </w:r>
      <w:r>
        <w:rPr>
          <w:color w:val="1A1A1A"/>
          <w:sz w:val="20"/>
        </w:rPr>
        <w:t>activities </w:t>
      </w:r>
      <w:r>
        <w:rPr>
          <w:color w:val="333333"/>
          <w:sz w:val="20"/>
        </w:rPr>
        <w:t>and </w:t>
      </w:r>
      <w:r>
        <w:rPr>
          <w:color w:val="212121"/>
          <w:sz w:val="20"/>
        </w:rPr>
        <w:t>responsibilities </w:t>
      </w:r>
      <w:r>
        <w:rPr>
          <w:color w:val="3D3D3D"/>
          <w:sz w:val="20"/>
        </w:rPr>
        <w:t>in </w:t>
      </w:r>
      <w:r>
        <w:rPr>
          <w:color w:val="2A2A2A"/>
          <w:sz w:val="20"/>
        </w:rPr>
        <w:t>coordinating </w:t>
      </w:r>
      <w:r>
        <w:rPr>
          <w:color w:val="282828"/>
          <w:sz w:val="20"/>
        </w:rPr>
        <w:t>an </w:t>
      </w:r>
      <w:r>
        <w:rPr>
          <w:color w:val="1C1C1C"/>
          <w:sz w:val="20"/>
        </w:rPr>
        <w:t>emergency. For </w:t>
      </w:r>
      <w:r>
        <w:rPr>
          <w:color w:val="1F1F1F"/>
          <w:sz w:val="20"/>
        </w:rPr>
        <w:t>example, </w:t>
      </w:r>
      <w:r>
        <w:rPr>
          <w:color w:val="2F2F2F"/>
          <w:sz w:val="20"/>
        </w:rPr>
        <w:t>this </w:t>
      </w:r>
      <w:r>
        <w:rPr>
          <w:color w:val="232323"/>
          <w:sz w:val="20"/>
        </w:rPr>
        <w:t>includes </w:t>
      </w:r>
      <w:r>
        <w:rPr>
          <w:color w:val="262626"/>
          <w:sz w:val="20"/>
        </w:rPr>
        <w:t>the </w:t>
      </w:r>
      <w:r>
        <w:rPr>
          <w:color w:val="181818"/>
          <w:sz w:val="20"/>
        </w:rPr>
        <w:t>mobilisation </w:t>
      </w:r>
      <w:r>
        <w:rPr>
          <w:color w:val="2D2D2D"/>
          <w:sz w:val="20"/>
        </w:rPr>
        <w:t>of </w:t>
      </w:r>
      <w:r>
        <w:rPr>
          <w:color w:val="262626"/>
          <w:sz w:val="20"/>
        </w:rPr>
        <w:t>emergency </w:t>
      </w:r>
      <w:r>
        <w:rPr>
          <w:color w:val="1F1F1F"/>
          <w:sz w:val="20"/>
        </w:rPr>
        <w:t>services, </w:t>
      </w:r>
      <w:r>
        <w:rPr>
          <w:color w:val="2F2F2F"/>
          <w:sz w:val="20"/>
        </w:rPr>
        <w:t>rapid </w:t>
      </w:r>
      <w:r>
        <w:rPr>
          <w:color w:val="1F1F1F"/>
          <w:sz w:val="20"/>
        </w:rPr>
        <w:t>response, </w:t>
      </w:r>
      <w:r>
        <w:rPr>
          <w:color w:val="212121"/>
          <w:sz w:val="20"/>
        </w:rPr>
        <w:t>evacuation </w:t>
      </w:r>
      <w:r>
        <w:rPr>
          <w:color w:val="1F1F1F"/>
          <w:sz w:val="20"/>
        </w:rPr>
        <w:t>and sand</w:t>
      </w:r>
      <w:r>
        <w:rPr>
          <w:color w:val="1F1F1F"/>
          <w:spacing w:val="-4"/>
          <w:sz w:val="20"/>
        </w:rPr>
        <w:t> </w:t>
      </w:r>
      <w:r>
        <w:rPr>
          <w:color w:val="242424"/>
          <w:sz w:val="20"/>
        </w:rPr>
        <w:t>bagging.</w:t>
      </w:r>
    </w:p>
    <w:p>
      <w:pPr>
        <w:pStyle w:val="BodyText"/>
        <w:spacing w:before="9"/>
        <w:rPr>
          <w:sz w:val="20"/>
        </w:rPr>
      </w:pPr>
    </w:p>
    <w:p>
      <w:pPr>
        <w:tabs>
          <w:tab w:pos="2247" w:val="left" w:leader="none"/>
        </w:tabs>
        <w:spacing w:line="242" w:lineRule="auto" w:before="0"/>
        <w:ind w:left="2250" w:right="336" w:hanging="1134"/>
        <w:jc w:val="left"/>
        <w:rPr>
          <w:sz w:val="20"/>
        </w:rPr>
      </w:pPr>
      <w:r>
        <w:rPr>
          <w:color w:val="2D2D2D"/>
          <w:sz w:val="20"/>
        </w:rPr>
        <w:t>Recovery</w:t>
        <w:tab/>
      </w:r>
      <w:r>
        <w:rPr>
          <w:color w:val="2A2A2A"/>
          <w:sz w:val="20"/>
        </w:rPr>
        <w:t>The </w:t>
      </w:r>
      <w:r>
        <w:rPr>
          <w:color w:val="2B2B2B"/>
          <w:sz w:val="20"/>
        </w:rPr>
        <w:t>phase </w:t>
      </w:r>
      <w:r>
        <w:rPr>
          <w:color w:val="2A2A2A"/>
          <w:sz w:val="20"/>
        </w:rPr>
        <w:t>after a </w:t>
      </w:r>
      <w:r>
        <w:rPr>
          <w:color w:val="1C1C1C"/>
          <w:sz w:val="20"/>
        </w:rPr>
        <w:t>flood </w:t>
      </w:r>
      <w:r>
        <w:rPr>
          <w:color w:val="2A2A2A"/>
          <w:sz w:val="20"/>
        </w:rPr>
        <w:t>involves </w:t>
      </w:r>
      <w:r>
        <w:rPr>
          <w:color w:val="212121"/>
          <w:sz w:val="20"/>
        </w:rPr>
        <w:t>activities </w:t>
      </w:r>
      <w:r>
        <w:rPr>
          <w:color w:val="232323"/>
          <w:sz w:val="20"/>
        </w:rPr>
        <w:t>and </w:t>
      </w:r>
      <w:r>
        <w:rPr>
          <w:color w:val="1F1F1F"/>
          <w:sz w:val="20"/>
        </w:rPr>
        <w:t>responsibilities </w:t>
      </w:r>
      <w:r>
        <w:rPr>
          <w:color w:val="1C1C1C"/>
          <w:sz w:val="20"/>
        </w:rPr>
        <w:t>to </w:t>
      </w:r>
      <w:r>
        <w:rPr>
          <w:color w:val="262626"/>
          <w:sz w:val="20"/>
        </w:rPr>
        <w:t>reinstate </w:t>
      </w:r>
      <w:r>
        <w:rPr>
          <w:color w:val="161616"/>
          <w:sz w:val="20"/>
        </w:rPr>
        <w:t>conditions </w:t>
      </w:r>
      <w:r>
        <w:rPr>
          <w:color w:val="333333"/>
          <w:sz w:val="20"/>
        </w:rPr>
        <w:t>prior </w:t>
      </w:r>
      <w:r>
        <w:rPr>
          <w:color w:val="282828"/>
          <w:sz w:val="20"/>
        </w:rPr>
        <w:t>to </w:t>
      </w:r>
      <w:r>
        <w:rPr>
          <w:color w:val="3B3B3B"/>
          <w:sz w:val="20"/>
        </w:rPr>
        <w:t>a </w:t>
      </w:r>
      <w:r>
        <w:rPr>
          <w:color w:val="262626"/>
          <w:sz w:val="20"/>
        </w:rPr>
        <w:t>flood </w:t>
      </w:r>
      <w:r>
        <w:rPr>
          <w:color w:val="161616"/>
          <w:sz w:val="20"/>
        </w:rPr>
        <w:t>emergency. </w:t>
      </w:r>
      <w:r>
        <w:rPr>
          <w:color w:val="242424"/>
          <w:sz w:val="20"/>
        </w:rPr>
        <w:t>For </w:t>
      </w:r>
      <w:r>
        <w:rPr>
          <w:color w:val="232323"/>
          <w:sz w:val="20"/>
        </w:rPr>
        <w:t>example, </w:t>
      </w:r>
      <w:r>
        <w:rPr>
          <w:color w:val="1F1F1F"/>
          <w:sz w:val="20"/>
        </w:rPr>
        <w:t>this </w:t>
      </w:r>
      <w:r>
        <w:rPr>
          <w:color w:val="181818"/>
          <w:sz w:val="20"/>
        </w:rPr>
        <w:t>includes </w:t>
      </w:r>
      <w:r>
        <w:rPr>
          <w:color w:val="2A2A2A"/>
          <w:sz w:val="20"/>
        </w:rPr>
        <w:t>the </w:t>
      </w:r>
      <w:r>
        <w:rPr>
          <w:color w:val="0C0C0C"/>
          <w:sz w:val="20"/>
        </w:rPr>
        <w:t>reconstruction </w:t>
      </w:r>
      <w:r>
        <w:rPr>
          <w:color w:val="2F2F2F"/>
          <w:sz w:val="20"/>
        </w:rPr>
        <w:t>of </w:t>
      </w:r>
      <w:r>
        <w:rPr>
          <w:color w:val="0F0F0F"/>
          <w:sz w:val="20"/>
        </w:rPr>
        <w:t>physical </w:t>
      </w:r>
      <w:r>
        <w:rPr>
          <w:color w:val="181818"/>
          <w:sz w:val="20"/>
        </w:rPr>
        <w:t>infrastructure </w:t>
      </w:r>
      <w:r>
        <w:rPr>
          <w:color w:val="2D2D2D"/>
          <w:sz w:val="20"/>
        </w:rPr>
        <w:t>and </w:t>
      </w:r>
      <w:r>
        <w:rPr>
          <w:color w:val="232323"/>
          <w:sz w:val="20"/>
        </w:rPr>
        <w:t>restoration </w:t>
      </w:r>
      <w:r>
        <w:rPr>
          <w:color w:val="2D2D2D"/>
          <w:sz w:val="20"/>
        </w:rPr>
        <w:t>of </w:t>
      </w:r>
      <w:r>
        <w:rPr>
          <w:color w:val="1F1F1F"/>
          <w:sz w:val="20"/>
        </w:rPr>
        <w:t>social, </w:t>
      </w:r>
      <w:r>
        <w:rPr>
          <w:sz w:val="20"/>
        </w:rPr>
        <w:t>economic, </w:t>
      </w:r>
      <w:r>
        <w:rPr>
          <w:color w:val="1A1A1A"/>
          <w:sz w:val="20"/>
        </w:rPr>
        <w:t>physical </w:t>
      </w:r>
      <w:r>
        <w:rPr>
          <w:color w:val="2F2F2F"/>
          <w:sz w:val="20"/>
        </w:rPr>
        <w:t>and </w:t>
      </w:r>
      <w:r>
        <w:rPr>
          <w:color w:val="232323"/>
          <w:sz w:val="20"/>
        </w:rPr>
        <w:t>emotional</w:t>
      </w:r>
      <w:r>
        <w:rPr>
          <w:color w:val="232323"/>
          <w:spacing w:val="-28"/>
          <w:sz w:val="20"/>
        </w:rPr>
        <w:t> </w:t>
      </w:r>
      <w:r>
        <w:rPr>
          <w:color w:val="1F1F1F"/>
          <w:sz w:val="20"/>
        </w:rPr>
        <w:t>well-being.</w:t>
      </w:r>
    </w:p>
    <w:p>
      <w:pPr>
        <w:pStyle w:val="Heading3"/>
        <w:spacing w:line="254" w:lineRule="auto" w:before="162"/>
        <w:ind w:left="992" w:right="134" w:firstLine="6"/>
      </w:pPr>
      <w:r>
        <w:rPr>
          <w:w w:val="95"/>
        </w:rPr>
        <w:t>The flood risk management activities detailed above are implemented through a programme of measures</w:t>
      </w:r>
      <w:r>
        <w:rPr>
          <w:spacing w:val="-24"/>
          <w:w w:val="95"/>
        </w:rPr>
        <w:t> </w:t>
      </w:r>
      <w:r>
        <w:rPr>
          <w:w w:val="95"/>
        </w:rPr>
        <w:t>developed</w:t>
      </w:r>
      <w:r>
        <w:rPr>
          <w:spacing w:val="-23"/>
          <w:w w:val="95"/>
        </w:rPr>
        <w:t> </w:t>
      </w:r>
      <w:r>
        <w:rPr>
          <w:w w:val="95"/>
        </w:rPr>
        <w:t>by</w:t>
      </w:r>
      <w:r>
        <w:rPr>
          <w:spacing w:val="-33"/>
          <w:w w:val="95"/>
        </w:rPr>
        <w:t> </w:t>
      </w:r>
      <w:r>
        <w:rPr>
          <w:w w:val="95"/>
        </w:rPr>
        <w:t>the</w:t>
      </w:r>
      <w:r>
        <w:rPr>
          <w:spacing w:val="-33"/>
          <w:w w:val="95"/>
        </w:rPr>
        <w:t> </w:t>
      </w:r>
      <w:r>
        <w:rPr>
          <w:w w:val="95"/>
        </w:rPr>
        <w:t>Council.</w:t>
      </w:r>
      <w:r>
        <w:rPr>
          <w:spacing w:val="-19"/>
          <w:w w:val="95"/>
        </w:rPr>
        <w:t> </w:t>
      </w:r>
      <w:r>
        <w:rPr>
          <w:w w:val="95"/>
        </w:rPr>
        <w:t>This</w:t>
      </w:r>
      <w:r>
        <w:rPr>
          <w:spacing w:val="-28"/>
          <w:w w:val="95"/>
        </w:rPr>
        <w:t> </w:t>
      </w:r>
      <w:r>
        <w:rPr>
          <w:w w:val="95"/>
        </w:rPr>
        <w:t>list</w:t>
      </w:r>
      <w:r>
        <w:rPr>
          <w:spacing w:val="-30"/>
          <w:w w:val="95"/>
        </w:rPr>
        <w:t> </w:t>
      </w:r>
      <w:r>
        <w:rPr>
          <w:w w:val="95"/>
        </w:rPr>
        <w:t>of</w:t>
      </w:r>
      <w:r>
        <w:rPr>
          <w:spacing w:val="-31"/>
          <w:w w:val="95"/>
        </w:rPr>
        <w:t> </w:t>
      </w:r>
      <w:r>
        <w:rPr>
          <w:w w:val="95"/>
        </w:rPr>
        <w:t>measures</w:t>
      </w:r>
      <w:r>
        <w:rPr>
          <w:spacing w:val="-28"/>
          <w:w w:val="95"/>
        </w:rPr>
        <w:t> </w:t>
      </w:r>
      <w:r>
        <w:rPr>
          <w:w w:val="95"/>
        </w:rPr>
        <w:t>comprises</w:t>
      </w:r>
      <w:r>
        <w:rPr>
          <w:spacing w:val="-24"/>
          <w:w w:val="95"/>
        </w:rPr>
        <w:t> </w:t>
      </w:r>
      <w:r>
        <w:rPr>
          <w:w w:val="95"/>
        </w:rPr>
        <w:t>policies</w:t>
      </w:r>
      <w:r>
        <w:rPr>
          <w:spacing w:val="-25"/>
          <w:w w:val="95"/>
        </w:rPr>
        <w:t> </w:t>
      </w:r>
      <w:r>
        <w:rPr>
          <w:w w:val="95"/>
        </w:rPr>
        <w:t>and</w:t>
      </w:r>
      <w:r>
        <w:rPr>
          <w:spacing w:val="-30"/>
          <w:w w:val="95"/>
        </w:rPr>
        <w:t> </w:t>
      </w:r>
      <w:r>
        <w:rPr>
          <w:w w:val="95"/>
        </w:rPr>
        <w:t>schemes</w:t>
      </w:r>
      <w:r>
        <w:rPr>
          <w:spacing w:val="-27"/>
          <w:w w:val="95"/>
        </w:rPr>
        <w:t> </w:t>
      </w:r>
      <w:r>
        <w:rPr>
          <w:w w:val="95"/>
        </w:rPr>
        <w:t>that</w:t>
      </w:r>
      <w:r>
        <w:rPr>
          <w:spacing w:val="-25"/>
          <w:w w:val="95"/>
        </w:rPr>
        <w:t> </w:t>
      </w:r>
      <w:r>
        <w:rPr>
          <w:w w:val="95"/>
        </w:rPr>
        <w:t>aim </w:t>
      </w:r>
      <w:r>
        <w:rPr/>
        <w:t>to address flooding across Leeds</w:t>
      </w:r>
      <w:r>
        <w:rPr>
          <w:spacing w:val="5"/>
        </w:rPr>
        <w:t> </w:t>
      </w:r>
      <w:r>
        <w:rPr/>
        <w:t>district.</w:t>
      </w:r>
    </w:p>
    <w:p>
      <w:pPr>
        <w:spacing w:after="0" w:line="254" w:lineRule="auto"/>
        <w:sectPr>
          <w:pgSz w:w="11920" w:h="16840"/>
          <w:pgMar w:header="0" w:footer="1246" w:top="1580" w:bottom="1420" w:left="420" w:right="640"/>
        </w:sectPr>
      </w:pPr>
    </w:p>
    <w:p>
      <w:pPr>
        <w:pStyle w:val="BodyText"/>
        <w:rPr>
          <w:sz w:val="20"/>
        </w:rPr>
      </w:pPr>
    </w:p>
    <w:p>
      <w:pPr>
        <w:pStyle w:val="BodyText"/>
        <w:rPr>
          <w:sz w:val="20"/>
        </w:rPr>
      </w:pPr>
    </w:p>
    <w:p>
      <w:pPr>
        <w:pStyle w:val="BodyText"/>
        <w:rPr>
          <w:sz w:val="20"/>
        </w:rPr>
      </w:pPr>
    </w:p>
    <w:p>
      <w:pPr>
        <w:pStyle w:val="BodyText"/>
        <w:spacing w:before="11"/>
        <w:rPr>
          <w:sz w:val="28"/>
        </w:rPr>
      </w:pPr>
    </w:p>
    <w:p>
      <w:pPr>
        <w:pStyle w:val="ListParagraph"/>
        <w:numPr>
          <w:ilvl w:val="1"/>
          <w:numId w:val="11"/>
        </w:numPr>
        <w:tabs>
          <w:tab w:pos="978" w:val="left" w:leader="none"/>
          <w:tab w:pos="979" w:val="left" w:leader="none"/>
        </w:tabs>
        <w:spacing w:line="240" w:lineRule="auto" w:before="91" w:after="0"/>
        <w:ind w:left="978" w:right="0" w:hanging="855"/>
        <w:jc w:val="left"/>
        <w:rPr>
          <w:sz w:val="28"/>
        </w:rPr>
      </w:pPr>
      <w:r>
        <w:rPr/>
        <w:pict>
          <v:group style="position:absolute;margin-left:123.349602pt;margin-top:-50.712536pt;width:5.3pt;height:35.050pt;mso-position-horizontal-relative:page;mso-position-vertical-relative:paragraph;z-index:2512" coordorigin="2467,-1014" coordsize="106,701">
            <v:shape style="position:absolute;left:2467;top:-1015;width:106;height:48" type="#_x0000_t75" stroked="false">
              <v:imagedata r:id="rId14" o:title=""/>
            </v:shape>
            <v:shape style="position:absolute;left:2486;top:-352;width:87;height:39" type="#_x0000_t75" stroked="false">
              <v:imagedata r:id="rId15" o:title=""/>
            </v:shape>
            <v:line style="position:absolute" from="2515,-1014" to="2515,-323" stroked="true" strokeweight="4.799592pt" strokecolor="#ff6477">
              <v:stroke dashstyle="solid"/>
            </v:line>
            <w10:wrap type="none"/>
          </v:group>
        </w:pict>
      </w:r>
      <w:bookmarkStart w:name="Leeds LFRMS 2018 Update_Page_33" w:id="44"/>
      <w:bookmarkEnd w:id="44"/>
      <w:r>
        <w:rPr/>
      </w:r>
      <w:bookmarkStart w:name="Leeds LFRMS 2018 Update_Page_33" w:id="45"/>
      <w:bookmarkEnd w:id="45"/>
      <w:r>
        <w:rPr>
          <w:sz w:val="28"/>
        </w:rPr>
        <w:t>PRIORITISATIO</w:t>
      </w:r>
      <w:r>
        <w:rPr>
          <w:sz w:val="28"/>
        </w:rPr>
        <w:t>N OF</w:t>
      </w:r>
      <w:r>
        <w:rPr>
          <w:spacing w:val="-1"/>
          <w:sz w:val="28"/>
        </w:rPr>
        <w:t> </w:t>
      </w:r>
      <w:r>
        <w:rPr>
          <w:sz w:val="28"/>
        </w:rPr>
        <w:t>MEASURES</w:t>
      </w:r>
    </w:p>
    <w:p>
      <w:pPr>
        <w:pStyle w:val="BodyText"/>
        <w:spacing w:line="264" w:lineRule="auto" w:before="156"/>
        <w:ind w:left="975" w:right="221" w:firstLine="7"/>
      </w:pPr>
      <w:r>
        <w:rPr/>
        <w:t>Measures have been prioritised following the approach set out in the previous iteration of this strategy.</w:t>
      </w:r>
      <w:r>
        <w:rPr>
          <w:spacing w:val="-21"/>
        </w:rPr>
        <w:t> </w:t>
      </w:r>
      <w:r>
        <w:rPr/>
        <w:t>Prioritisation</w:t>
      </w:r>
      <w:r>
        <w:rPr>
          <w:spacing w:val="-36"/>
        </w:rPr>
        <w:t> </w:t>
      </w:r>
      <w:r>
        <w:rPr/>
        <w:t>is</w:t>
      </w:r>
      <w:r>
        <w:rPr>
          <w:spacing w:val="-36"/>
        </w:rPr>
        <w:t> </w:t>
      </w:r>
      <w:r>
        <w:rPr/>
        <w:t>based</w:t>
      </w:r>
      <w:r>
        <w:rPr>
          <w:spacing w:val="-24"/>
        </w:rPr>
        <w:t> </w:t>
      </w:r>
      <w:r>
        <w:rPr/>
        <w:t>upon</w:t>
      </w:r>
      <w:r>
        <w:rPr>
          <w:spacing w:val="-31"/>
        </w:rPr>
        <w:t> </w:t>
      </w:r>
      <w:r>
        <w:rPr/>
        <w:t>local</w:t>
      </w:r>
      <w:r>
        <w:rPr>
          <w:spacing w:val="-32"/>
        </w:rPr>
        <w:t> </w:t>
      </w:r>
      <w:r>
        <w:rPr/>
        <w:t>knowledge</w:t>
      </w:r>
      <w:r>
        <w:rPr>
          <w:spacing w:val="-21"/>
        </w:rPr>
        <w:t> </w:t>
      </w:r>
      <w:r>
        <w:rPr/>
        <w:t>of</w:t>
      </w:r>
      <w:r>
        <w:rPr>
          <w:spacing w:val="-30"/>
        </w:rPr>
        <w:t> </w:t>
      </w:r>
      <w:r>
        <w:rPr/>
        <w:t>flood</w:t>
      </w:r>
      <w:r>
        <w:rPr>
          <w:spacing w:val="-31"/>
        </w:rPr>
        <w:t> </w:t>
      </w:r>
      <w:r>
        <w:rPr/>
        <w:t>risk</w:t>
      </w:r>
      <w:r>
        <w:rPr>
          <w:spacing w:val="-31"/>
        </w:rPr>
        <w:t> </w:t>
      </w:r>
      <w:r>
        <w:rPr/>
        <w:t>in</w:t>
      </w:r>
      <w:r>
        <w:rPr>
          <w:spacing w:val="-30"/>
        </w:rPr>
        <w:t> </w:t>
      </w:r>
      <w:r>
        <w:rPr/>
        <w:t>Leeds</w:t>
      </w:r>
      <w:r>
        <w:rPr>
          <w:spacing w:val="-31"/>
        </w:rPr>
        <w:t> </w:t>
      </w:r>
      <w:r>
        <w:rPr/>
        <w:t>held</w:t>
      </w:r>
      <w:r>
        <w:rPr>
          <w:spacing w:val="-26"/>
        </w:rPr>
        <w:t> </w:t>
      </w:r>
      <w:r>
        <w:rPr/>
        <w:t>by</w:t>
      </w:r>
      <w:r>
        <w:rPr>
          <w:spacing w:val="-32"/>
        </w:rPr>
        <w:t> </w:t>
      </w:r>
      <w:r>
        <w:rPr/>
        <w:t>the</w:t>
      </w:r>
      <w:r>
        <w:rPr>
          <w:spacing w:val="-32"/>
        </w:rPr>
        <w:t> </w:t>
      </w:r>
      <w:r>
        <w:rPr/>
        <w:t>Council</w:t>
      </w:r>
      <w:r>
        <w:rPr>
          <w:spacing w:val="-24"/>
        </w:rPr>
        <w:t> </w:t>
      </w:r>
      <w:r>
        <w:rPr/>
        <w:t>and its partner organisations. A priority has been assigned to each measure, which relates to the timescale</w:t>
      </w:r>
      <w:r>
        <w:rPr>
          <w:spacing w:val="-7"/>
        </w:rPr>
        <w:t> </w:t>
      </w:r>
      <w:r>
        <w:rPr/>
        <w:t>in</w:t>
      </w:r>
      <w:r>
        <w:rPr>
          <w:spacing w:val="-14"/>
        </w:rPr>
        <w:t> </w:t>
      </w:r>
      <w:r>
        <w:rPr/>
        <w:t>which</w:t>
      </w:r>
      <w:r>
        <w:rPr>
          <w:spacing w:val="-13"/>
        </w:rPr>
        <w:t> </w:t>
      </w:r>
      <w:r>
        <w:rPr/>
        <w:t>the</w:t>
      </w:r>
      <w:r>
        <w:rPr>
          <w:spacing w:val="-11"/>
        </w:rPr>
        <w:t> </w:t>
      </w:r>
      <w:r>
        <w:rPr/>
        <w:t>measures</w:t>
      </w:r>
      <w:r>
        <w:rPr>
          <w:spacing w:val="1"/>
        </w:rPr>
        <w:t> </w:t>
      </w:r>
      <w:r>
        <w:rPr/>
        <w:t>are</w:t>
      </w:r>
      <w:r>
        <w:rPr>
          <w:spacing w:val="-13"/>
        </w:rPr>
        <w:t> </w:t>
      </w:r>
      <w:r>
        <w:rPr/>
        <w:t>delivered,</w:t>
      </w:r>
      <w:r>
        <w:rPr>
          <w:spacing w:val="-1"/>
        </w:rPr>
        <w:t> </w:t>
      </w:r>
      <w:r>
        <w:rPr/>
        <w:t>reviewed,</w:t>
      </w:r>
      <w:r>
        <w:rPr>
          <w:spacing w:val="5"/>
        </w:rPr>
        <w:t> </w:t>
      </w:r>
      <w:r>
        <w:rPr/>
        <w:t>or</w:t>
      </w:r>
      <w:r>
        <w:rPr>
          <w:spacing w:val="-17"/>
        </w:rPr>
        <w:t> </w:t>
      </w:r>
      <w:r>
        <w:rPr/>
        <w:t>where</w:t>
      </w:r>
      <w:r>
        <w:rPr>
          <w:spacing w:val="-16"/>
        </w:rPr>
        <w:t> </w:t>
      </w:r>
      <w:r>
        <w:rPr/>
        <w:t>necessary,</w:t>
      </w:r>
      <w:r>
        <w:rPr>
          <w:spacing w:val="4"/>
        </w:rPr>
        <w:t> </w:t>
      </w:r>
      <w:r>
        <w:rPr/>
        <w:t>both.</w:t>
      </w:r>
    </w:p>
    <w:p>
      <w:pPr>
        <w:pStyle w:val="ListParagraph"/>
        <w:numPr>
          <w:ilvl w:val="2"/>
          <w:numId w:val="11"/>
        </w:numPr>
        <w:tabs>
          <w:tab w:pos="1404" w:val="left" w:leader="none"/>
        </w:tabs>
        <w:spacing w:line="240" w:lineRule="auto" w:before="123" w:after="0"/>
        <w:ind w:left="1403" w:right="0" w:hanging="272"/>
        <w:jc w:val="left"/>
        <w:rPr>
          <w:color w:val="EF2F26"/>
          <w:sz w:val="23"/>
        </w:rPr>
      </w:pPr>
      <w:r>
        <w:rPr>
          <w:sz w:val="23"/>
        </w:rPr>
        <w:t>High (1-2</w:t>
      </w:r>
      <w:r>
        <w:rPr>
          <w:spacing w:val="4"/>
          <w:sz w:val="23"/>
        </w:rPr>
        <w:t> </w:t>
      </w:r>
      <w:r>
        <w:rPr>
          <w:sz w:val="23"/>
        </w:rPr>
        <w:t>years),</w:t>
      </w:r>
    </w:p>
    <w:p>
      <w:pPr>
        <w:pStyle w:val="ListParagraph"/>
        <w:numPr>
          <w:ilvl w:val="2"/>
          <w:numId w:val="11"/>
        </w:numPr>
        <w:tabs>
          <w:tab w:pos="1405" w:val="left" w:leader="none"/>
        </w:tabs>
        <w:spacing w:line="240" w:lineRule="auto" w:before="24" w:after="0"/>
        <w:ind w:left="1405" w:right="0" w:hanging="274"/>
        <w:jc w:val="left"/>
        <w:rPr>
          <w:color w:val="E2421C"/>
          <w:sz w:val="23"/>
        </w:rPr>
      </w:pPr>
      <w:r>
        <w:rPr>
          <w:sz w:val="23"/>
        </w:rPr>
        <w:t>Medium (2-5 years), i.e. within the lifetime of the strategy,</w:t>
      </w:r>
      <w:r>
        <w:rPr>
          <w:spacing w:val="8"/>
          <w:sz w:val="23"/>
        </w:rPr>
        <w:t> </w:t>
      </w:r>
      <w:r>
        <w:rPr>
          <w:sz w:val="23"/>
        </w:rPr>
        <w:t>and</w:t>
      </w:r>
    </w:p>
    <w:p>
      <w:pPr>
        <w:pStyle w:val="ListParagraph"/>
        <w:numPr>
          <w:ilvl w:val="2"/>
          <w:numId w:val="11"/>
        </w:numPr>
        <w:tabs>
          <w:tab w:pos="1406" w:val="left" w:leader="none"/>
        </w:tabs>
        <w:spacing w:line="240" w:lineRule="auto" w:before="23" w:after="0"/>
        <w:ind w:left="1405" w:right="0" w:hanging="274"/>
        <w:jc w:val="left"/>
        <w:rPr>
          <w:color w:val="F93834"/>
          <w:sz w:val="23"/>
        </w:rPr>
      </w:pPr>
      <w:r>
        <w:rPr>
          <w:sz w:val="23"/>
        </w:rPr>
        <w:t>Low</w:t>
      </w:r>
      <w:r>
        <w:rPr>
          <w:spacing w:val="-7"/>
          <w:sz w:val="23"/>
        </w:rPr>
        <w:t> </w:t>
      </w:r>
      <w:r>
        <w:rPr>
          <w:sz w:val="23"/>
        </w:rPr>
        <w:t>priority</w:t>
      </w:r>
      <w:r>
        <w:rPr>
          <w:spacing w:val="1"/>
          <w:sz w:val="23"/>
        </w:rPr>
        <w:t> </w:t>
      </w:r>
      <w:r>
        <w:rPr>
          <w:sz w:val="23"/>
        </w:rPr>
        <w:t>(&gt;5</w:t>
      </w:r>
      <w:r>
        <w:rPr>
          <w:spacing w:val="-10"/>
          <w:sz w:val="23"/>
        </w:rPr>
        <w:t> </w:t>
      </w:r>
      <w:r>
        <w:rPr>
          <w:sz w:val="23"/>
        </w:rPr>
        <w:t>years, to</w:t>
      </w:r>
      <w:r>
        <w:rPr>
          <w:spacing w:val="-17"/>
          <w:sz w:val="23"/>
        </w:rPr>
        <w:t> </w:t>
      </w:r>
      <w:r>
        <w:rPr>
          <w:sz w:val="23"/>
        </w:rPr>
        <w:t>be</w:t>
      </w:r>
      <w:r>
        <w:rPr>
          <w:spacing w:val="-10"/>
          <w:sz w:val="23"/>
        </w:rPr>
        <w:t> </w:t>
      </w:r>
      <w:r>
        <w:rPr>
          <w:sz w:val="23"/>
        </w:rPr>
        <w:t>carried</w:t>
      </w:r>
      <w:r>
        <w:rPr>
          <w:spacing w:val="-2"/>
          <w:sz w:val="23"/>
        </w:rPr>
        <w:t> </w:t>
      </w:r>
      <w:r>
        <w:rPr>
          <w:sz w:val="23"/>
        </w:rPr>
        <w:t>forward</w:t>
      </w:r>
      <w:r>
        <w:rPr>
          <w:spacing w:val="3"/>
          <w:sz w:val="23"/>
        </w:rPr>
        <w:t> </w:t>
      </w:r>
      <w:r>
        <w:rPr>
          <w:sz w:val="23"/>
        </w:rPr>
        <w:t>for</w:t>
      </w:r>
      <w:r>
        <w:rPr>
          <w:spacing w:val="-11"/>
          <w:sz w:val="23"/>
        </w:rPr>
        <w:t> </w:t>
      </w:r>
      <w:r>
        <w:rPr>
          <w:sz w:val="23"/>
        </w:rPr>
        <w:t>review</w:t>
      </w:r>
      <w:r>
        <w:rPr>
          <w:spacing w:val="5"/>
          <w:sz w:val="23"/>
        </w:rPr>
        <w:t> </w:t>
      </w:r>
      <w:r>
        <w:rPr>
          <w:sz w:val="23"/>
        </w:rPr>
        <w:t>in</w:t>
      </w:r>
      <w:r>
        <w:rPr>
          <w:spacing w:val="-10"/>
          <w:sz w:val="23"/>
        </w:rPr>
        <w:t> </w:t>
      </w:r>
      <w:r>
        <w:rPr>
          <w:sz w:val="23"/>
        </w:rPr>
        <w:t>the</w:t>
      </w:r>
      <w:r>
        <w:rPr>
          <w:spacing w:val="-4"/>
          <w:sz w:val="23"/>
        </w:rPr>
        <w:t> </w:t>
      </w:r>
      <w:r>
        <w:rPr>
          <w:sz w:val="23"/>
        </w:rPr>
        <w:t>next</w:t>
      </w:r>
      <w:r>
        <w:rPr>
          <w:spacing w:val="-8"/>
          <w:sz w:val="23"/>
        </w:rPr>
        <w:t> </w:t>
      </w:r>
      <w:r>
        <w:rPr>
          <w:sz w:val="23"/>
        </w:rPr>
        <w:t>strategy.</w:t>
      </w:r>
    </w:p>
    <w:p>
      <w:pPr>
        <w:pStyle w:val="BodyText"/>
        <w:spacing w:line="266" w:lineRule="auto" w:before="148"/>
        <w:ind w:left="975" w:right="221" w:firstLine="7"/>
      </w:pPr>
      <w:r>
        <w:rPr/>
        <w:t>Prioritisation</w:t>
      </w:r>
      <w:r>
        <w:rPr>
          <w:spacing w:val="-33"/>
        </w:rPr>
        <w:t> </w:t>
      </w:r>
      <w:r>
        <w:rPr/>
        <w:t>for</w:t>
      </w:r>
      <w:r>
        <w:rPr>
          <w:spacing w:val="-35"/>
        </w:rPr>
        <w:t> </w:t>
      </w:r>
      <w:r>
        <w:rPr/>
        <w:t>the</w:t>
      </w:r>
      <w:r>
        <w:rPr>
          <w:spacing w:val="-35"/>
        </w:rPr>
        <w:t> </w:t>
      </w:r>
      <w:r>
        <w:rPr/>
        <w:t>previous</w:t>
      </w:r>
      <w:r>
        <w:rPr>
          <w:spacing w:val="-28"/>
        </w:rPr>
        <w:t> </w:t>
      </w:r>
      <w:r>
        <w:rPr/>
        <w:t>strategy</w:t>
      </w:r>
      <w:r>
        <w:rPr>
          <w:spacing w:val="-27"/>
        </w:rPr>
        <w:t> </w:t>
      </w:r>
      <w:r>
        <w:rPr/>
        <w:t>took</w:t>
      </w:r>
      <w:r>
        <w:rPr>
          <w:spacing w:val="-35"/>
        </w:rPr>
        <w:t> </w:t>
      </w:r>
      <w:r>
        <w:rPr/>
        <w:t>place</w:t>
      </w:r>
      <w:r>
        <w:rPr>
          <w:spacing w:val="-33"/>
        </w:rPr>
        <w:t> </w:t>
      </w:r>
      <w:r>
        <w:rPr/>
        <w:t>for</w:t>
      </w:r>
      <w:r>
        <w:rPr>
          <w:spacing w:val="-34"/>
        </w:rPr>
        <w:t> </w:t>
      </w:r>
      <w:r>
        <w:rPr/>
        <w:t>the</w:t>
      </w:r>
      <w:r>
        <w:rPr>
          <w:spacing w:val="-31"/>
        </w:rPr>
        <w:t> </w:t>
      </w:r>
      <w:r>
        <w:rPr/>
        <w:t>2012</w:t>
      </w:r>
      <w:r>
        <w:rPr>
          <w:spacing w:val="-34"/>
        </w:rPr>
        <w:t> </w:t>
      </w:r>
      <w:r>
        <w:rPr/>
        <w:t>to</w:t>
      </w:r>
      <w:r>
        <w:rPr>
          <w:spacing w:val="-33"/>
        </w:rPr>
        <w:t> </w:t>
      </w:r>
      <w:r>
        <w:rPr/>
        <w:t>2018</w:t>
      </w:r>
      <w:r>
        <w:rPr>
          <w:spacing w:val="-30"/>
        </w:rPr>
        <w:t> </w:t>
      </w:r>
      <w:r>
        <w:rPr/>
        <w:t>LFRMS</w:t>
      </w:r>
      <w:r>
        <w:rPr>
          <w:spacing w:val="-29"/>
        </w:rPr>
        <w:t> </w:t>
      </w:r>
      <w:r>
        <w:rPr/>
        <w:t>review</w:t>
      </w:r>
      <w:r>
        <w:rPr>
          <w:spacing w:val="-21"/>
        </w:rPr>
        <w:t> </w:t>
      </w:r>
      <w:r>
        <w:rPr/>
        <w:t>cycle,</w:t>
      </w:r>
      <w:r>
        <w:rPr>
          <w:spacing w:val="-27"/>
        </w:rPr>
        <w:t> </w:t>
      </w:r>
      <w:r>
        <w:rPr/>
        <w:t>whilst the</w:t>
      </w:r>
      <w:r>
        <w:rPr>
          <w:spacing w:val="-29"/>
        </w:rPr>
        <w:t> </w:t>
      </w:r>
      <w:r>
        <w:rPr/>
        <w:t>LFRMS</w:t>
      </w:r>
      <w:r>
        <w:rPr>
          <w:spacing w:val="-30"/>
        </w:rPr>
        <w:t> </w:t>
      </w:r>
      <w:r>
        <w:rPr/>
        <w:t>report</w:t>
      </w:r>
      <w:r>
        <w:rPr>
          <w:spacing w:val="-23"/>
        </w:rPr>
        <w:t> </w:t>
      </w:r>
      <w:r>
        <w:rPr/>
        <w:t>was</w:t>
      </w:r>
      <w:r>
        <w:rPr>
          <w:spacing w:val="-32"/>
        </w:rPr>
        <w:t> </w:t>
      </w:r>
      <w:r>
        <w:rPr/>
        <w:t>published</w:t>
      </w:r>
      <w:r>
        <w:rPr>
          <w:spacing w:val="-26"/>
        </w:rPr>
        <w:t> </w:t>
      </w:r>
      <w:r>
        <w:rPr/>
        <w:t>in</w:t>
      </w:r>
      <w:r>
        <w:rPr>
          <w:spacing w:val="-27"/>
        </w:rPr>
        <w:t> </w:t>
      </w:r>
      <w:r>
        <w:rPr/>
        <w:t>2014.</w:t>
      </w:r>
      <w:r>
        <w:rPr>
          <w:spacing w:val="-21"/>
        </w:rPr>
        <w:t> </w:t>
      </w:r>
      <w:r>
        <w:rPr/>
        <w:t>All</w:t>
      </w:r>
      <w:r>
        <w:rPr>
          <w:spacing w:val="-28"/>
        </w:rPr>
        <w:t> </w:t>
      </w:r>
      <w:r>
        <w:rPr/>
        <w:t>measures</w:t>
      </w:r>
      <w:r>
        <w:rPr>
          <w:spacing w:val="-23"/>
        </w:rPr>
        <w:t> </w:t>
      </w:r>
      <w:r>
        <w:rPr/>
        <w:t>prioritised</w:t>
      </w:r>
      <w:r>
        <w:rPr>
          <w:spacing w:val="-25"/>
        </w:rPr>
        <w:t> </w:t>
      </w:r>
      <w:r>
        <w:rPr/>
        <w:t>for</w:t>
      </w:r>
      <w:r>
        <w:rPr>
          <w:spacing w:val="-27"/>
        </w:rPr>
        <w:t> </w:t>
      </w:r>
      <w:r>
        <w:rPr/>
        <w:t>delivery</w:t>
      </w:r>
      <w:r>
        <w:rPr>
          <w:spacing w:val="-19"/>
        </w:rPr>
        <w:t> </w:t>
      </w:r>
      <w:r>
        <w:rPr/>
        <w:t>during</w:t>
      </w:r>
      <w:r>
        <w:rPr>
          <w:spacing w:val="-28"/>
        </w:rPr>
        <w:t> </w:t>
      </w:r>
      <w:r>
        <w:rPr/>
        <w:t>this</w:t>
      </w:r>
      <w:r>
        <w:rPr>
          <w:spacing w:val="-37"/>
        </w:rPr>
        <w:t> </w:t>
      </w:r>
      <w:r>
        <w:rPr/>
        <w:t>period have been updated for the current 2018 to 2024</w:t>
      </w:r>
      <w:r>
        <w:rPr>
          <w:spacing w:val="7"/>
        </w:rPr>
        <w:t> </w:t>
      </w:r>
      <w:r>
        <w:rPr/>
        <w:t>cycle.</w:t>
      </w:r>
    </w:p>
    <w:p>
      <w:pPr>
        <w:pStyle w:val="BodyText"/>
        <w:spacing w:line="264" w:lineRule="auto" w:before="118"/>
        <w:ind w:left="975" w:right="221" w:firstLine="5"/>
      </w:pPr>
      <w:r>
        <w:rPr/>
        <w:t>Additional</w:t>
      </w:r>
      <w:r>
        <w:rPr>
          <w:spacing w:val="-33"/>
        </w:rPr>
        <w:t> </w:t>
      </w:r>
      <w:r>
        <w:rPr/>
        <w:t>measures</w:t>
      </w:r>
      <w:r>
        <w:rPr>
          <w:spacing w:val="-32"/>
        </w:rPr>
        <w:t> </w:t>
      </w:r>
      <w:r>
        <w:rPr/>
        <w:t>have</w:t>
      </w:r>
      <w:r>
        <w:rPr>
          <w:spacing w:val="-37"/>
        </w:rPr>
        <w:t> </w:t>
      </w:r>
      <w:r>
        <w:rPr/>
        <w:t>been</w:t>
      </w:r>
      <w:r>
        <w:rPr>
          <w:spacing w:val="-36"/>
        </w:rPr>
        <w:t> </w:t>
      </w:r>
      <w:r>
        <w:rPr/>
        <w:t>identified</w:t>
      </w:r>
      <w:r>
        <w:rPr>
          <w:spacing w:val="-29"/>
        </w:rPr>
        <w:t> </w:t>
      </w:r>
      <w:r>
        <w:rPr/>
        <w:t>during</w:t>
      </w:r>
      <w:r>
        <w:rPr>
          <w:spacing w:val="-34"/>
        </w:rPr>
        <w:t> </w:t>
      </w:r>
      <w:r>
        <w:rPr/>
        <w:t>the</w:t>
      </w:r>
      <w:r>
        <w:rPr>
          <w:spacing w:val="-38"/>
        </w:rPr>
        <w:t> </w:t>
      </w:r>
      <w:r>
        <w:rPr/>
        <w:t>lifetime</w:t>
      </w:r>
      <w:r>
        <w:rPr>
          <w:spacing w:val="-33"/>
        </w:rPr>
        <w:t> </w:t>
      </w:r>
      <w:r>
        <w:rPr/>
        <w:t>of</w:t>
      </w:r>
      <w:r>
        <w:rPr>
          <w:spacing w:val="-37"/>
        </w:rPr>
        <w:t> </w:t>
      </w:r>
      <w:r>
        <w:rPr/>
        <w:t>the</w:t>
      </w:r>
      <w:r>
        <w:rPr>
          <w:spacing w:val="-39"/>
        </w:rPr>
        <w:t> </w:t>
      </w:r>
      <w:r>
        <w:rPr/>
        <w:t>previous</w:t>
      </w:r>
      <w:r>
        <w:rPr>
          <w:spacing w:val="-32"/>
        </w:rPr>
        <w:t> </w:t>
      </w:r>
      <w:r>
        <w:rPr/>
        <w:t>strategy,</w:t>
      </w:r>
      <w:r>
        <w:rPr>
          <w:spacing w:val="-34"/>
        </w:rPr>
        <w:t> </w:t>
      </w:r>
      <w:r>
        <w:rPr/>
        <w:t>which</w:t>
      </w:r>
      <w:r>
        <w:rPr>
          <w:spacing w:val="-37"/>
        </w:rPr>
        <w:t> </w:t>
      </w:r>
      <w:r>
        <w:rPr/>
        <w:t>reflects a</w:t>
      </w:r>
      <w:r>
        <w:rPr>
          <w:spacing w:val="-36"/>
        </w:rPr>
        <w:t> </w:t>
      </w:r>
      <w:r>
        <w:rPr/>
        <w:t>change</w:t>
      </w:r>
      <w:r>
        <w:rPr>
          <w:spacing w:val="-29"/>
        </w:rPr>
        <w:t> </w:t>
      </w:r>
      <w:r>
        <w:rPr/>
        <w:t>in</w:t>
      </w:r>
      <w:r>
        <w:rPr>
          <w:spacing w:val="-35"/>
        </w:rPr>
        <w:t> </w:t>
      </w:r>
      <w:r>
        <w:rPr/>
        <w:t>the</w:t>
      </w:r>
      <w:r>
        <w:rPr>
          <w:spacing w:val="-37"/>
        </w:rPr>
        <w:t> </w:t>
      </w:r>
      <w:r>
        <w:rPr/>
        <w:t>understanding</w:t>
      </w:r>
      <w:r>
        <w:rPr>
          <w:spacing w:val="-20"/>
        </w:rPr>
        <w:t> </w:t>
      </w:r>
      <w:r>
        <w:rPr/>
        <w:t>of</w:t>
      </w:r>
      <w:r>
        <w:rPr>
          <w:spacing w:val="-35"/>
        </w:rPr>
        <w:t> </w:t>
      </w:r>
      <w:r>
        <w:rPr/>
        <w:t>flooding</w:t>
      </w:r>
      <w:r>
        <w:rPr>
          <w:spacing w:val="-30"/>
        </w:rPr>
        <w:t> </w:t>
      </w:r>
      <w:r>
        <w:rPr/>
        <w:t>in</w:t>
      </w:r>
      <w:r>
        <w:rPr>
          <w:spacing w:val="-33"/>
        </w:rPr>
        <w:t> </w:t>
      </w:r>
      <w:r>
        <w:rPr/>
        <w:t>Leeds</w:t>
      </w:r>
      <w:r>
        <w:rPr>
          <w:spacing w:val="-30"/>
        </w:rPr>
        <w:t> </w:t>
      </w:r>
      <w:r>
        <w:rPr/>
        <w:t>district.</w:t>
      </w:r>
      <w:r>
        <w:rPr>
          <w:spacing w:val="-27"/>
        </w:rPr>
        <w:t> </w:t>
      </w:r>
      <w:r>
        <w:rPr/>
        <w:t>The</w:t>
      </w:r>
      <w:r>
        <w:rPr>
          <w:spacing w:val="-35"/>
        </w:rPr>
        <w:t> </w:t>
      </w:r>
      <w:r>
        <w:rPr/>
        <w:t>Council’s</w:t>
      </w:r>
      <w:r>
        <w:rPr>
          <w:spacing w:val="-28"/>
        </w:rPr>
        <w:t> </w:t>
      </w:r>
      <w:r>
        <w:rPr/>
        <w:t>PFRA</w:t>
      </w:r>
      <w:r>
        <w:rPr>
          <w:spacing w:val="-26"/>
        </w:rPr>
        <w:t> </w:t>
      </w:r>
      <w:r>
        <w:rPr/>
        <w:t>Update,</w:t>
      </w:r>
      <w:r>
        <w:rPr>
          <w:spacing w:val="-28"/>
        </w:rPr>
        <w:t> </w:t>
      </w:r>
      <w:r>
        <w:rPr/>
        <w:t>published in</w:t>
      </w:r>
      <w:r>
        <w:rPr>
          <w:spacing w:val="-30"/>
        </w:rPr>
        <w:t> </w:t>
      </w:r>
      <w:r>
        <w:rPr/>
        <w:t>June</w:t>
      </w:r>
      <w:r>
        <w:rPr>
          <w:spacing w:val="-28"/>
        </w:rPr>
        <w:t> </w:t>
      </w:r>
      <w:r>
        <w:rPr/>
        <w:t>2017,</w:t>
      </w:r>
      <w:r>
        <w:rPr>
          <w:spacing w:val="-26"/>
        </w:rPr>
        <w:t> </w:t>
      </w:r>
      <w:r>
        <w:rPr/>
        <w:t>describes</w:t>
      </w:r>
      <w:r>
        <w:rPr>
          <w:spacing w:val="-31"/>
        </w:rPr>
        <w:t> </w:t>
      </w:r>
      <w:r>
        <w:rPr/>
        <w:t>the</w:t>
      </w:r>
      <w:r>
        <w:rPr>
          <w:spacing w:val="-27"/>
        </w:rPr>
        <w:t> </w:t>
      </w:r>
      <w:r>
        <w:rPr/>
        <w:t>evidence</w:t>
      </w:r>
      <w:r>
        <w:rPr>
          <w:spacing w:val="-26"/>
        </w:rPr>
        <w:t> </w:t>
      </w:r>
      <w:r>
        <w:rPr/>
        <w:t>of</w:t>
      </w:r>
      <w:r>
        <w:rPr>
          <w:spacing w:val="-36"/>
        </w:rPr>
        <w:t> </w:t>
      </w:r>
      <w:r>
        <w:rPr/>
        <w:t>flooding</w:t>
      </w:r>
      <w:r>
        <w:rPr>
          <w:spacing w:val="-26"/>
        </w:rPr>
        <w:t> </w:t>
      </w:r>
      <w:r>
        <w:rPr/>
        <w:t>that</w:t>
      </w:r>
      <w:r>
        <w:rPr>
          <w:spacing w:val="-31"/>
        </w:rPr>
        <w:t> </w:t>
      </w:r>
      <w:r>
        <w:rPr/>
        <w:t>led</w:t>
      </w:r>
      <w:r>
        <w:rPr>
          <w:spacing w:val="-34"/>
        </w:rPr>
        <w:t> </w:t>
      </w:r>
      <w:r>
        <w:rPr/>
        <w:t>to</w:t>
      </w:r>
      <w:r>
        <w:rPr>
          <w:spacing w:val="-34"/>
        </w:rPr>
        <w:t> </w:t>
      </w:r>
      <w:r>
        <w:rPr/>
        <w:t>this</w:t>
      </w:r>
      <w:r>
        <w:rPr>
          <w:spacing w:val="-31"/>
        </w:rPr>
        <w:t> </w:t>
      </w:r>
      <w:r>
        <w:rPr/>
        <w:t>change,</w:t>
      </w:r>
      <w:r>
        <w:rPr>
          <w:spacing w:val="-24"/>
        </w:rPr>
        <w:t> </w:t>
      </w:r>
      <w:r>
        <w:rPr/>
        <w:t>which</w:t>
      </w:r>
      <w:r>
        <w:rPr>
          <w:spacing w:val="-33"/>
        </w:rPr>
        <w:t> </w:t>
      </w:r>
      <w:r>
        <w:rPr/>
        <w:t>is</w:t>
      </w:r>
      <w:r>
        <w:rPr>
          <w:spacing w:val="-36"/>
        </w:rPr>
        <w:t> </w:t>
      </w:r>
      <w:r>
        <w:rPr/>
        <w:t>largely</w:t>
      </w:r>
      <w:r>
        <w:rPr>
          <w:spacing w:val="-25"/>
        </w:rPr>
        <w:t> </w:t>
      </w:r>
      <w:r>
        <w:rPr/>
        <w:t>associated with the winter floods of</w:t>
      </w:r>
      <w:r>
        <w:rPr>
          <w:spacing w:val="9"/>
        </w:rPr>
        <w:t> </w:t>
      </w:r>
      <w:r>
        <w:rPr/>
        <w:t>2015-16.</w:t>
      </w:r>
    </w:p>
    <w:p>
      <w:pPr>
        <w:pStyle w:val="BodyText"/>
        <w:spacing w:line="266" w:lineRule="auto" w:before="113"/>
        <w:ind w:left="975" w:right="221" w:firstLine="5"/>
      </w:pPr>
      <w:r>
        <w:rPr/>
        <w:t>As</w:t>
      </w:r>
      <w:r>
        <w:rPr>
          <w:spacing w:val="-37"/>
        </w:rPr>
        <w:t> </w:t>
      </w:r>
      <w:r>
        <w:rPr/>
        <w:t>part</w:t>
      </w:r>
      <w:r>
        <w:rPr>
          <w:spacing w:val="-28"/>
        </w:rPr>
        <w:t> </w:t>
      </w:r>
      <w:r>
        <w:rPr/>
        <w:t>of</w:t>
      </w:r>
      <w:r>
        <w:rPr>
          <w:spacing w:val="-39"/>
        </w:rPr>
        <w:t> </w:t>
      </w:r>
      <w:r>
        <w:rPr/>
        <w:t>the</w:t>
      </w:r>
      <w:r>
        <w:rPr>
          <w:spacing w:val="-28"/>
        </w:rPr>
        <w:t> </w:t>
      </w:r>
      <w:r>
        <w:rPr/>
        <w:t>annual</w:t>
      </w:r>
      <w:r>
        <w:rPr>
          <w:spacing w:val="-24"/>
        </w:rPr>
        <w:t> </w:t>
      </w:r>
      <w:r>
        <w:rPr/>
        <w:t>LCC</w:t>
      </w:r>
      <w:r>
        <w:rPr>
          <w:spacing w:val="-30"/>
        </w:rPr>
        <w:t> </w:t>
      </w:r>
      <w:r>
        <w:rPr/>
        <w:t>Medium</w:t>
      </w:r>
      <w:r>
        <w:rPr>
          <w:spacing w:val="-20"/>
        </w:rPr>
        <w:t> </w:t>
      </w:r>
      <w:r>
        <w:rPr/>
        <w:t>Term</w:t>
      </w:r>
      <w:r>
        <w:rPr>
          <w:spacing w:val="-25"/>
        </w:rPr>
        <w:t> </w:t>
      </w:r>
      <w:r>
        <w:rPr/>
        <w:t>Plan</w:t>
      </w:r>
      <w:r>
        <w:rPr>
          <w:spacing w:val="-34"/>
        </w:rPr>
        <w:t> </w:t>
      </w:r>
      <w:r>
        <w:rPr/>
        <w:t>(MTP)</w:t>
      </w:r>
      <w:r>
        <w:rPr>
          <w:spacing w:val="-33"/>
        </w:rPr>
        <w:t> </w:t>
      </w:r>
      <w:r>
        <w:rPr/>
        <w:t>refresh</w:t>
      </w:r>
      <w:r>
        <w:rPr>
          <w:spacing w:val="-32"/>
        </w:rPr>
        <w:t> </w:t>
      </w:r>
      <w:r>
        <w:rPr/>
        <w:t>process</w:t>
      </w:r>
      <w:r>
        <w:rPr>
          <w:spacing w:val="-28"/>
        </w:rPr>
        <w:t> </w:t>
      </w:r>
      <w:r>
        <w:rPr/>
        <w:t>and</w:t>
      </w:r>
      <w:r>
        <w:rPr>
          <w:spacing w:val="-35"/>
        </w:rPr>
        <w:t> </w:t>
      </w:r>
      <w:r>
        <w:rPr/>
        <w:t>the</w:t>
      </w:r>
      <w:r>
        <w:rPr>
          <w:spacing w:val="-28"/>
        </w:rPr>
        <w:t> </w:t>
      </w:r>
      <w:r>
        <w:rPr/>
        <w:t>annual</w:t>
      </w:r>
      <w:r>
        <w:rPr>
          <w:spacing w:val="-24"/>
        </w:rPr>
        <w:t> </w:t>
      </w:r>
      <w:r>
        <w:rPr/>
        <w:t>LCC</w:t>
      </w:r>
      <w:r>
        <w:rPr>
          <w:spacing w:val="-32"/>
        </w:rPr>
        <w:t> </w:t>
      </w:r>
      <w:r>
        <w:rPr/>
        <w:t>Scrutiny update,</w:t>
      </w:r>
      <w:r>
        <w:rPr>
          <w:spacing w:val="-18"/>
        </w:rPr>
        <w:t> </w:t>
      </w:r>
      <w:r>
        <w:rPr/>
        <w:t>LCC</w:t>
      </w:r>
      <w:r>
        <w:rPr>
          <w:spacing w:val="-27"/>
        </w:rPr>
        <w:t> </w:t>
      </w:r>
      <w:r>
        <w:rPr/>
        <w:t>FRM</w:t>
      </w:r>
      <w:r>
        <w:rPr>
          <w:spacing w:val="-28"/>
        </w:rPr>
        <w:t> </w:t>
      </w:r>
      <w:r>
        <w:rPr/>
        <w:t>undertake</w:t>
      </w:r>
      <w:r>
        <w:rPr>
          <w:spacing w:val="-13"/>
        </w:rPr>
        <w:t> </w:t>
      </w:r>
      <w:r>
        <w:rPr/>
        <w:t>a</w:t>
      </w:r>
      <w:r>
        <w:rPr>
          <w:spacing w:val="-34"/>
        </w:rPr>
        <w:t> </w:t>
      </w:r>
      <w:r>
        <w:rPr/>
        <w:t>prioritisation</w:t>
      </w:r>
      <w:r>
        <w:rPr>
          <w:spacing w:val="-29"/>
        </w:rPr>
        <w:t> </w:t>
      </w:r>
      <w:r>
        <w:rPr/>
        <w:t>exercise</w:t>
      </w:r>
      <w:r>
        <w:rPr>
          <w:spacing w:val="-25"/>
        </w:rPr>
        <w:t> </w:t>
      </w:r>
      <w:r>
        <w:rPr/>
        <w:t>using</w:t>
      </w:r>
      <w:r>
        <w:rPr>
          <w:spacing w:val="-27"/>
        </w:rPr>
        <w:t> </w:t>
      </w:r>
      <w:r>
        <w:rPr/>
        <w:t>the</w:t>
      </w:r>
      <w:r>
        <w:rPr>
          <w:spacing w:val="-30"/>
        </w:rPr>
        <w:t> </w:t>
      </w:r>
      <w:r>
        <w:rPr/>
        <w:t>latest</w:t>
      </w:r>
      <w:r>
        <w:rPr>
          <w:spacing w:val="-26"/>
        </w:rPr>
        <w:t> </w:t>
      </w:r>
      <w:r>
        <w:rPr/>
        <w:t>understanding</w:t>
      </w:r>
      <w:r>
        <w:rPr>
          <w:spacing w:val="-16"/>
        </w:rPr>
        <w:t> </w:t>
      </w:r>
      <w:r>
        <w:rPr/>
        <w:t>of</w:t>
      </w:r>
      <w:r>
        <w:rPr>
          <w:spacing w:val="-28"/>
        </w:rPr>
        <w:t> </w:t>
      </w:r>
      <w:r>
        <w:rPr/>
        <w:t>flooding according to modelling and incident data</w:t>
      </w:r>
      <w:r>
        <w:rPr>
          <w:spacing w:val="9"/>
        </w:rPr>
        <w:t> </w:t>
      </w:r>
      <w:r>
        <w:rPr/>
        <w:t>available.</w:t>
      </w:r>
    </w:p>
    <w:p>
      <w:pPr>
        <w:pStyle w:val="BodyText"/>
        <w:spacing w:before="118"/>
        <w:ind w:left="981"/>
      </w:pPr>
      <w:r>
        <w:rPr/>
        <w:t>A completed list of measures is provided in Appendix C.</w:t>
      </w:r>
    </w:p>
    <w:p>
      <w:pPr>
        <w:pStyle w:val="ListParagraph"/>
        <w:numPr>
          <w:ilvl w:val="1"/>
          <w:numId w:val="11"/>
        </w:numPr>
        <w:tabs>
          <w:tab w:pos="976" w:val="left" w:leader="none"/>
          <w:tab w:pos="977" w:val="left" w:leader="none"/>
        </w:tabs>
        <w:spacing w:line="240" w:lineRule="auto" w:before="159" w:after="0"/>
        <w:ind w:left="976" w:right="0" w:hanging="853"/>
        <w:jc w:val="left"/>
        <w:rPr>
          <w:sz w:val="28"/>
        </w:rPr>
      </w:pPr>
      <w:r>
        <w:rPr>
          <w:sz w:val="28"/>
        </w:rPr>
        <w:t>FUNDING</w:t>
      </w:r>
    </w:p>
    <w:p>
      <w:pPr>
        <w:pStyle w:val="BodyText"/>
        <w:spacing w:line="261" w:lineRule="auto" w:before="156"/>
        <w:ind w:left="975" w:right="221" w:firstLine="5"/>
      </w:pPr>
      <w:r>
        <w:rPr/>
        <w:t>A</w:t>
      </w:r>
      <w:r>
        <w:rPr>
          <w:spacing w:val="-25"/>
        </w:rPr>
        <w:t> </w:t>
      </w:r>
      <w:r>
        <w:rPr/>
        <w:t>limited</w:t>
      </w:r>
      <w:r>
        <w:rPr>
          <w:spacing w:val="-19"/>
        </w:rPr>
        <w:t> </w:t>
      </w:r>
      <w:r>
        <w:rPr/>
        <w:t>amount</w:t>
      </w:r>
      <w:r>
        <w:rPr>
          <w:spacing w:val="-12"/>
        </w:rPr>
        <w:t> </w:t>
      </w:r>
      <w:r>
        <w:rPr/>
        <w:t>of</w:t>
      </w:r>
      <w:r>
        <w:rPr>
          <w:spacing w:val="-22"/>
        </w:rPr>
        <w:t> </w:t>
      </w:r>
      <w:r>
        <w:rPr/>
        <w:t>funding</w:t>
      </w:r>
      <w:r>
        <w:rPr>
          <w:spacing w:val="-21"/>
        </w:rPr>
        <w:t> </w:t>
      </w:r>
      <w:r>
        <w:rPr/>
        <w:t>is</w:t>
      </w:r>
      <w:r>
        <w:rPr>
          <w:spacing w:val="-25"/>
        </w:rPr>
        <w:t> </w:t>
      </w:r>
      <w:r>
        <w:rPr/>
        <w:t>available</w:t>
      </w:r>
      <w:r>
        <w:rPr>
          <w:spacing w:val="-22"/>
        </w:rPr>
        <w:t> </w:t>
      </w:r>
      <w:r>
        <w:rPr/>
        <w:t>to</w:t>
      </w:r>
      <w:r>
        <w:rPr>
          <w:spacing w:val="-30"/>
        </w:rPr>
        <w:t> </w:t>
      </w:r>
      <w:r>
        <w:rPr/>
        <w:t>progress</w:t>
      </w:r>
      <w:r>
        <w:rPr>
          <w:spacing w:val="-21"/>
        </w:rPr>
        <w:t> </w:t>
      </w:r>
      <w:r>
        <w:rPr/>
        <w:t>items</w:t>
      </w:r>
      <w:r>
        <w:rPr>
          <w:spacing w:val="-27"/>
        </w:rPr>
        <w:t> </w:t>
      </w:r>
      <w:r>
        <w:rPr/>
        <w:t>on</w:t>
      </w:r>
      <w:r>
        <w:rPr>
          <w:spacing w:val="-26"/>
        </w:rPr>
        <w:t> </w:t>
      </w:r>
      <w:r>
        <w:rPr/>
        <w:t>the</w:t>
      </w:r>
      <w:r>
        <w:rPr>
          <w:spacing w:val="-21"/>
        </w:rPr>
        <w:t> </w:t>
      </w:r>
      <w:r>
        <w:rPr/>
        <w:t>‘List</w:t>
      </w:r>
      <w:r>
        <w:rPr>
          <w:spacing w:val="-16"/>
        </w:rPr>
        <w:t> </w:t>
      </w:r>
      <w:r>
        <w:rPr/>
        <w:t>of</w:t>
      </w:r>
      <w:r>
        <w:rPr>
          <w:spacing w:val="-26"/>
        </w:rPr>
        <w:t> </w:t>
      </w:r>
      <w:r>
        <w:rPr/>
        <w:t>Measures’</w:t>
      </w:r>
      <w:r>
        <w:rPr>
          <w:spacing w:val="-15"/>
        </w:rPr>
        <w:t> </w:t>
      </w:r>
      <w:r>
        <w:rPr/>
        <w:t>provided</w:t>
      </w:r>
      <w:r>
        <w:rPr>
          <w:spacing w:val="-22"/>
        </w:rPr>
        <w:t> </w:t>
      </w:r>
      <w:r>
        <w:rPr/>
        <w:t>in Appendix</w:t>
      </w:r>
      <w:r>
        <w:rPr>
          <w:spacing w:val="-27"/>
        </w:rPr>
        <w:t> </w:t>
      </w:r>
      <w:r>
        <w:rPr/>
        <w:t>C.</w:t>
      </w:r>
      <w:r>
        <w:rPr>
          <w:spacing w:val="-34"/>
        </w:rPr>
        <w:t> </w:t>
      </w:r>
      <w:r>
        <w:rPr/>
        <w:t>Funding</w:t>
      </w:r>
      <w:r>
        <w:rPr>
          <w:spacing w:val="-28"/>
        </w:rPr>
        <w:t> </w:t>
      </w:r>
      <w:r>
        <w:rPr/>
        <w:t>comes</w:t>
      </w:r>
      <w:r>
        <w:rPr>
          <w:spacing w:val="-34"/>
        </w:rPr>
        <w:t> </w:t>
      </w:r>
      <w:r>
        <w:rPr/>
        <w:t>from</w:t>
      </w:r>
      <w:r>
        <w:rPr>
          <w:spacing w:val="-32"/>
        </w:rPr>
        <w:t> </w:t>
      </w:r>
      <w:r>
        <w:rPr/>
        <w:t>a</w:t>
      </w:r>
      <w:r>
        <w:rPr>
          <w:spacing w:val="-36"/>
        </w:rPr>
        <w:t> </w:t>
      </w:r>
      <w:r>
        <w:rPr/>
        <w:t>number</w:t>
      </w:r>
      <w:r>
        <w:rPr>
          <w:spacing w:val="-29"/>
        </w:rPr>
        <w:t> </w:t>
      </w:r>
      <w:r>
        <w:rPr/>
        <w:t>of</w:t>
      </w:r>
      <w:r>
        <w:rPr>
          <w:spacing w:val="-38"/>
        </w:rPr>
        <w:t> </w:t>
      </w:r>
      <w:r>
        <w:rPr/>
        <w:t>different</w:t>
      </w:r>
      <w:r>
        <w:rPr>
          <w:spacing w:val="-28"/>
        </w:rPr>
        <w:t> </w:t>
      </w:r>
      <w:r>
        <w:rPr/>
        <w:t>sources,</w:t>
      </w:r>
      <w:r>
        <w:rPr>
          <w:spacing w:val="-29"/>
        </w:rPr>
        <w:t> </w:t>
      </w:r>
      <w:r>
        <w:rPr/>
        <w:t>with</w:t>
      </w:r>
      <w:r>
        <w:rPr>
          <w:spacing w:val="-35"/>
        </w:rPr>
        <w:t> </w:t>
      </w:r>
      <w:r>
        <w:rPr/>
        <w:t>the</w:t>
      </w:r>
      <w:r>
        <w:rPr>
          <w:spacing w:val="-38"/>
        </w:rPr>
        <w:t> </w:t>
      </w:r>
      <w:r>
        <w:rPr/>
        <w:t>largest</w:t>
      </w:r>
      <w:r>
        <w:rPr>
          <w:spacing w:val="-36"/>
        </w:rPr>
        <w:t> </w:t>
      </w:r>
      <w:r>
        <w:rPr/>
        <w:t>proportion</w:t>
      </w:r>
      <w:r>
        <w:rPr>
          <w:spacing w:val="-33"/>
        </w:rPr>
        <w:t> </w:t>
      </w:r>
      <w:r>
        <w:rPr/>
        <w:t>being received from central</w:t>
      </w:r>
      <w:r>
        <w:rPr>
          <w:spacing w:val="31"/>
        </w:rPr>
        <w:t> </w:t>
      </w:r>
      <w:r>
        <w:rPr/>
        <w:t>government.</w:t>
      </w:r>
    </w:p>
    <w:p>
      <w:pPr>
        <w:spacing w:before="134"/>
        <w:ind w:left="981" w:right="0" w:firstLine="0"/>
        <w:jc w:val="left"/>
        <w:rPr>
          <w:sz w:val="22"/>
        </w:rPr>
      </w:pPr>
      <w:r>
        <w:rPr>
          <w:sz w:val="22"/>
        </w:rPr>
        <w:t>A summary of the funding sources available is provided in Table 6.</w:t>
      </w:r>
    </w:p>
    <w:p>
      <w:pPr>
        <w:spacing w:after="0"/>
        <w:jc w:val="left"/>
        <w:rPr>
          <w:sz w:val="22"/>
        </w:rPr>
        <w:sectPr>
          <w:pgSz w:w="11920" w:h="16850"/>
          <w:pgMar w:header="0" w:footer="1246" w:top="580" w:bottom="1440" w:left="440" w:right="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before="94"/>
        <w:ind w:left="985" w:right="0" w:firstLine="0"/>
        <w:jc w:val="left"/>
        <w:rPr>
          <w:sz w:val="20"/>
        </w:rPr>
      </w:pPr>
      <w:r>
        <w:rPr/>
        <w:pict>
          <v:group style="position:absolute;margin-left:537.554504pt;margin-top:-77.832497pt;width:5.8pt;height:35.050pt;mso-position-horizontal-relative:page;mso-position-vertical-relative:paragraph;z-index:2560" coordorigin="10751,-1557" coordsize="116,701">
            <v:shape style="position:absolute;left:10827;top:-1557;width:39;height:48" type="#_x0000_t75" stroked="false">
              <v:imagedata r:id="rId48" o:title=""/>
            </v:shape>
            <v:shape style="position:absolute;left:10827;top:-895;width:39;height:39" type="#_x0000_t75" stroked="false">
              <v:imagedata r:id="rId49" o:title=""/>
            </v:shape>
            <v:line style="position:absolute" from="10804,-1557" to="10804,-866" stroked="true" strokeweight="5.279551pt" strokecolor="#db344f">
              <v:stroke dashstyle="solid"/>
            </v:line>
            <w10:wrap type="none"/>
          </v:group>
        </w:pict>
      </w:r>
      <w:bookmarkStart w:name="Leeds LFRMS 2018 Update_Page_34" w:id="46"/>
      <w:bookmarkEnd w:id="46"/>
      <w:r>
        <w:rPr/>
      </w:r>
      <w:r>
        <w:rPr>
          <w:w w:val="115"/>
          <w:sz w:val="20"/>
        </w:rPr>
        <w:t>Table 6 </w:t>
      </w:r>
      <w:r>
        <w:rPr>
          <w:sz w:val="20"/>
        </w:rPr>
        <w:t>— </w:t>
      </w:r>
      <w:r>
        <w:rPr>
          <w:w w:val="115"/>
          <w:sz w:val="20"/>
        </w:rPr>
        <w:t>Potential funding sources for flood risk management activities</w:t>
      </w:r>
    </w:p>
    <w:p>
      <w:pPr>
        <w:pStyle w:val="BodyText"/>
        <w:spacing w:before="11"/>
        <w:rPr>
          <w:sz w:val="16"/>
        </w:rPr>
      </w:pPr>
    </w:p>
    <w:p>
      <w:pPr>
        <w:spacing w:after="0"/>
        <w:rPr>
          <w:sz w:val="16"/>
        </w:rPr>
        <w:sectPr>
          <w:pgSz w:w="11920" w:h="16850"/>
          <w:pgMar w:header="0" w:footer="1246" w:top="580" w:bottom="1440" w:left="440" w:right="560"/>
        </w:sectPr>
      </w:pPr>
    </w:p>
    <w:p>
      <w:pPr>
        <w:spacing w:before="93"/>
        <w:ind w:left="1094" w:right="514" w:firstLine="2"/>
        <w:jc w:val="left"/>
        <w:rPr>
          <w:sz w:val="20"/>
        </w:rPr>
      </w:pPr>
      <w:r>
        <w:rPr/>
        <w:drawing>
          <wp:anchor distT="0" distB="0" distL="0" distR="0" allowOverlap="1" layoutInCell="1" locked="0" behindDoc="0" simplePos="0" relativeHeight="2536">
            <wp:simplePos x="0" y="0"/>
            <wp:positionH relativeFrom="page">
              <wp:posOffset>896036</wp:posOffset>
            </wp:positionH>
            <wp:positionV relativeFrom="paragraph">
              <wp:posOffset>388474</wp:posOffset>
            </wp:positionV>
            <wp:extent cx="6223488" cy="48763"/>
            <wp:effectExtent l="0" t="0" r="0" b="0"/>
            <wp:wrapNone/>
            <wp:docPr id="49" name="image34.png" descr=""/>
            <wp:cNvGraphicFramePr>
              <a:graphicFrameLocks noChangeAspect="1"/>
            </wp:cNvGraphicFramePr>
            <a:graphic>
              <a:graphicData uri="http://schemas.openxmlformats.org/drawingml/2006/picture">
                <pic:pic>
                  <pic:nvPicPr>
                    <pic:cNvPr id="50" name="image34.png"/>
                    <pic:cNvPicPr/>
                  </pic:nvPicPr>
                  <pic:blipFill>
                    <a:blip r:embed="rId50" cstate="print"/>
                    <a:stretch>
                      <a:fillRect/>
                    </a:stretch>
                  </pic:blipFill>
                  <pic:spPr>
                    <a:xfrm>
                      <a:off x="0" y="0"/>
                      <a:ext cx="6223488" cy="48763"/>
                    </a:xfrm>
                    <a:prstGeom prst="rect">
                      <a:avLst/>
                    </a:prstGeom>
                  </pic:spPr>
                </pic:pic>
              </a:graphicData>
            </a:graphic>
          </wp:anchor>
        </w:drawing>
      </w:r>
      <w:r>
        <w:rPr>
          <w:color w:val="ED4449"/>
          <w:w w:val="105"/>
          <w:sz w:val="20"/>
        </w:rPr>
        <w:t>Source </w:t>
      </w:r>
      <w:r>
        <w:rPr>
          <w:color w:val="ED2315"/>
          <w:w w:val="105"/>
          <w:sz w:val="20"/>
        </w:rPr>
        <w:t>of </w:t>
      </w:r>
      <w:r>
        <w:rPr>
          <w:color w:val="F43B38"/>
          <w:w w:val="105"/>
          <w:sz w:val="20"/>
        </w:rPr>
        <w:t>funding</w:t>
      </w:r>
    </w:p>
    <w:p>
      <w:pPr>
        <w:pStyle w:val="BodyText"/>
        <w:spacing w:before="9"/>
        <w:rPr>
          <w:sz w:val="21"/>
        </w:rPr>
      </w:pPr>
    </w:p>
    <w:p>
      <w:pPr>
        <w:spacing w:before="0"/>
        <w:ind w:left="1092" w:right="101" w:hanging="4"/>
        <w:jc w:val="both"/>
        <w:rPr>
          <w:sz w:val="20"/>
        </w:rPr>
      </w:pPr>
      <w:r>
        <w:rPr>
          <w:color w:val="2D2D2D"/>
          <w:sz w:val="20"/>
        </w:rPr>
        <w:t>FCERM </w:t>
      </w:r>
      <w:r>
        <w:rPr>
          <w:color w:val="1D1D1D"/>
          <w:sz w:val="20"/>
        </w:rPr>
        <w:t>Grant- </w:t>
      </w:r>
      <w:r>
        <w:rPr>
          <w:color w:val="262626"/>
          <w:w w:val="90"/>
          <w:sz w:val="20"/>
        </w:rPr>
        <w:t>in-Aid </w:t>
      </w:r>
      <w:r>
        <w:rPr>
          <w:color w:val="1F1F1F"/>
          <w:w w:val="90"/>
          <w:sz w:val="20"/>
        </w:rPr>
        <w:t>(”FCE”RM </w:t>
      </w:r>
      <w:r>
        <w:rPr>
          <w:color w:val="1D1D1D"/>
          <w:sz w:val="20"/>
        </w:rPr>
        <w:t>GiA)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9"/>
        </w:rPr>
      </w:pPr>
    </w:p>
    <w:p>
      <w:pPr>
        <w:spacing w:before="0"/>
        <w:ind w:left="1100" w:right="0" w:firstLine="0"/>
        <w:jc w:val="left"/>
        <w:rPr>
          <w:sz w:val="20"/>
        </w:rPr>
      </w:pPr>
      <w:r>
        <w:rPr>
          <w:color w:val="2A2A2A"/>
          <w:sz w:val="20"/>
        </w:rPr>
        <w:t>Local </w:t>
      </w:r>
      <w:r>
        <w:rPr>
          <w:color w:val="1D1D1D"/>
          <w:sz w:val="20"/>
        </w:rPr>
        <w:t>Levy</w:t>
      </w:r>
    </w:p>
    <w:p>
      <w:pPr>
        <w:pStyle w:val="BodyText"/>
        <w:rPr>
          <w:sz w:val="22"/>
        </w:rPr>
      </w:pPr>
    </w:p>
    <w:p>
      <w:pPr>
        <w:pStyle w:val="BodyText"/>
        <w:rPr>
          <w:sz w:val="22"/>
        </w:rPr>
      </w:pPr>
    </w:p>
    <w:p>
      <w:pPr>
        <w:pStyle w:val="BodyText"/>
        <w:rPr>
          <w:sz w:val="22"/>
        </w:rPr>
      </w:pPr>
    </w:p>
    <w:p>
      <w:pPr>
        <w:pStyle w:val="BodyText"/>
        <w:rPr>
          <w:sz w:val="22"/>
        </w:rPr>
      </w:pPr>
    </w:p>
    <w:p>
      <w:pPr>
        <w:spacing w:line="225" w:lineRule="exact" w:before="150"/>
        <w:ind w:left="1099" w:right="0" w:firstLine="0"/>
        <w:jc w:val="left"/>
        <w:rPr>
          <w:sz w:val="20"/>
        </w:rPr>
      </w:pPr>
      <w:r>
        <w:rPr>
          <w:color w:val="232323"/>
          <w:sz w:val="20"/>
        </w:rPr>
        <w:t>Private</w:t>
      </w:r>
    </w:p>
    <w:p>
      <w:pPr>
        <w:spacing w:line="237" w:lineRule="exact" w:before="0"/>
        <w:ind w:left="1087" w:right="0" w:firstLine="0"/>
        <w:jc w:val="left"/>
        <w:rPr>
          <w:sz w:val="21"/>
        </w:rPr>
      </w:pPr>
      <w:r>
        <w:rPr>
          <w:color w:val="282828"/>
          <w:sz w:val="21"/>
        </w:rPr>
        <w:t>contributions</w:t>
      </w:r>
    </w:p>
    <w:p>
      <w:pPr>
        <w:pStyle w:val="BodyText"/>
        <w:rPr>
          <w:sz w:val="22"/>
        </w:rPr>
      </w:pPr>
    </w:p>
    <w:p>
      <w:pPr>
        <w:pStyle w:val="BodyText"/>
        <w:rPr>
          <w:sz w:val="22"/>
        </w:rPr>
      </w:pPr>
    </w:p>
    <w:p>
      <w:pPr>
        <w:spacing w:line="225" w:lineRule="exact" w:before="193"/>
        <w:ind w:left="1093" w:right="0" w:firstLine="0"/>
        <w:jc w:val="left"/>
        <w:rPr>
          <w:sz w:val="20"/>
        </w:rPr>
      </w:pPr>
      <w:r>
        <w:rPr>
          <w:color w:val="2B2B2B"/>
          <w:sz w:val="20"/>
        </w:rPr>
        <w:t>Water </w:t>
      </w:r>
      <w:r>
        <w:rPr>
          <w:color w:val="282828"/>
          <w:sz w:val="20"/>
        </w:rPr>
        <w:t>company</w:t>
      </w:r>
    </w:p>
    <w:p>
      <w:pPr>
        <w:spacing w:line="237" w:lineRule="exact" w:before="0"/>
        <w:ind w:left="1091" w:right="0" w:firstLine="0"/>
        <w:jc w:val="left"/>
        <w:rPr>
          <w:sz w:val="21"/>
        </w:rPr>
      </w:pPr>
      <w:r>
        <w:rPr>
          <w:color w:val="2A2A2A"/>
          <w:sz w:val="21"/>
        </w:rPr>
        <w:t>investment</w:t>
      </w:r>
    </w:p>
    <w:p>
      <w:pPr>
        <w:pStyle w:val="BodyText"/>
        <w:rPr>
          <w:sz w:val="22"/>
        </w:rPr>
      </w:pPr>
    </w:p>
    <w:p>
      <w:pPr>
        <w:pStyle w:val="BodyText"/>
        <w:rPr>
          <w:sz w:val="22"/>
        </w:rPr>
      </w:pPr>
    </w:p>
    <w:p>
      <w:pPr>
        <w:pStyle w:val="BodyText"/>
        <w:rPr>
          <w:sz w:val="22"/>
        </w:rPr>
      </w:pPr>
    </w:p>
    <w:p>
      <w:pPr>
        <w:spacing w:line="232" w:lineRule="auto" w:before="186"/>
        <w:ind w:left="1088" w:right="231" w:firstLine="7"/>
        <w:jc w:val="left"/>
        <w:rPr>
          <w:sz w:val="20"/>
        </w:rPr>
      </w:pPr>
      <w:r>
        <w:rPr>
          <w:color w:val="181818"/>
          <w:sz w:val="20"/>
        </w:rPr>
        <w:t>S”ection </w:t>
      </w:r>
      <w:r>
        <w:rPr>
          <w:color w:val="2A2A2A"/>
          <w:sz w:val="20"/>
        </w:rPr>
        <w:t>106 </w:t>
      </w:r>
      <w:r>
        <w:rPr>
          <w:color w:val="1C1C1C"/>
          <w:w w:val="95"/>
          <w:sz w:val="21"/>
        </w:rPr>
        <w:t>contributions </w:t>
      </w:r>
      <w:r>
        <w:rPr>
          <w:color w:val="262626"/>
          <w:sz w:val="20"/>
        </w:rPr>
        <w:t>(Town </w:t>
      </w:r>
      <w:r>
        <w:rPr>
          <w:color w:val="151515"/>
          <w:sz w:val="20"/>
        </w:rPr>
        <w:t>and </w:t>
      </w:r>
      <w:r>
        <w:rPr>
          <w:color w:val="262626"/>
          <w:sz w:val="21"/>
        </w:rPr>
        <w:t>”Country </w:t>
      </w:r>
      <w:r>
        <w:rPr>
          <w:color w:val="282828"/>
          <w:sz w:val="20"/>
        </w:rPr>
        <w:t>Planning </w:t>
      </w:r>
      <w:r>
        <w:rPr>
          <w:color w:val="333333"/>
          <w:sz w:val="20"/>
        </w:rPr>
        <w:t>Act)</w:t>
      </w:r>
    </w:p>
    <w:p>
      <w:pPr>
        <w:pStyle w:val="BodyText"/>
        <w:rPr>
          <w:sz w:val="22"/>
        </w:rPr>
      </w:pPr>
    </w:p>
    <w:p>
      <w:pPr>
        <w:pStyle w:val="BodyText"/>
        <w:spacing w:before="3"/>
        <w:rPr>
          <w:sz w:val="19"/>
        </w:rPr>
      </w:pPr>
    </w:p>
    <w:p>
      <w:pPr>
        <w:spacing w:line="232" w:lineRule="auto" w:before="1"/>
        <w:ind w:left="1095" w:right="238" w:hanging="1"/>
        <w:jc w:val="left"/>
        <w:rPr>
          <w:sz w:val="20"/>
        </w:rPr>
      </w:pPr>
      <w:r>
        <w:rPr>
          <w:color w:val="181818"/>
          <w:sz w:val="21"/>
        </w:rPr>
        <w:t>Community </w:t>
      </w:r>
      <w:r>
        <w:rPr>
          <w:color w:val="212121"/>
          <w:w w:val="95"/>
          <w:sz w:val="21"/>
        </w:rPr>
        <w:t>Infrastructure </w:t>
      </w:r>
      <w:r>
        <w:rPr>
          <w:color w:val="262626"/>
          <w:sz w:val="20"/>
        </w:rPr>
        <w:t>Levy </w:t>
      </w:r>
      <w:r>
        <w:rPr>
          <w:color w:val="212121"/>
          <w:sz w:val="20"/>
        </w:rPr>
        <w:t>(CIL)</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32"/>
        </w:rPr>
      </w:pPr>
    </w:p>
    <w:p>
      <w:pPr>
        <w:spacing w:before="0"/>
        <w:ind w:left="1094" w:right="0" w:firstLine="0"/>
        <w:jc w:val="left"/>
        <w:rPr>
          <w:sz w:val="21"/>
        </w:rPr>
      </w:pPr>
      <w:r>
        <w:rPr>
          <w:color w:val="282828"/>
          <w:w w:val="95"/>
          <w:sz w:val="21"/>
        </w:rPr>
        <w:t>Commuted</w:t>
      </w:r>
      <w:r>
        <w:rPr>
          <w:color w:val="282828"/>
          <w:spacing w:val="-14"/>
          <w:w w:val="95"/>
          <w:sz w:val="21"/>
        </w:rPr>
        <w:t> </w:t>
      </w:r>
      <w:r>
        <w:rPr>
          <w:color w:val="161616"/>
          <w:w w:val="95"/>
          <w:sz w:val="21"/>
        </w:rPr>
        <w:t>Sum</w:t>
      </w:r>
    </w:p>
    <w:p>
      <w:pPr>
        <w:spacing w:before="93"/>
        <w:ind w:left="220" w:right="0" w:firstLine="0"/>
        <w:jc w:val="left"/>
        <w:rPr>
          <w:sz w:val="20"/>
        </w:rPr>
      </w:pPr>
      <w:r>
        <w:rPr/>
        <w:br w:type="column"/>
      </w:r>
      <w:r>
        <w:rPr>
          <w:color w:val="E93844"/>
          <w:w w:val="110"/>
          <w:sz w:val="20"/>
        </w:rPr>
        <w:t>Description</w:t>
      </w:r>
    </w:p>
    <w:p>
      <w:pPr>
        <w:pStyle w:val="BodyText"/>
        <w:rPr>
          <w:sz w:val="22"/>
        </w:rPr>
      </w:pPr>
    </w:p>
    <w:p>
      <w:pPr>
        <w:pStyle w:val="BodyText"/>
        <w:spacing w:before="4"/>
        <w:rPr>
          <w:sz w:val="19"/>
        </w:rPr>
      </w:pPr>
    </w:p>
    <w:p>
      <w:pPr>
        <w:spacing w:line="235" w:lineRule="auto" w:before="0"/>
        <w:ind w:left="209" w:right="14" w:firstLine="6"/>
        <w:jc w:val="left"/>
        <w:rPr>
          <w:sz w:val="21"/>
        </w:rPr>
      </w:pPr>
      <w:r>
        <w:rPr>
          <w:color w:val="1F1F1F"/>
          <w:sz w:val="21"/>
        </w:rPr>
        <w:t>Central government </w:t>
      </w:r>
      <w:r>
        <w:rPr>
          <w:color w:val="262626"/>
          <w:sz w:val="21"/>
        </w:rPr>
        <w:t>funding </w:t>
      </w:r>
      <w:r>
        <w:rPr>
          <w:color w:val="1F1F1F"/>
          <w:sz w:val="21"/>
        </w:rPr>
        <w:t>for </w:t>
      </w:r>
      <w:r>
        <w:rPr>
          <w:color w:val="282828"/>
          <w:sz w:val="20"/>
        </w:rPr>
        <w:t>flood </w:t>
      </w:r>
      <w:r>
        <w:rPr>
          <w:color w:val="1F1F1F"/>
          <w:sz w:val="20"/>
        </w:rPr>
        <w:t>(and </w:t>
      </w:r>
      <w:r>
        <w:rPr>
          <w:color w:val="181818"/>
          <w:sz w:val="20"/>
        </w:rPr>
        <w:t>coastal) </w:t>
      </w:r>
      <w:r>
        <w:rPr>
          <w:color w:val="232323"/>
          <w:sz w:val="20"/>
        </w:rPr>
        <w:t>defence </w:t>
      </w:r>
      <w:r>
        <w:rPr>
          <w:color w:val="282828"/>
          <w:sz w:val="21"/>
        </w:rPr>
        <w:t>projects </w:t>
      </w:r>
      <w:r>
        <w:rPr>
          <w:color w:val="2A2A2A"/>
          <w:sz w:val="21"/>
        </w:rPr>
        <w:t>with </w:t>
      </w:r>
      <w:r>
        <w:rPr>
          <w:color w:val="212121"/>
          <w:sz w:val="21"/>
        </w:rPr>
        <w:t>a budget </w:t>
      </w:r>
      <w:r>
        <w:rPr>
          <w:color w:val="2D2D2D"/>
          <w:sz w:val="21"/>
        </w:rPr>
        <w:t>of </w:t>
      </w:r>
      <w:r>
        <w:rPr>
          <w:color w:val="1F1F1F"/>
          <w:sz w:val="21"/>
        </w:rPr>
        <w:t>£2.6 </w:t>
      </w:r>
      <w:r>
        <w:rPr>
          <w:color w:val="232323"/>
          <w:sz w:val="20"/>
        </w:rPr>
        <w:t>billion </w:t>
      </w:r>
      <w:r>
        <w:rPr>
          <w:color w:val="262626"/>
          <w:sz w:val="20"/>
        </w:rPr>
        <w:t>over </w:t>
      </w:r>
      <w:r>
        <w:rPr>
          <w:color w:val="2F2F2F"/>
          <w:sz w:val="20"/>
        </w:rPr>
        <w:t>6 </w:t>
      </w:r>
      <w:r>
        <w:rPr>
          <w:color w:val="1F1F1F"/>
          <w:sz w:val="20"/>
        </w:rPr>
        <w:t>years). </w:t>
      </w:r>
      <w:r>
        <w:rPr>
          <w:color w:val="2F2F2F"/>
          <w:sz w:val="20"/>
        </w:rPr>
        <w:t>It </w:t>
      </w:r>
      <w:r>
        <w:rPr>
          <w:color w:val="1F1F1F"/>
          <w:sz w:val="20"/>
        </w:rPr>
        <w:t>encourages </w:t>
      </w:r>
      <w:r>
        <w:rPr>
          <w:color w:val="2B2B2B"/>
          <w:sz w:val="20"/>
        </w:rPr>
        <w:t>a </w:t>
      </w:r>
      <w:r>
        <w:rPr>
          <w:color w:val="1A1A1A"/>
          <w:sz w:val="20"/>
        </w:rPr>
        <w:t>partnership </w:t>
      </w:r>
      <w:r>
        <w:rPr>
          <w:color w:val="2D2D2D"/>
          <w:sz w:val="20"/>
        </w:rPr>
        <w:t>approach </w:t>
      </w:r>
      <w:r>
        <w:rPr>
          <w:color w:val="313131"/>
          <w:sz w:val="20"/>
        </w:rPr>
        <w:t>to </w:t>
      </w:r>
      <w:r>
        <w:rPr>
          <w:color w:val="1F1F1F"/>
          <w:sz w:val="21"/>
        </w:rPr>
        <w:t>maximise</w:t>
      </w:r>
      <w:r>
        <w:rPr>
          <w:color w:val="1F1F1F"/>
          <w:spacing w:val="-35"/>
          <w:sz w:val="21"/>
        </w:rPr>
        <w:t> </w:t>
      </w:r>
      <w:r>
        <w:rPr>
          <w:color w:val="282828"/>
          <w:sz w:val="21"/>
        </w:rPr>
        <w:t>match-funding</w:t>
      </w:r>
      <w:r>
        <w:rPr>
          <w:color w:val="282828"/>
          <w:spacing w:val="-32"/>
          <w:sz w:val="21"/>
        </w:rPr>
        <w:t> </w:t>
      </w:r>
      <w:r>
        <w:rPr>
          <w:color w:val="262626"/>
          <w:sz w:val="21"/>
        </w:rPr>
        <w:t>and</w:t>
      </w:r>
      <w:r>
        <w:rPr>
          <w:color w:val="262626"/>
          <w:spacing w:val="-31"/>
          <w:sz w:val="21"/>
        </w:rPr>
        <w:t> </w:t>
      </w:r>
      <w:r>
        <w:rPr>
          <w:color w:val="313131"/>
          <w:sz w:val="21"/>
        </w:rPr>
        <w:t>work </w:t>
      </w:r>
      <w:r>
        <w:rPr>
          <w:color w:val="1F1F1F"/>
          <w:sz w:val="20"/>
        </w:rPr>
        <w:t>towards </w:t>
      </w:r>
      <w:r>
        <w:rPr>
          <w:color w:val="232323"/>
          <w:sz w:val="20"/>
        </w:rPr>
        <w:t>achieving </w:t>
      </w:r>
      <w:r>
        <w:rPr>
          <w:color w:val="282828"/>
          <w:sz w:val="20"/>
        </w:rPr>
        <w:t>specified outcomes with </w:t>
      </w:r>
      <w:r>
        <w:rPr>
          <w:color w:val="232323"/>
          <w:sz w:val="20"/>
        </w:rPr>
        <w:t>a </w:t>
      </w:r>
      <w:r>
        <w:rPr>
          <w:color w:val="262626"/>
          <w:sz w:val="20"/>
        </w:rPr>
        <w:t>requiremen”t </w:t>
      </w:r>
      <w:r>
        <w:rPr>
          <w:color w:val="343434"/>
          <w:sz w:val="20"/>
        </w:rPr>
        <w:t>to” </w:t>
      </w:r>
      <w:r>
        <w:rPr>
          <w:color w:val="282828"/>
          <w:sz w:val="20"/>
        </w:rPr>
        <w:t>evidence</w:t>
      </w:r>
      <w:r>
        <w:rPr>
          <w:color w:val="282828"/>
          <w:spacing w:val="-19"/>
          <w:sz w:val="20"/>
        </w:rPr>
        <w:t> </w:t>
      </w:r>
      <w:r>
        <w:rPr>
          <w:color w:val="1F1F1F"/>
          <w:sz w:val="20"/>
        </w:rPr>
        <w:t>a</w:t>
      </w:r>
      <w:r>
        <w:rPr>
          <w:color w:val="1F1F1F"/>
          <w:spacing w:val="-25"/>
          <w:sz w:val="20"/>
        </w:rPr>
        <w:t> </w:t>
      </w:r>
      <w:r>
        <w:rPr>
          <w:color w:val="1F1F1F"/>
          <w:sz w:val="20"/>
        </w:rPr>
        <w:t>reduction</w:t>
      </w:r>
      <w:r>
        <w:rPr>
          <w:color w:val="1F1F1F"/>
          <w:spacing w:val="-19"/>
          <w:sz w:val="20"/>
        </w:rPr>
        <w:t> </w:t>
      </w:r>
      <w:r>
        <w:rPr>
          <w:color w:val="2D2D2D"/>
          <w:sz w:val="20"/>
        </w:rPr>
        <w:t>in”flood</w:t>
      </w:r>
      <w:r>
        <w:rPr>
          <w:color w:val="2D2D2D"/>
          <w:spacing w:val="-21"/>
          <w:sz w:val="20"/>
        </w:rPr>
        <w:t> </w:t>
      </w:r>
      <w:r>
        <w:rPr>
          <w:color w:val="282828"/>
          <w:sz w:val="20"/>
        </w:rPr>
        <w:t>risk..to </w:t>
      </w:r>
      <w:r>
        <w:rPr>
          <w:color w:val="282828"/>
          <w:sz w:val="21"/>
        </w:rPr>
        <w:t>properties.</w:t>
      </w:r>
    </w:p>
    <w:p>
      <w:pPr>
        <w:pStyle w:val="BodyText"/>
        <w:spacing w:before="1"/>
        <w:rPr>
          <w:sz w:val="21"/>
        </w:rPr>
      </w:pPr>
    </w:p>
    <w:p>
      <w:pPr>
        <w:spacing w:line="237" w:lineRule="auto" w:before="0"/>
        <w:ind w:left="213" w:right="15" w:firstLine="3"/>
        <w:jc w:val="left"/>
        <w:rPr>
          <w:sz w:val="21"/>
        </w:rPr>
      </w:pPr>
      <w:r>
        <w:rPr>
          <w:color w:val="212121"/>
          <w:w w:val="95"/>
          <w:sz w:val="21"/>
        </w:rPr>
        <w:t>Annual </w:t>
      </w:r>
      <w:r>
        <w:rPr>
          <w:color w:val="232323"/>
          <w:w w:val="95"/>
          <w:sz w:val="21"/>
        </w:rPr>
        <w:t>contributions </w:t>
      </w:r>
      <w:r>
        <w:rPr>
          <w:color w:val="2D2D2D"/>
          <w:w w:val="95"/>
          <w:sz w:val="21"/>
        </w:rPr>
        <w:t>from </w:t>
      </w:r>
      <w:r>
        <w:rPr>
          <w:color w:val="282828"/>
          <w:w w:val="95"/>
          <w:sz w:val="21"/>
        </w:rPr>
        <w:t>councils </w:t>
      </w:r>
      <w:r>
        <w:rPr>
          <w:color w:val="212121"/>
          <w:sz w:val="20"/>
        </w:rPr>
        <w:t>to </w:t>
      </w:r>
      <w:r>
        <w:rPr>
          <w:color w:val="282828"/>
          <w:sz w:val="20"/>
        </w:rPr>
        <w:t>a </w:t>
      </w:r>
      <w:r>
        <w:rPr>
          <w:color w:val="232323"/>
          <w:sz w:val="20"/>
        </w:rPr>
        <w:t>regional </w:t>
      </w:r>
      <w:r>
        <w:rPr>
          <w:color w:val="1A1A1A"/>
          <w:sz w:val="20"/>
        </w:rPr>
        <w:t>‘pot’. </w:t>
      </w:r>
      <w:r>
        <w:rPr>
          <w:color w:val="181818"/>
          <w:sz w:val="20"/>
        </w:rPr>
        <w:t>It </w:t>
      </w:r>
      <w:r>
        <w:rPr>
          <w:color w:val="2F2F2F"/>
          <w:sz w:val="20"/>
        </w:rPr>
        <w:t>is </w:t>
      </w:r>
      <w:r>
        <w:rPr>
          <w:color w:val="262626"/>
          <w:sz w:val="20"/>
        </w:rPr>
        <w:t>smaller </w:t>
      </w:r>
      <w:r>
        <w:rPr>
          <w:color w:val="2A2A2A"/>
          <w:sz w:val="20"/>
        </w:rPr>
        <w:t>than </w:t>
      </w:r>
      <w:r>
        <w:rPr>
          <w:color w:val="282828"/>
          <w:sz w:val="20"/>
        </w:rPr>
        <w:t>the </w:t>
      </w:r>
      <w:r>
        <w:rPr>
          <w:color w:val="181818"/>
          <w:sz w:val="20"/>
        </w:rPr>
        <w:t>FCERM </w:t>
      </w:r>
      <w:r>
        <w:rPr>
          <w:color w:val="212121"/>
          <w:sz w:val="20"/>
        </w:rPr>
        <w:t>GiA </w:t>
      </w:r>
      <w:r>
        <w:rPr>
          <w:color w:val="242424"/>
          <w:sz w:val="20"/>
        </w:rPr>
        <w:t>budget </w:t>
      </w:r>
      <w:r>
        <w:rPr>
          <w:color w:val="181818"/>
          <w:sz w:val="20"/>
        </w:rPr>
        <w:t>but </w:t>
      </w:r>
      <w:r>
        <w:rPr>
          <w:color w:val="2A2A2A"/>
          <w:sz w:val="20"/>
        </w:rPr>
        <w:t>offers </w:t>
      </w:r>
      <w:r>
        <w:rPr>
          <w:color w:val="1F1F1F"/>
          <w:sz w:val="20"/>
        </w:rPr>
        <w:t>more </w:t>
      </w:r>
      <w:r>
        <w:rPr>
          <w:color w:val="232323"/>
          <w:sz w:val="20"/>
        </w:rPr>
        <w:t>flexibility </w:t>
      </w:r>
      <w:r>
        <w:rPr>
          <w:color w:val="313131"/>
          <w:sz w:val="20"/>
        </w:rPr>
        <w:t>on </w:t>
      </w:r>
      <w:r>
        <w:rPr>
          <w:color w:val="1A1A1A"/>
          <w:sz w:val="20"/>
        </w:rPr>
        <w:t>the </w:t>
      </w:r>
      <w:r>
        <w:rPr>
          <w:color w:val="282828"/>
          <w:sz w:val="20"/>
        </w:rPr>
        <w:t>type </w:t>
      </w:r>
      <w:r>
        <w:rPr>
          <w:color w:val="181818"/>
          <w:sz w:val="20"/>
        </w:rPr>
        <w:t>and </w:t>
      </w:r>
      <w:r>
        <w:rPr>
          <w:color w:val="282828"/>
          <w:sz w:val="20"/>
        </w:rPr>
        <w:t>size </w:t>
      </w:r>
      <w:r>
        <w:rPr>
          <w:color w:val="313131"/>
          <w:sz w:val="21"/>
        </w:rPr>
        <w:t>of </w:t>
      </w:r>
      <w:r>
        <w:rPr>
          <w:color w:val="242424"/>
          <w:sz w:val="21"/>
        </w:rPr>
        <w:t>project </w:t>
      </w:r>
      <w:r>
        <w:rPr>
          <w:color w:val="181818"/>
          <w:sz w:val="21"/>
        </w:rPr>
        <w:t>it </w:t>
      </w:r>
      <w:r>
        <w:rPr>
          <w:color w:val="2F2F2F"/>
          <w:sz w:val="21"/>
        </w:rPr>
        <w:t>can </w:t>
      </w:r>
      <w:r>
        <w:rPr>
          <w:color w:val="2A2A2A"/>
          <w:sz w:val="21"/>
        </w:rPr>
        <w:t>fund.</w:t>
      </w:r>
    </w:p>
    <w:p>
      <w:pPr>
        <w:pStyle w:val="BodyText"/>
        <w:spacing w:before="2"/>
        <w:rPr>
          <w:sz w:val="21"/>
        </w:rPr>
      </w:pPr>
    </w:p>
    <w:p>
      <w:pPr>
        <w:spacing w:line="232" w:lineRule="auto" w:before="1"/>
        <w:ind w:left="212" w:right="245" w:firstLine="3"/>
        <w:jc w:val="left"/>
        <w:rPr>
          <w:sz w:val="21"/>
        </w:rPr>
      </w:pPr>
      <w:r>
        <w:rPr>
          <w:color w:val="212121"/>
          <w:sz w:val="20"/>
        </w:rPr>
        <w:t>Voluntary, </w:t>
      </w:r>
      <w:r>
        <w:rPr>
          <w:color w:val="1C1C1C"/>
          <w:sz w:val="20"/>
        </w:rPr>
        <w:t>but </w:t>
      </w:r>
      <w:r>
        <w:rPr>
          <w:color w:val="2D2D2D"/>
          <w:sz w:val="20"/>
        </w:rPr>
        <w:t>funding from </w:t>
      </w:r>
      <w:r>
        <w:rPr>
          <w:color w:val="262626"/>
          <w:sz w:val="20"/>
        </w:rPr>
        <w:t>beneficiaries </w:t>
      </w:r>
      <w:r>
        <w:rPr>
          <w:color w:val="2A2A2A"/>
          <w:sz w:val="20"/>
        </w:rPr>
        <w:t>of projects </w:t>
      </w:r>
      <w:r>
        <w:rPr>
          <w:color w:val="232323"/>
          <w:sz w:val="20"/>
        </w:rPr>
        <w:t>could </w:t>
      </w:r>
      <w:r>
        <w:rPr>
          <w:color w:val="2F2F2F"/>
          <w:w w:val="95"/>
          <w:sz w:val="21"/>
        </w:rPr>
        <w:t>make </w:t>
      </w:r>
      <w:r>
        <w:rPr>
          <w:color w:val="1C1C1C"/>
          <w:w w:val="95"/>
          <w:sz w:val="21"/>
        </w:rPr>
        <w:t>contributions </w:t>
      </w:r>
      <w:r>
        <w:rPr>
          <w:color w:val="262626"/>
          <w:w w:val="95"/>
          <w:sz w:val="21"/>
        </w:rPr>
        <w:t>from </w:t>
      </w:r>
      <w:r>
        <w:rPr>
          <w:color w:val="232323"/>
          <w:w w:val="95"/>
          <w:sz w:val="21"/>
        </w:rPr>
        <w:t>national </w:t>
      </w:r>
      <w:r>
        <w:rPr>
          <w:color w:val="242424"/>
          <w:sz w:val="21"/>
        </w:rPr>
        <w:t>funding </w:t>
      </w:r>
      <w:r>
        <w:rPr>
          <w:color w:val="2D2D2D"/>
          <w:sz w:val="21"/>
        </w:rPr>
        <w:t>viable.</w:t>
      </w:r>
    </w:p>
    <w:p>
      <w:pPr>
        <w:pStyle w:val="BodyText"/>
        <w:spacing w:before="1"/>
        <w:rPr>
          <w:sz w:val="21"/>
        </w:rPr>
      </w:pPr>
    </w:p>
    <w:p>
      <w:pPr>
        <w:spacing w:line="237" w:lineRule="auto" w:before="0"/>
        <w:ind w:left="213" w:right="111" w:firstLine="4"/>
        <w:jc w:val="left"/>
        <w:rPr>
          <w:sz w:val="21"/>
        </w:rPr>
      </w:pPr>
      <w:r>
        <w:rPr>
          <w:color w:val="1F1F1F"/>
          <w:sz w:val="20"/>
        </w:rPr>
        <w:t>Investment </w:t>
      </w:r>
      <w:r>
        <w:rPr>
          <w:color w:val="262626"/>
          <w:sz w:val="20"/>
        </w:rPr>
        <w:t>is </w:t>
      </w:r>
      <w:r>
        <w:rPr>
          <w:color w:val="282828"/>
          <w:sz w:val="20"/>
        </w:rPr>
        <w:t>heavily </w:t>
      </w:r>
      <w:r>
        <w:rPr>
          <w:color w:val="262626"/>
          <w:sz w:val="20"/>
        </w:rPr>
        <w:t>regulated </w:t>
      </w:r>
      <w:r>
        <w:rPr>
          <w:color w:val="2F2F2F"/>
          <w:sz w:val="20"/>
        </w:rPr>
        <w:t>by </w:t>
      </w:r>
      <w:r>
        <w:rPr>
          <w:color w:val="343434"/>
          <w:sz w:val="20"/>
        </w:rPr>
        <w:t>Ofwat, </w:t>
      </w:r>
      <w:r>
        <w:rPr>
          <w:color w:val="2F2F2F"/>
          <w:sz w:val="20"/>
        </w:rPr>
        <w:t>but </w:t>
      </w:r>
      <w:r>
        <w:rPr>
          <w:color w:val="2A2A2A"/>
          <w:sz w:val="20"/>
        </w:rPr>
        <w:t>there </w:t>
      </w:r>
      <w:r>
        <w:rPr>
          <w:color w:val="2F2F2F"/>
          <w:sz w:val="20"/>
        </w:rPr>
        <w:t>are </w:t>
      </w:r>
      <w:r>
        <w:rPr>
          <w:color w:val="282828"/>
          <w:sz w:val="20"/>
        </w:rPr>
        <w:t>opportunities </w:t>
      </w:r>
      <w:r>
        <w:rPr>
          <w:color w:val="2D2D2D"/>
          <w:sz w:val="20"/>
        </w:rPr>
        <w:t>for </w:t>
      </w:r>
      <w:r>
        <w:rPr>
          <w:color w:val="2A2A2A"/>
          <w:sz w:val="20"/>
        </w:rPr>
        <w:t>contributions to </w:t>
      </w:r>
      <w:r>
        <w:rPr>
          <w:color w:val="282828"/>
          <w:sz w:val="20"/>
        </w:rPr>
        <w:t>area- </w:t>
      </w:r>
      <w:r>
        <w:rPr>
          <w:color w:val="2D2D2D"/>
          <w:sz w:val="20"/>
        </w:rPr>
        <w:t>wide </w:t>
      </w:r>
      <w:r>
        <w:rPr>
          <w:color w:val="2B2B2B"/>
          <w:sz w:val="20"/>
        </w:rPr>
        <w:t>projects </w:t>
      </w:r>
      <w:r>
        <w:rPr>
          <w:color w:val="313131"/>
          <w:sz w:val="20"/>
        </w:rPr>
        <w:t>which help </w:t>
      </w:r>
      <w:r>
        <w:rPr>
          <w:color w:val="2B2B2B"/>
          <w:sz w:val="20"/>
        </w:rPr>
        <w:t>to </w:t>
      </w:r>
      <w:r>
        <w:rPr>
          <w:color w:val="2A2A2A"/>
          <w:sz w:val="20"/>
        </w:rPr>
        <w:t>address </w:t>
      </w:r>
      <w:r>
        <w:rPr>
          <w:color w:val="262626"/>
          <w:sz w:val="21"/>
        </w:rPr>
        <w:t>sewer </w:t>
      </w:r>
      <w:r>
        <w:rPr>
          <w:color w:val="242424"/>
          <w:sz w:val="21"/>
        </w:rPr>
        <w:t>under-capacity </w:t>
      </w:r>
      <w:r>
        <w:rPr>
          <w:color w:val="2B2B2B"/>
          <w:sz w:val="21"/>
        </w:rPr>
        <w:t>problems.</w:t>
      </w:r>
    </w:p>
    <w:p>
      <w:pPr>
        <w:pStyle w:val="BodyText"/>
        <w:spacing w:before="8"/>
        <w:rPr>
          <w:sz w:val="21"/>
        </w:rPr>
      </w:pPr>
    </w:p>
    <w:p>
      <w:pPr>
        <w:pStyle w:val="BodyText"/>
        <w:spacing w:line="208" w:lineRule="auto"/>
        <w:ind w:left="201" w:right="111" w:firstLine="13"/>
      </w:pPr>
      <w:r>
        <w:rPr>
          <w:color w:val="262626"/>
          <w:w w:val="95"/>
        </w:rPr>
        <w:t>Contributions </w:t>
      </w:r>
      <w:r>
        <w:rPr>
          <w:color w:val="2F2F2F"/>
          <w:w w:val="95"/>
        </w:rPr>
        <w:t>from </w:t>
      </w:r>
      <w:r>
        <w:rPr>
          <w:color w:val="232323"/>
          <w:w w:val="95"/>
        </w:rPr>
        <w:t>developers </w:t>
      </w:r>
      <w:r>
        <w:rPr>
          <w:color w:val="282828"/>
          <w:w w:val="95"/>
        </w:rPr>
        <w:t>linked </w:t>
      </w:r>
      <w:r>
        <w:rPr>
          <w:color w:val="181818"/>
          <w:w w:val="95"/>
        </w:rPr>
        <w:t>to specific </w:t>
      </w:r>
      <w:r>
        <w:rPr>
          <w:color w:val="242424"/>
          <w:w w:val="95"/>
        </w:rPr>
        <w:t>development </w:t>
      </w:r>
      <w:r>
        <w:rPr>
          <w:color w:val="242424"/>
          <w:w w:val="85"/>
        </w:rPr>
        <w:t>sites, </w:t>
      </w:r>
      <w:r>
        <w:rPr>
          <w:color w:val="232323"/>
          <w:w w:val="85"/>
        </w:rPr>
        <w:t>where off-she improvements </w:t>
      </w:r>
      <w:r>
        <w:rPr>
          <w:color w:val="282828"/>
          <w:w w:val="95"/>
        </w:rPr>
        <w:t>to </w:t>
      </w:r>
      <w:r>
        <w:rPr>
          <w:color w:val="2F2F2F"/>
          <w:w w:val="95"/>
        </w:rPr>
        <w:t>drainage </w:t>
      </w:r>
      <w:r>
        <w:rPr>
          <w:color w:val="181818"/>
          <w:w w:val="95"/>
        </w:rPr>
        <w:t>infrastructure </w:t>
      </w:r>
      <w:r>
        <w:rPr>
          <w:color w:val="262626"/>
          <w:w w:val="95"/>
        </w:rPr>
        <w:t>are </w:t>
      </w:r>
      <w:r>
        <w:rPr>
          <w:color w:val="1D1D1D"/>
          <w:w w:val="90"/>
        </w:rPr>
        <w:t>required to </w:t>
      </w:r>
      <w:r>
        <w:rPr>
          <w:color w:val="2D2D2D"/>
          <w:w w:val="90"/>
        </w:rPr>
        <w:t>make </w:t>
      </w:r>
      <w:r>
        <w:rPr>
          <w:color w:val="282828"/>
          <w:w w:val="90"/>
        </w:rPr>
        <w:t>the </w:t>
      </w:r>
      <w:r>
        <w:rPr>
          <w:color w:val="161616"/>
          <w:w w:val="90"/>
        </w:rPr>
        <w:t>bevelopers </w:t>
      </w:r>
      <w:r>
        <w:rPr>
          <w:color w:val="181818"/>
          <w:w w:val="95"/>
        </w:rPr>
        <w:t>proposals acceptable</w:t>
      </w:r>
    </w:p>
    <w:p>
      <w:pPr>
        <w:pStyle w:val="BodyText"/>
        <w:spacing w:before="6"/>
        <w:rPr>
          <w:sz w:val="21"/>
        </w:rPr>
      </w:pPr>
    </w:p>
    <w:p>
      <w:pPr>
        <w:spacing w:line="232" w:lineRule="auto" w:before="0"/>
        <w:ind w:left="212" w:right="0" w:firstLine="4"/>
        <w:jc w:val="left"/>
        <w:rPr>
          <w:sz w:val="20"/>
        </w:rPr>
      </w:pPr>
      <w:r>
        <w:rPr>
          <w:color w:val="313131"/>
          <w:sz w:val="20"/>
        </w:rPr>
        <w:t>A</w:t>
      </w:r>
      <w:r>
        <w:rPr>
          <w:color w:val="313131"/>
          <w:spacing w:val="-6"/>
          <w:sz w:val="20"/>
        </w:rPr>
        <w:t> </w:t>
      </w:r>
      <w:r>
        <w:rPr>
          <w:color w:val="1A1A1A"/>
          <w:sz w:val="20"/>
        </w:rPr>
        <w:t>local</w:t>
      </w:r>
      <w:r>
        <w:rPr>
          <w:color w:val="1A1A1A"/>
          <w:spacing w:val="-10"/>
          <w:sz w:val="20"/>
        </w:rPr>
        <w:t> </w:t>
      </w:r>
      <w:r>
        <w:rPr>
          <w:color w:val="181818"/>
          <w:sz w:val="20"/>
        </w:rPr>
        <w:t>levy</w:t>
      </w:r>
      <w:r>
        <w:rPr>
          <w:color w:val="181818"/>
          <w:spacing w:val="-2"/>
          <w:sz w:val="20"/>
        </w:rPr>
        <w:t> </w:t>
      </w:r>
      <w:r>
        <w:rPr>
          <w:color w:val="242424"/>
          <w:sz w:val="20"/>
        </w:rPr>
        <w:t>applied</w:t>
      </w:r>
      <w:r>
        <w:rPr>
          <w:color w:val="242424"/>
          <w:spacing w:val="-6"/>
          <w:sz w:val="20"/>
        </w:rPr>
        <w:t> </w:t>
      </w:r>
      <w:r>
        <w:rPr>
          <w:color w:val="2F2F2F"/>
          <w:sz w:val="20"/>
        </w:rPr>
        <w:t>by</w:t>
      </w:r>
      <w:r>
        <w:rPr>
          <w:color w:val="2F2F2F"/>
          <w:spacing w:val="-12"/>
          <w:sz w:val="20"/>
        </w:rPr>
        <w:t> </w:t>
      </w:r>
      <w:r>
        <w:rPr>
          <w:color w:val="1D1D1D"/>
          <w:sz w:val="20"/>
        </w:rPr>
        <w:t>the</w:t>
      </w:r>
      <w:r>
        <w:rPr>
          <w:color w:val="1D1D1D"/>
          <w:spacing w:val="-9"/>
          <w:sz w:val="20"/>
        </w:rPr>
        <w:t> </w:t>
      </w:r>
      <w:r>
        <w:rPr>
          <w:color w:val="232323"/>
          <w:sz w:val="20"/>
        </w:rPr>
        <w:t>Planning </w:t>
      </w:r>
      <w:r>
        <w:rPr>
          <w:color w:val="282828"/>
          <w:sz w:val="20"/>
        </w:rPr>
        <w:t>Authority </w:t>
      </w:r>
      <w:r>
        <w:rPr>
          <w:color w:val="1A1A1A"/>
          <w:sz w:val="20"/>
        </w:rPr>
        <w:t>on </w:t>
      </w:r>
      <w:r>
        <w:rPr>
          <w:color w:val="181818"/>
          <w:sz w:val="20"/>
        </w:rPr>
        <w:t>developers </w:t>
      </w:r>
      <w:r>
        <w:rPr>
          <w:color w:val="262626"/>
          <w:sz w:val="20"/>
        </w:rPr>
        <w:t>to </w:t>
      </w:r>
      <w:r>
        <w:rPr>
          <w:color w:val="1A1A1A"/>
          <w:sz w:val="21"/>
        </w:rPr>
        <w:t>contribute </w:t>
      </w:r>
      <w:r>
        <w:rPr>
          <w:color w:val="262626"/>
          <w:sz w:val="21"/>
        </w:rPr>
        <w:t>to </w:t>
      </w:r>
      <w:r>
        <w:rPr>
          <w:color w:val="2A2A2A"/>
          <w:sz w:val="21"/>
        </w:rPr>
        <w:t>a </w:t>
      </w:r>
      <w:r>
        <w:rPr>
          <w:color w:val="1C1C1C"/>
          <w:sz w:val="21"/>
        </w:rPr>
        <w:t>general </w:t>
      </w:r>
      <w:r>
        <w:rPr>
          <w:color w:val="1D1D1D"/>
          <w:sz w:val="21"/>
        </w:rPr>
        <w:t>infrastructure </w:t>
      </w:r>
      <w:r>
        <w:rPr>
          <w:color w:val="1F1F1F"/>
          <w:sz w:val="21"/>
        </w:rPr>
        <w:t>fund. </w:t>
      </w:r>
      <w:r>
        <w:rPr>
          <w:color w:val="262626"/>
          <w:sz w:val="21"/>
        </w:rPr>
        <w:t>A </w:t>
      </w:r>
      <w:r>
        <w:rPr>
          <w:color w:val="131313"/>
          <w:sz w:val="21"/>
        </w:rPr>
        <w:t>bid </w:t>
      </w:r>
      <w:r>
        <w:rPr>
          <w:color w:val="2B2B2B"/>
          <w:sz w:val="21"/>
        </w:rPr>
        <w:t>for </w:t>
      </w:r>
      <w:r>
        <w:rPr>
          <w:color w:val="151515"/>
          <w:sz w:val="21"/>
        </w:rPr>
        <w:t>CIL </w:t>
      </w:r>
      <w:r>
        <w:rPr>
          <w:color w:val="232323"/>
          <w:sz w:val="21"/>
        </w:rPr>
        <w:t>must </w:t>
      </w:r>
      <w:r>
        <w:rPr>
          <w:color w:val="1D1D1D"/>
          <w:sz w:val="21"/>
        </w:rPr>
        <w:t>be </w:t>
      </w:r>
      <w:r>
        <w:rPr>
          <w:color w:val="1A1A1A"/>
          <w:sz w:val="21"/>
        </w:rPr>
        <w:t>made for </w:t>
      </w:r>
      <w:r>
        <w:rPr>
          <w:color w:val="242424"/>
          <w:sz w:val="21"/>
        </w:rPr>
        <w:t>flood </w:t>
      </w:r>
      <w:r>
        <w:rPr>
          <w:color w:val="1A1A1A"/>
          <w:sz w:val="21"/>
        </w:rPr>
        <w:t>management </w:t>
      </w:r>
      <w:r>
        <w:rPr>
          <w:color w:val="262626"/>
          <w:sz w:val="21"/>
        </w:rPr>
        <w:t>or </w:t>
      </w:r>
      <w:r>
        <w:rPr>
          <w:color w:val="1A1A1A"/>
          <w:sz w:val="21"/>
        </w:rPr>
        <w:t>drainage </w:t>
      </w:r>
      <w:r>
        <w:rPr>
          <w:color w:val="181818"/>
          <w:sz w:val="21"/>
        </w:rPr>
        <w:t>improvements </w:t>
      </w:r>
      <w:r>
        <w:rPr>
          <w:color w:val="2A2A2A"/>
          <w:sz w:val="21"/>
        </w:rPr>
        <w:t>against </w:t>
      </w:r>
      <w:r>
        <w:rPr>
          <w:color w:val="212121"/>
          <w:sz w:val="21"/>
        </w:rPr>
        <w:t>other </w:t>
      </w:r>
      <w:r>
        <w:rPr>
          <w:color w:val="232323"/>
          <w:sz w:val="20"/>
        </w:rPr>
        <w:t>competing </w:t>
      </w:r>
      <w:r>
        <w:rPr>
          <w:color w:val="181818"/>
          <w:sz w:val="20"/>
        </w:rPr>
        <w:t>council</w:t>
      </w:r>
      <w:r>
        <w:rPr>
          <w:color w:val="181818"/>
          <w:spacing w:val="23"/>
          <w:sz w:val="20"/>
        </w:rPr>
        <w:t> </w:t>
      </w:r>
      <w:r>
        <w:rPr>
          <w:color w:val="242424"/>
          <w:sz w:val="20"/>
        </w:rPr>
        <w:t>priorities.</w:t>
      </w:r>
    </w:p>
    <w:p>
      <w:pPr>
        <w:pStyle w:val="BodyText"/>
        <w:spacing w:before="7"/>
        <w:rPr>
          <w:sz w:val="20"/>
        </w:rPr>
      </w:pPr>
    </w:p>
    <w:p>
      <w:pPr>
        <w:spacing w:before="0"/>
        <w:ind w:left="209" w:right="-14" w:firstLine="4"/>
        <w:jc w:val="left"/>
        <w:rPr>
          <w:sz w:val="20"/>
        </w:rPr>
      </w:pPr>
      <w:r>
        <w:rPr>
          <w:color w:val="181818"/>
          <w:sz w:val="20"/>
        </w:rPr>
        <w:t>Where </w:t>
      </w:r>
      <w:r>
        <w:rPr>
          <w:color w:val="232323"/>
          <w:sz w:val="20"/>
        </w:rPr>
        <w:t>a </w:t>
      </w:r>
      <w:r>
        <w:rPr>
          <w:color w:val="1C1C1C"/>
          <w:sz w:val="20"/>
        </w:rPr>
        <w:t>developer, </w:t>
      </w:r>
      <w:r>
        <w:rPr>
          <w:color w:val="1F1F1F"/>
          <w:sz w:val="20"/>
        </w:rPr>
        <w:t>as </w:t>
      </w:r>
      <w:r>
        <w:rPr>
          <w:color w:val="2F2F2F"/>
          <w:sz w:val="20"/>
        </w:rPr>
        <w:t>part </w:t>
      </w:r>
      <w:r>
        <w:rPr>
          <w:color w:val="2D2D2D"/>
          <w:sz w:val="20"/>
        </w:rPr>
        <w:t>of </w:t>
      </w:r>
      <w:r>
        <w:rPr>
          <w:color w:val="282828"/>
          <w:sz w:val="20"/>
        </w:rPr>
        <w:t>their </w:t>
      </w:r>
      <w:r>
        <w:rPr>
          <w:color w:val="1F1F1F"/>
          <w:sz w:val="20"/>
        </w:rPr>
        <w:t>proposals, </w:t>
      </w:r>
      <w:r>
        <w:rPr>
          <w:color w:val="1C1C1C"/>
          <w:sz w:val="20"/>
        </w:rPr>
        <w:t>construct </w:t>
      </w:r>
      <w:r>
        <w:rPr>
          <w:color w:val="232323"/>
          <w:sz w:val="20"/>
        </w:rPr>
        <w:t>works </w:t>
      </w:r>
      <w:r>
        <w:rPr>
          <w:color w:val="2D2D2D"/>
          <w:sz w:val="20"/>
        </w:rPr>
        <w:t>for flood </w:t>
      </w:r>
      <w:r>
        <w:rPr>
          <w:color w:val="2B2B2B"/>
          <w:sz w:val="20"/>
        </w:rPr>
        <w:t>alleviation. </w:t>
      </w:r>
      <w:r>
        <w:rPr>
          <w:color w:val="2D2D2D"/>
          <w:sz w:val="20"/>
        </w:rPr>
        <w:t>These </w:t>
      </w:r>
      <w:r>
        <w:rPr>
          <w:color w:val="343434"/>
          <w:sz w:val="20"/>
        </w:rPr>
        <w:t>can </w:t>
      </w:r>
      <w:r>
        <w:rPr>
          <w:color w:val="232323"/>
          <w:sz w:val="20"/>
        </w:rPr>
        <w:t>be </w:t>
      </w:r>
      <w:r>
        <w:rPr>
          <w:color w:val="1F1F1F"/>
          <w:sz w:val="20"/>
        </w:rPr>
        <w:t>separate </w:t>
      </w:r>
      <w:r>
        <w:rPr>
          <w:color w:val="262626"/>
          <w:sz w:val="20"/>
        </w:rPr>
        <w:t>schem es, part </w:t>
      </w:r>
      <w:r>
        <w:rPr>
          <w:color w:val="2D2D2D"/>
          <w:sz w:val="20"/>
        </w:rPr>
        <w:t>of </w:t>
      </w:r>
      <w:r>
        <w:rPr>
          <w:color w:val="2B2B2B"/>
          <w:sz w:val="20"/>
        </w:rPr>
        <w:t>a </w:t>
      </w:r>
      <w:r>
        <w:rPr>
          <w:color w:val="282828"/>
          <w:sz w:val="20"/>
        </w:rPr>
        <w:t>larger </w:t>
      </w:r>
      <w:r>
        <w:rPr>
          <w:color w:val="2A2A2A"/>
          <w:sz w:val="20"/>
        </w:rPr>
        <w:t>scheme or </w:t>
      </w:r>
      <w:r>
        <w:rPr>
          <w:color w:val="161616"/>
          <w:sz w:val="20"/>
        </w:rPr>
        <w:t>contributions </w:t>
      </w:r>
      <w:r>
        <w:rPr>
          <w:color w:val="2D2D2D"/>
          <w:sz w:val="20"/>
        </w:rPr>
        <w:t>in </w:t>
      </w:r>
      <w:r>
        <w:rPr>
          <w:color w:val="2A2A2A"/>
          <w:sz w:val="20"/>
        </w:rPr>
        <w:t>kind </w:t>
      </w:r>
      <w:r>
        <w:rPr>
          <w:color w:val="262626"/>
          <w:sz w:val="20"/>
        </w:rPr>
        <w:t>i.e. land</w:t>
      </w:r>
    </w:p>
    <w:p>
      <w:pPr>
        <w:spacing w:before="93"/>
        <w:ind w:left="182" w:right="0" w:firstLine="13"/>
        <w:jc w:val="left"/>
        <w:rPr>
          <w:sz w:val="20"/>
        </w:rPr>
      </w:pPr>
      <w:r>
        <w:rPr/>
        <w:br w:type="column"/>
      </w:r>
      <w:r>
        <w:rPr>
          <w:color w:val="D44F5D"/>
          <w:w w:val="105"/>
          <w:sz w:val="20"/>
        </w:rPr>
        <w:t>Administered </w:t>
      </w:r>
      <w:r>
        <w:rPr>
          <w:color w:val="E23A33"/>
          <w:w w:val="110"/>
          <w:sz w:val="20"/>
        </w:rPr>
        <w:t>by</w:t>
      </w:r>
    </w:p>
    <w:p>
      <w:pPr>
        <w:pStyle w:val="BodyText"/>
        <w:spacing w:before="7"/>
        <w:rPr>
          <w:sz w:val="20"/>
        </w:rPr>
      </w:pPr>
    </w:p>
    <w:p>
      <w:pPr>
        <w:spacing w:line="249" w:lineRule="exact" w:before="0"/>
        <w:ind w:left="187" w:right="0" w:firstLine="0"/>
        <w:jc w:val="left"/>
        <w:rPr>
          <w:sz w:val="22"/>
        </w:rPr>
      </w:pPr>
      <w:r>
        <w:rPr>
          <w:color w:val="151515"/>
          <w:sz w:val="22"/>
        </w:rPr>
        <w:t>Environment</w:t>
      </w:r>
    </w:p>
    <w:p>
      <w:pPr>
        <w:spacing w:line="226" w:lineRule="exact" w:before="0"/>
        <w:ind w:left="195" w:right="0" w:firstLine="0"/>
        <w:jc w:val="left"/>
        <w:rPr>
          <w:sz w:val="20"/>
        </w:rPr>
      </w:pPr>
      <w:r>
        <w:rPr>
          <w:color w:val="1F1F1F"/>
          <w:sz w:val="20"/>
        </w:rPr>
        <w:t>Agency</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5"/>
        </w:rPr>
      </w:pPr>
    </w:p>
    <w:p>
      <w:pPr>
        <w:spacing w:line="251" w:lineRule="exact" w:before="0"/>
        <w:ind w:left="197" w:right="0" w:firstLine="0"/>
        <w:jc w:val="left"/>
        <w:rPr>
          <w:sz w:val="22"/>
        </w:rPr>
      </w:pPr>
      <w:r>
        <w:rPr>
          <w:color w:val="181818"/>
          <w:sz w:val="22"/>
        </w:rPr>
        <w:t>Environment</w:t>
      </w:r>
    </w:p>
    <w:p>
      <w:pPr>
        <w:spacing w:line="228" w:lineRule="exact" w:before="0"/>
        <w:ind w:left="195" w:right="0" w:firstLine="0"/>
        <w:jc w:val="left"/>
        <w:rPr>
          <w:sz w:val="20"/>
        </w:rPr>
      </w:pPr>
      <w:r>
        <w:rPr>
          <w:color w:val="282828"/>
          <w:sz w:val="20"/>
        </w:rPr>
        <w:t>Agency</w:t>
      </w:r>
    </w:p>
    <w:p>
      <w:pPr>
        <w:pStyle w:val="BodyText"/>
        <w:rPr>
          <w:sz w:val="22"/>
        </w:rPr>
      </w:pPr>
    </w:p>
    <w:p>
      <w:pPr>
        <w:pStyle w:val="BodyText"/>
        <w:rPr>
          <w:sz w:val="22"/>
        </w:rPr>
      </w:pPr>
    </w:p>
    <w:p>
      <w:pPr>
        <w:pStyle w:val="BodyText"/>
        <w:rPr>
          <w:sz w:val="22"/>
        </w:rPr>
      </w:pPr>
    </w:p>
    <w:p>
      <w:pPr>
        <w:spacing w:before="173"/>
        <w:ind w:left="195" w:right="393" w:firstLine="5"/>
        <w:jc w:val="left"/>
        <w:rPr>
          <w:sz w:val="20"/>
        </w:rPr>
      </w:pPr>
      <w:r>
        <w:rPr>
          <w:color w:val="2A2A2A"/>
          <w:sz w:val="20"/>
        </w:rPr>
        <w:t>Leeds</w:t>
      </w:r>
      <w:r>
        <w:rPr>
          <w:color w:val="2A2A2A"/>
          <w:spacing w:val="-18"/>
          <w:sz w:val="20"/>
        </w:rPr>
        <w:t> </w:t>
      </w:r>
      <w:r>
        <w:rPr>
          <w:color w:val="212121"/>
          <w:sz w:val="20"/>
        </w:rPr>
        <w:t>City </w:t>
      </w:r>
      <w:r>
        <w:rPr>
          <w:color w:val="1C1C1C"/>
          <w:sz w:val="20"/>
        </w:rPr>
        <w:t>Council</w:t>
      </w:r>
    </w:p>
    <w:p>
      <w:pPr>
        <w:pStyle w:val="BodyText"/>
        <w:rPr>
          <w:sz w:val="22"/>
        </w:rPr>
      </w:pPr>
    </w:p>
    <w:p>
      <w:pPr>
        <w:pStyle w:val="BodyText"/>
        <w:rPr>
          <w:sz w:val="22"/>
        </w:rPr>
      </w:pPr>
    </w:p>
    <w:p>
      <w:pPr>
        <w:spacing w:before="195"/>
        <w:ind w:left="193" w:right="-12" w:firstLine="1"/>
        <w:jc w:val="left"/>
        <w:rPr>
          <w:sz w:val="20"/>
        </w:rPr>
      </w:pPr>
      <w:r>
        <w:rPr>
          <w:color w:val="282828"/>
          <w:sz w:val="20"/>
        </w:rPr>
        <w:t>Yorkshire </w:t>
      </w:r>
      <w:r>
        <w:rPr>
          <w:color w:val="2B2B2B"/>
          <w:sz w:val="20"/>
        </w:rPr>
        <w:t>Water</w:t>
      </w:r>
      <w:r>
        <w:rPr>
          <w:color w:val="2B2B2B"/>
          <w:spacing w:val="-17"/>
          <w:sz w:val="20"/>
        </w:rPr>
        <w:t> </w:t>
      </w:r>
      <w:r>
        <w:rPr>
          <w:color w:val="242424"/>
          <w:sz w:val="20"/>
        </w:rPr>
        <w:t>Services </w:t>
      </w:r>
      <w:r>
        <w:rPr>
          <w:color w:val="1D1D1D"/>
          <w:sz w:val="20"/>
        </w:rPr>
        <w:t>Limited</w:t>
      </w:r>
    </w:p>
    <w:p>
      <w:pPr>
        <w:pStyle w:val="BodyText"/>
        <w:rPr>
          <w:sz w:val="22"/>
        </w:rPr>
      </w:pPr>
    </w:p>
    <w:p>
      <w:pPr>
        <w:pStyle w:val="BodyText"/>
        <w:rPr>
          <w:sz w:val="22"/>
        </w:rPr>
      </w:pPr>
    </w:p>
    <w:p>
      <w:pPr>
        <w:pStyle w:val="BodyText"/>
        <w:spacing w:before="10"/>
        <w:rPr>
          <w:sz w:val="17"/>
        </w:rPr>
      </w:pPr>
    </w:p>
    <w:p>
      <w:pPr>
        <w:spacing w:before="0"/>
        <w:ind w:left="195" w:right="395" w:hanging="5"/>
        <w:jc w:val="left"/>
        <w:rPr>
          <w:sz w:val="20"/>
        </w:rPr>
      </w:pPr>
      <w:r>
        <w:rPr>
          <w:color w:val="181818"/>
          <w:sz w:val="20"/>
        </w:rPr>
        <w:t>Leeds</w:t>
      </w:r>
      <w:r>
        <w:rPr>
          <w:color w:val="181818"/>
          <w:spacing w:val="-10"/>
          <w:sz w:val="20"/>
        </w:rPr>
        <w:t> </w:t>
      </w:r>
      <w:r>
        <w:rPr>
          <w:color w:val="1A1A1A"/>
          <w:sz w:val="20"/>
        </w:rPr>
        <w:t>City </w:t>
      </w:r>
      <w:r>
        <w:rPr>
          <w:color w:val="2A2A2A"/>
          <w:sz w:val="20"/>
        </w:rPr>
        <w:t>Council</w:t>
      </w:r>
    </w:p>
    <w:p>
      <w:pPr>
        <w:pStyle w:val="BodyText"/>
        <w:rPr>
          <w:sz w:val="22"/>
        </w:rPr>
      </w:pPr>
    </w:p>
    <w:p>
      <w:pPr>
        <w:pStyle w:val="BodyText"/>
        <w:rPr>
          <w:sz w:val="22"/>
        </w:rPr>
      </w:pPr>
    </w:p>
    <w:p>
      <w:pPr>
        <w:pStyle w:val="BodyText"/>
        <w:rPr>
          <w:sz w:val="22"/>
        </w:rPr>
      </w:pPr>
    </w:p>
    <w:p>
      <w:pPr>
        <w:pStyle w:val="BodyText"/>
        <w:rPr>
          <w:sz w:val="22"/>
        </w:rPr>
      </w:pPr>
    </w:p>
    <w:p>
      <w:pPr>
        <w:spacing w:before="151"/>
        <w:ind w:left="195" w:right="393" w:firstLine="5"/>
        <w:jc w:val="left"/>
        <w:rPr>
          <w:sz w:val="20"/>
        </w:rPr>
      </w:pPr>
      <w:r>
        <w:rPr>
          <w:color w:val="212121"/>
          <w:sz w:val="20"/>
        </w:rPr>
        <w:t>Leeds</w:t>
      </w:r>
      <w:r>
        <w:rPr>
          <w:color w:val="212121"/>
          <w:spacing w:val="-18"/>
          <w:sz w:val="20"/>
        </w:rPr>
        <w:t> </w:t>
      </w:r>
      <w:r>
        <w:rPr>
          <w:color w:val="151515"/>
          <w:sz w:val="20"/>
        </w:rPr>
        <w:t>City </w:t>
      </w:r>
      <w:r>
        <w:rPr>
          <w:color w:val="2A2A2A"/>
          <w:sz w:val="20"/>
        </w:rPr>
        <w:t>Council</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31"/>
        </w:rPr>
      </w:pPr>
    </w:p>
    <w:p>
      <w:pPr>
        <w:spacing w:line="225" w:lineRule="exact" w:before="1"/>
        <w:ind w:left="200" w:right="0" w:firstLine="0"/>
        <w:jc w:val="left"/>
        <w:rPr>
          <w:sz w:val="20"/>
        </w:rPr>
      </w:pPr>
      <w:r>
        <w:rPr>
          <w:color w:val="212121"/>
          <w:sz w:val="20"/>
        </w:rPr>
        <w:t>Leeds </w:t>
      </w:r>
      <w:r>
        <w:rPr>
          <w:color w:val="1C1C1C"/>
          <w:sz w:val="20"/>
        </w:rPr>
        <w:t>City</w:t>
      </w:r>
    </w:p>
    <w:p>
      <w:pPr>
        <w:spacing w:line="237" w:lineRule="exact" w:before="0"/>
        <w:ind w:left="194" w:right="0" w:firstLine="0"/>
        <w:jc w:val="left"/>
        <w:rPr>
          <w:sz w:val="21"/>
        </w:rPr>
      </w:pPr>
      <w:r>
        <w:rPr>
          <w:color w:val="2A2A2A"/>
          <w:sz w:val="21"/>
        </w:rPr>
        <w:t>Council</w:t>
      </w:r>
    </w:p>
    <w:p>
      <w:pPr>
        <w:spacing w:before="93"/>
        <w:ind w:left="239" w:right="0" w:firstLine="0"/>
        <w:jc w:val="left"/>
        <w:rPr>
          <w:sz w:val="20"/>
        </w:rPr>
      </w:pPr>
      <w:r>
        <w:rPr/>
        <w:br w:type="column"/>
      </w:r>
      <w:r>
        <w:rPr>
          <w:color w:val="F43D66"/>
          <w:w w:val="110"/>
          <w:sz w:val="20"/>
        </w:rPr>
        <w:t>Appropriate </w:t>
      </w:r>
      <w:r>
        <w:rPr>
          <w:color w:val="CA6B79"/>
          <w:w w:val="110"/>
          <w:sz w:val="20"/>
        </w:rPr>
        <w:t>for</w:t>
      </w:r>
    </w:p>
    <w:p>
      <w:pPr>
        <w:pStyle w:val="BodyText"/>
        <w:rPr>
          <w:sz w:val="22"/>
        </w:rPr>
      </w:pPr>
    </w:p>
    <w:p>
      <w:pPr>
        <w:pStyle w:val="BodyText"/>
        <w:spacing w:before="9"/>
        <w:rPr>
          <w:sz w:val="19"/>
        </w:rPr>
      </w:pPr>
    </w:p>
    <w:p>
      <w:pPr>
        <w:spacing w:before="0"/>
        <w:ind w:left="225" w:right="552" w:firstLine="7"/>
        <w:jc w:val="left"/>
        <w:rPr>
          <w:sz w:val="20"/>
        </w:rPr>
      </w:pPr>
      <w:r>
        <w:rPr>
          <w:color w:val="282828"/>
          <w:sz w:val="20"/>
        </w:rPr>
        <w:t>Medium </w:t>
      </w:r>
      <w:r>
        <w:rPr>
          <w:color w:val="232323"/>
          <w:sz w:val="20"/>
        </w:rPr>
        <w:t>to </w:t>
      </w:r>
      <w:r>
        <w:rPr>
          <w:color w:val="161616"/>
          <w:sz w:val="20"/>
        </w:rPr>
        <w:t>large </w:t>
      </w:r>
      <w:r>
        <w:rPr>
          <w:color w:val="181818"/>
          <w:sz w:val="20"/>
        </w:rPr>
        <w:t>capitat </w:t>
      </w:r>
      <w:r>
        <w:rPr>
          <w:color w:val="282828"/>
          <w:sz w:val="20"/>
        </w:rPr>
        <w:t>FRM </w:t>
      </w:r>
      <w:r>
        <w:rPr>
          <w:color w:val="1F1F1F"/>
          <w:sz w:val="20"/>
        </w:rPr>
        <w:t>projects.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7"/>
        </w:rPr>
      </w:pPr>
    </w:p>
    <w:p>
      <w:pPr>
        <w:spacing w:before="0"/>
        <w:ind w:left="235" w:right="0" w:hanging="1"/>
        <w:jc w:val="left"/>
        <w:rPr>
          <w:sz w:val="20"/>
        </w:rPr>
      </w:pPr>
      <w:r>
        <w:rPr>
          <w:i/>
          <w:color w:val="242424"/>
          <w:sz w:val="20"/>
        </w:rPr>
        <w:t>Sm</w:t>
      </w:r>
      <w:r>
        <w:rPr>
          <w:i/>
          <w:color w:val="242424"/>
          <w:spacing w:val="-33"/>
          <w:sz w:val="20"/>
        </w:rPr>
        <w:t> </w:t>
      </w:r>
      <w:r>
        <w:rPr>
          <w:color w:val="282828"/>
          <w:sz w:val="20"/>
        </w:rPr>
        <w:t>alter</w:t>
      </w:r>
      <w:r>
        <w:rPr>
          <w:color w:val="282828"/>
          <w:spacing w:val="-8"/>
          <w:sz w:val="20"/>
        </w:rPr>
        <w:t> </w:t>
      </w:r>
      <w:r>
        <w:rPr>
          <w:color w:val="212121"/>
          <w:sz w:val="20"/>
        </w:rPr>
        <w:t>FRM</w:t>
      </w:r>
      <w:r>
        <w:rPr>
          <w:color w:val="212121"/>
          <w:spacing w:val="-15"/>
          <w:sz w:val="20"/>
        </w:rPr>
        <w:t> </w:t>
      </w:r>
      <w:r>
        <w:rPr>
          <w:color w:val="282828"/>
          <w:sz w:val="20"/>
        </w:rPr>
        <w:t>projects,</w:t>
      </w:r>
      <w:r>
        <w:rPr>
          <w:color w:val="282828"/>
          <w:spacing w:val="-3"/>
          <w:sz w:val="20"/>
        </w:rPr>
        <w:t> </w:t>
      </w:r>
      <w:r>
        <w:rPr>
          <w:color w:val="2F2F2F"/>
          <w:sz w:val="20"/>
        </w:rPr>
        <w:t>or</w:t>
      </w:r>
      <w:r>
        <w:rPr>
          <w:color w:val="2F2F2F"/>
          <w:spacing w:val="-12"/>
          <w:sz w:val="20"/>
        </w:rPr>
        <w:t> </w:t>
      </w:r>
      <w:r>
        <w:rPr>
          <w:color w:val="333333"/>
          <w:sz w:val="20"/>
        </w:rPr>
        <w:t>as</w:t>
      </w:r>
      <w:r>
        <w:rPr>
          <w:color w:val="333333"/>
          <w:spacing w:val="-9"/>
          <w:sz w:val="20"/>
        </w:rPr>
        <w:t> </w:t>
      </w:r>
      <w:r>
        <w:rPr>
          <w:color w:val="2F2F2F"/>
          <w:sz w:val="20"/>
        </w:rPr>
        <w:t>a </w:t>
      </w:r>
      <w:r>
        <w:rPr>
          <w:color w:val="2B2B2B"/>
          <w:sz w:val="20"/>
        </w:rPr>
        <w:t>contribution </w:t>
      </w:r>
      <w:r>
        <w:rPr>
          <w:color w:val="2A2A2A"/>
          <w:sz w:val="20"/>
        </w:rPr>
        <w:t>to </w:t>
      </w:r>
      <w:r>
        <w:rPr>
          <w:color w:val="1A1A1A"/>
          <w:sz w:val="20"/>
        </w:rPr>
        <w:t>FCERM </w:t>
      </w:r>
      <w:r>
        <w:rPr>
          <w:color w:val="2A2A2A"/>
          <w:sz w:val="20"/>
        </w:rPr>
        <w:t>GiA </w:t>
      </w:r>
      <w:r>
        <w:rPr>
          <w:color w:val="282828"/>
          <w:sz w:val="20"/>
        </w:rPr>
        <w:t>projects.</w:t>
      </w:r>
    </w:p>
    <w:p>
      <w:pPr>
        <w:pStyle w:val="BodyText"/>
        <w:rPr>
          <w:sz w:val="22"/>
        </w:rPr>
      </w:pPr>
    </w:p>
    <w:p>
      <w:pPr>
        <w:pStyle w:val="BodyText"/>
        <w:rPr>
          <w:sz w:val="22"/>
        </w:rPr>
      </w:pPr>
    </w:p>
    <w:p>
      <w:pPr>
        <w:spacing w:before="196"/>
        <w:ind w:left="239" w:right="0" w:firstLine="0"/>
        <w:jc w:val="left"/>
        <w:rPr>
          <w:sz w:val="20"/>
        </w:rPr>
      </w:pPr>
      <w:r>
        <w:rPr>
          <w:color w:val="262626"/>
          <w:w w:val="105"/>
          <w:sz w:val="20"/>
        </w:rPr>
        <w:t>All </w:t>
      </w:r>
      <w:r>
        <w:rPr>
          <w:color w:val="282828"/>
          <w:w w:val="105"/>
          <w:sz w:val="20"/>
        </w:rPr>
        <w:t>projeds.</w:t>
      </w:r>
    </w:p>
    <w:p>
      <w:pPr>
        <w:pStyle w:val="BodyText"/>
        <w:rPr>
          <w:sz w:val="22"/>
        </w:rPr>
      </w:pPr>
    </w:p>
    <w:p>
      <w:pPr>
        <w:pStyle w:val="BodyText"/>
        <w:rPr>
          <w:sz w:val="22"/>
        </w:rPr>
      </w:pPr>
    </w:p>
    <w:p>
      <w:pPr>
        <w:pStyle w:val="BodyText"/>
        <w:rPr>
          <w:sz w:val="22"/>
        </w:rPr>
      </w:pPr>
    </w:p>
    <w:p>
      <w:pPr>
        <w:spacing w:line="235" w:lineRule="auto" w:before="176"/>
        <w:ind w:left="241" w:right="6" w:firstLine="0"/>
        <w:jc w:val="left"/>
        <w:rPr>
          <w:sz w:val="20"/>
        </w:rPr>
      </w:pPr>
      <w:r>
        <w:rPr>
          <w:color w:val="242424"/>
          <w:sz w:val="20"/>
        </w:rPr>
        <w:t>Projects </w:t>
      </w:r>
      <w:r>
        <w:rPr>
          <w:color w:val="2A2A2A"/>
          <w:sz w:val="20"/>
        </w:rPr>
        <w:t>that </w:t>
      </w:r>
      <w:r>
        <w:rPr>
          <w:color w:val="1F1F1F"/>
          <w:sz w:val="20"/>
        </w:rPr>
        <w:t>help </w:t>
      </w:r>
      <w:r>
        <w:rPr>
          <w:color w:val="2B2B2B"/>
          <w:sz w:val="20"/>
        </w:rPr>
        <w:t>to </w:t>
      </w:r>
      <w:r>
        <w:rPr>
          <w:color w:val="2A2A2A"/>
          <w:sz w:val="20"/>
        </w:rPr>
        <w:t>remove </w:t>
      </w:r>
      <w:r>
        <w:rPr>
          <w:color w:val="2B2B2B"/>
          <w:w w:val="95"/>
          <w:sz w:val="21"/>
        </w:rPr>
        <w:t>surface </w:t>
      </w:r>
      <w:r>
        <w:rPr>
          <w:color w:val="2F2F2F"/>
          <w:w w:val="95"/>
          <w:sz w:val="21"/>
        </w:rPr>
        <w:t>water from </w:t>
      </w:r>
      <w:r>
        <w:rPr>
          <w:color w:val="2B2B2B"/>
          <w:w w:val="95"/>
          <w:sz w:val="21"/>
        </w:rPr>
        <w:t>combined </w:t>
      </w:r>
      <w:r>
        <w:rPr>
          <w:color w:val="262626"/>
          <w:sz w:val="20"/>
        </w:rPr>
        <w:t>sewers.</w:t>
      </w:r>
    </w:p>
    <w:p>
      <w:pPr>
        <w:pStyle w:val="BodyText"/>
        <w:rPr>
          <w:sz w:val="22"/>
        </w:rPr>
      </w:pPr>
    </w:p>
    <w:p>
      <w:pPr>
        <w:pStyle w:val="BodyText"/>
        <w:rPr>
          <w:sz w:val="22"/>
        </w:rPr>
      </w:pPr>
    </w:p>
    <w:p>
      <w:pPr>
        <w:pStyle w:val="BodyText"/>
        <w:spacing w:before="4"/>
        <w:rPr>
          <w:sz w:val="17"/>
        </w:rPr>
      </w:pPr>
    </w:p>
    <w:p>
      <w:pPr>
        <w:spacing w:before="0"/>
        <w:ind w:left="242" w:right="0" w:firstLine="0"/>
        <w:jc w:val="left"/>
        <w:rPr>
          <w:sz w:val="21"/>
        </w:rPr>
      </w:pPr>
      <w:r>
        <w:rPr>
          <w:color w:val="242424"/>
          <w:sz w:val="21"/>
        </w:rPr>
        <w:t>Larser </w:t>
      </w:r>
      <w:r>
        <w:rPr>
          <w:color w:val="181818"/>
          <w:sz w:val="21"/>
        </w:rPr>
        <w:t>development </w:t>
      </w:r>
      <w:r>
        <w:rPr>
          <w:color w:val="262626"/>
          <w:sz w:val="21"/>
        </w:rPr>
        <w:t>sites.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32"/>
        </w:rPr>
      </w:pPr>
    </w:p>
    <w:p>
      <w:pPr>
        <w:spacing w:before="0"/>
        <w:ind w:left="242" w:right="568" w:hanging="4"/>
        <w:jc w:val="left"/>
        <w:rPr>
          <w:sz w:val="20"/>
        </w:rPr>
      </w:pPr>
      <w:r>
        <w:rPr>
          <w:color w:val="2A2A2A"/>
          <w:sz w:val="20"/>
        </w:rPr>
        <w:t>All </w:t>
      </w:r>
      <w:r>
        <w:rPr>
          <w:color w:val="2D2D2D"/>
          <w:sz w:val="20"/>
        </w:rPr>
        <w:t>m </w:t>
      </w:r>
      <w:r>
        <w:rPr>
          <w:color w:val="232323"/>
          <w:sz w:val="20"/>
        </w:rPr>
        <w:t>easures </w:t>
      </w:r>
      <w:r>
        <w:rPr>
          <w:color w:val="181818"/>
          <w:sz w:val="20"/>
        </w:rPr>
        <w:t>outlined </w:t>
      </w:r>
      <w:r>
        <w:rPr>
          <w:color w:val="313131"/>
          <w:sz w:val="20"/>
        </w:rPr>
        <w:t>in </w:t>
      </w:r>
      <w:r>
        <w:rPr>
          <w:color w:val="262626"/>
          <w:sz w:val="20"/>
        </w:rPr>
        <w:t>this </w:t>
      </w:r>
      <w:r>
        <w:rPr>
          <w:color w:val="181818"/>
          <w:sz w:val="20"/>
        </w:rPr>
        <w:t>strategy.</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30"/>
        </w:rPr>
      </w:pPr>
    </w:p>
    <w:p>
      <w:pPr>
        <w:spacing w:before="0"/>
        <w:ind w:left="241" w:right="0" w:firstLine="0"/>
        <w:jc w:val="left"/>
        <w:rPr>
          <w:sz w:val="21"/>
        </w:rPr>
      </w:pPr>
      <w:r>
        <w:rPr>
          <w:color w:val="262626"/>
          <w:w w:val="95"/>
          <w:sz w:val="21"/>
        </w:rPr>
        <w:t>Developmen”t.</w:t>
      </w:r>
    </w:p>
    <w:p>
      <w:pPr>
        <w:spacing w:after="0"/>
        <w:jc w:val="left"/>
        <w:rPr>
          <w:sz w:val="21"/>
        </w:rPr>
        <w:sectPr>
          <w:type w:val="continuous"/>
          <w:pgSz w:w="11920" w:h="16850"/>
          <w:pgMar w:top="1220" w:bottom="0" w:left="440" w:right="560"/>
          <w:cols w:num="4" w:equalWidth="0">
            <w:col w:w="2529" w:space="40"/>
            <w:col w:w="3361" w:space="39"/>
            <w:col w:w="1540" w:space="39"/>
            <w:col w:w="337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p>
    <w:p>
      <w:pPr>
        <w:pStyle w:val="BodyText"/>
        <w:ind w:left="980"/>
        <w:rPr>
          <w:sz w:val="20"/>
        </w:rPr>
      </w:pPr>
      <w:r>
        <w:rPr>
          <w:sz w:val="20"/>
        </w:rPr>
        <w:pict>
          <v:group style="width:487.65pt;height:38.1pt;mso-position-horizontal-relative:char;mso-position-vertical-relative:line" coordorigin="0,0" coordsize="9753,762">
            <v:shape style="position:absolute;left:0;top:41;width:9753;height:720" type="#_x0000_t75" stroked="false">
              <v:imagedata r:id="rId51" o:title=""/>
            </v:shape>
            <v:shape style="position:absolute;left:105;top:9;width:996;height:224" type="#_x0000_t202" filled="false" stroked="false">
              <v:textbox inset="0,0,0,0">
                <w:txbxContent>
                  <w:p>
                    <w:pPr>
                      <w:spacing w:line="223" w:lineRule="exact" w:before="0"/>
                      <w:ind w:left="0" w:right="0" w:firstLine="0"/>
                      <w:jc w:val="left"/>
                      <w:rPr>
                        <w:sz w:val="20"/>
                      </w:rPr>
                    </w:pPr>
                    <w:bookmarkStart w:name="Leeds LFRMS 2018 Update_Page_35" w:id="47"/>
                    <w:bookmarkEnd w:id="47"/>
                    <w:r>
                      <w:rPr/>
                    </w:r>
                    <w:r>
                      <w:rPr>
                        <w:color w:val="2D2D2D"/>
                        <w:sz w:val="20"/>
                      </w:rPr>
                      <w:t>Council </w:t>
                    </w:r>
                    <w:r>
                      <w:rPr>
                        <w:color w:val="313131"/>
                        <w:sz w:val="20"/>
                      </w:rPr>
                      <w:t>tax</w:t>
                    </w:r>
                  </w:p>
                </w:txbxContent>
              </v:textbox>
              <w10:wrap type="none"/>
            </v:shape>
            <v:shape style="position:absolute;left:1790;top:0;width:2964;height:696" type="#_x0000_t202" filled="false" stroked="false">
              <v:textbox inset="0,0,0,0">
                <w:txbxContent>
                  <w:p>
                    <w:pPr>
                      <w:spacing w:line="235" w:lineRule="auto" w:before="0"/>
                      <w:ind w:left="0" w:right="18" w:firstLine="4"/>
                      <w:jc w:val="both"/>
                      <w:rPr>
                        <w:sz w:val="21"/>
                      </w:rPr>
                    </w:pPr>
                    <w:r>
                      <w:rPr>
                        <w:color w:val="363636"/>
                        <w:sz w:val="21"/>
                      </w:rPr>
                      <w:t>A</w:t>
                    </w:r>
                    <w:r>
                      <w:rPr>
                        <w:color w:val="363636"/>
                        <w:spacing w:val="-39"/>
                        <w:sz w:val="21"/>
                      </w:rPr>
                      <w:t> </w:t>
                    </w:r>
                    <w:r>
                      <w:rPr>
                        <w:color w:val="282828"/>
                        <w:sz w:val="21"/>
                      </w:rPr>
                      <w:t>ring-fenced</w:t>
                    </w:r>
                    <w:r>
                      <w:rPr>
                        <w:color w:val="282828"/>
                        <w:spacing w:val="-38"/>
                        <w:sz w:val="21"/>
                      </w:rPr>
                      <w:t> </w:t>
                    </w:r>
                    <w:r>
                      <w:rPr>
                        <w:color w:val="1F1F1F"/>
                        <w:sz w:val="21"/>
                      </w:rPr>
                      <w:t>provision</w:t>
                    </w:r>
                    <w:r>
                      <w:rPr>
                        <w:color w:val="1F1F1F"/>
                        <w:spacing w:val="-38"/>
                        <w:sz w:val="21"/>
                      </w:rPr>
                      <w:t> </w:t>
                    </w:r>
                    <w:r>
                      <w:rPr>
                        <w:color w:val="1C1C1C"/>
                        <w:sz w:val="21"/>
                      </w:rPr>
                      <w:t>within</w:t>
                    </w:r>
                    <w:r>
                      <w:rPr>
                        <w:color w:val="1C1C1C"/>
                        <w:spacing w:val="-38"/>
                        <w:sz w:val="21"/>
                      </w:rPr>
                      <w:t> </w:t>
                    </w:r>
                    <w:r>
                      <w:rPr>
                        <w:color w:val="232323"/>
                        <w:sz w:val="21"/>
                      </w:rPr>
                      <w:t>the</w:t>
                    </w:r>
                    <w:r>
                      <w:rPr>
                        <w:color w:val="232323"/>
                        <w:w w:val="95"/>
                        <w:sz w:val="21"/>
                      </w:rPr>
                      <w:t> </w:t>
                    </w:r>
                    <w:r>
                      <w:rPr>
                        <w:color w:val="282828"/>
                        <w:sz w:val="20"/>
                      </w:rPr>
                      <w:t>annual </w:t>
                    </w:r>
                    <w:r>
                      <w:rPr>
                        <w:color w:val="2D2D2D"/>
                        <w:sz w:val="20"/>
                      </w:rPr>
                      <w:t>council </w:t>
                    </w:r>
                    <w:r>
                      <w:rPr>
                        <w:color w:val="313131"/>
                        <w:sz w:val="20"/>
                      </w:rPr>
                      <w:t>tax </w:t>
                    </w:r>
                    <w:r>
                      <w:rPr>
                        <w:color w:val="333333"/>
                        <w:sz w:val="20"/>
                      </w:rPr>
                      <w:t>for </w:t>
                    </w:r>
                    <w:r>
                      <w:rPr>
                        <w:color w:val="313131"/>
                        <w:sz w:val="20"/>
                      </w:rPr>
                      <w:t>the</w:t>
                    </w:r>
                    <w:r>
                      <w:rPr>
                        <w:color w:val="313131"/>
                        <w:spacing w:val="-24"/>
                        <w:sz w:val="20"/>
                      </w:rPr>
                      <w:t> </w:t>
                    </w:r>
                    <w:r>
                      <w:rPr>
                        <w:color w:val="232323"/>
                        <w:sz w:val="20"/>
                      </w:rPr>
                      <w:t>specific </w:t>
                    </w:r>
                    <w:r>
                      <w:rPr>
                        <w:color w:val="262626"/>
                        <w:sz w:val="21"/>
                      </w:rPr>
                      <w:t>purpose</w:t>
                    </w:r>
                    <w:r>
                      <w:rPr>
                        <w:color w:val="262626"/>
                        <w:spacing w:val="-22"/>
                        <w:sz w:val="21"/>
                      </w:rPr>
                      <w:t> </w:t>
                    </w:r>
                    <w:r>
                      <w:rPr>
                        <w:color w:val="3A3A3A"/>
                        <w:sz w:val="21"/>
                      </w:rPr>
                      <w:t>of</w:t>
                    </w:r>
                    <w:r>
                      <w:rPr>
                        <w:color w:val="3A3A3A"/>
                        <w:spacing w:val="-29"/>
                        <w:sz w:val="21"/>
                      </w:rPr>
                      <w:t> </w:t>
                    </w:r>
                    <w:r>
                      <w:rPr>
                        <w:color w:val="1F1F1F"/>
                        <w:sz w:val="21"/>
                      </w:rPr>
                      <w:t>contributing</w:t>
                    </w:r>
                    <w:r>
                      <w:rPr>
                        <w:color w:val="1F1F1F"/>
                        <w:spacing w:val="-19"/>
                        <w:sz w:val="21"/>
                      </w:rPr>
                      <w:t> </w:t>
                    </w:r>
                    <w:r>
                      <w:rPr>
                        <w:color w:val="2D2D2D"/>
                        <w:sz w:val="21"/>
                      </w:rPr>
                      <w:t>to</w:t>
                    </w:r>
                    <w:r>
                      <w:rPr>
                        <w:color w:val="2D2D2D"/>
                        <w:spacing w:val="-27"/>
                        <w:sz w:val="21"/>
                      </w:rPr>
                      <w:t> </w:t>
                    </w:r>
                    <w:r>
                      <w:rPr>
                        <w:color w:val="2F2F2F"/>
                        <w:sz w:val="21"/>
                      </w:rPr>
                      <w:t>FRM.</w:t>
                    </w:r>
                  </w:p>
                </w:txbxContent>
              </v:textbox>
              <w10:wrap type="none"/>
            </v:shape>
            <v:shape style="position:absolute;left:5173;top:0;width:957;height:463" type="#_x0000_t202" filled="false" stroked="false">
              <v:textbox inset="0,0,0,0">
                <w:txbxContent>
                  <w:p>
                    <w:pPr>
                      <w:spacing w:line="234" w:lineRule="exact" w:before="0"/>
                      <w:ind w:left="4" w:right="0" w:firstLine="0"/>
                      <w:jc w:val="left"/>
                      <w:rPr>
                        <w:sz w:val="21"/>
                      </w:rPr>
                    </w:pPr>
                    <w:r>
                      <w:rPr>
                        <w:color w:val="232323"/>
                        <w:w w:val="95"/>
                        <w:sz w:val="21"/>
                      </w:rPr>
                      <w:t>Leeds </w:t>
                    </w:r>
                    <w:r>
                      <w:rPr>
                        <w:color w:val="262626"/>
                        <w:w w:val="95"/>
                        <w:sz w:val="21"/>
                      </w:rPr>
                      <w:t>City</w:t>
                    </w:r>
                  </w:p>
                  <w:p>
                    <w:pPr>
                      <w:spacing w:line="229" w:lineRule="exact" w:before="0"/>
                      <w:ind w:left="0" w:right="0" w:firstLine="0"/>
                      <w:jc w:val="left"/>
                      <w:rPr>
                        <w:sz w:val="20"/>
                      </w:rPr>
                    </w:pPr>
                    <w:r>
                      <w:rPr>
                        <w:color w:val="262626"/>
                        <w:sz w:val="20"/>
                      </w:rPr>
                      <w:t>Council</w:t>
                    </w:r>
                  </w:p>
                </w:txbxContent>
              </v:textbox>
              <w10:wrap type="none"/>
            </v:shape>
            <v:shape style="position:absolute;left:6790;top:9;width:2280;height:685" type="#_x0000_t202" filled="false" stroked="false">
              <v:textbox inset="0,0,0,0">
                <w:txbxContent>
                  <w:p>
                    <w:pPr>
                      <w:spacing w:line="240" w:lineRule="auto" w:before="0"/>
                      <w:ind w:left="1" w:right="-20" w:hanging="2"/>
                      <w:jc w:val="left"/>
                      <w:rPr>
                        <w:sz w:val="20"/>
                      </w:rPr>
                    </w:pPr>
                    <w:r>
                      <w:rPr>
                        <w:color w:val="2D2D2D"/>
                        <w:sz w:val="20"/>
                      </w:rPr>
                      <w:t>Not current, </w:t>
                    </w:r>
                    <w:r>
                      <w:rPr>
                        <w:color w:val="2F2F2F"/>
                        <w:sz w:val="20"/>
                      </w:rPr>
                      <w:t>but </w:t>
                    </w:r>
                    <w:r>
                      <w:rPr>
                        <w:color w:val="232323"/>
                        <w:sz w:val="20"/>
                      </w:rPr>
                      <w:t>there </w:t>
                    </w:r>
                    <w:r>
                      <w:rPr>
                        <w:color w:val="313131"/>
                        <w:sz w:val="20"/>
                      </w:rPr>
                      <w:t>is </w:t>
                    </w:r>
                    <w:r>
                      <w:rPr>
                        <w:color w:val="212121"/>
                        <w:sz w:val="20"/>
                      </w:rPr>
                      <w:t>potential </w:t>
                    </w:r>
                    <w:r>
                      <w:rPr>
                        <w:color w:val="343434"/>
                        <w:sz w:val="20"/>
                      </w:rPr>
                      <w:t>to </w:t>
                    </w:r>
                    <w:r>
                      <w:rPr>
                        <w:color w:val="232323"/>
                        <w:sz w:val="20"/>
                      </w:rPr>
                      <w:t>deliver </w:t>
                    </w:r>
                    <w:r>
                      <w:rPr>
                        <w:color w:val="2D2D2D"/>
                        <w:sz w:val="20"/>
                      </w:rPr>
                      <w:t>key </w:t>
                    </w:r>
                    <w:r>
                      <w:rPr>
                        <w:color w:val="262626"/>
                        <w:sz w:val="20"/>
                      </w:rPr>
                      <w:t>measures </w:t>
                    </w:r>
                    <w:r>
                      <w:rPr>
                        <w:color w:val="383838"/>
                        <w:sz w:val="20"/>
                      </w:rPr>
                      <w:t>in </w:t>
                    </w:r>
                    <w:r>
                      <w:rPr>
                        <w:color w:val="262626"/>
                        <w:sz w:val="20"/>
                      </w:rPr>
                      <w:t>this </w:t>
                    </w:r>
                    <w:r>
                      <w:rPr>
                        <w:color w:val="0F0F0F"/>
                        <w:sz w:val="20"/>
                      </w:rPr>
                      <w:t>strategy.</w:t>
                    </w:r>
                  </w:p>
                </w:txbxContent>
              </v:textbox>
              <w10:wrap type="none"/>
            </v:shape>
          </v:group>
        </w:pict>
      </w:r>
      <w:r>
        <w:rPr>
          <w:sz w:val="20"/>
        </w:rPr>
      </w:r>
    </w:p>
    <w:p>
      <w:pPr>
        <w:pStyle w:val="BodyText"/>
        <w:spacing w:before="1"/>
        <w:rPr>
          <w:sz w:val="6"/>
        </w:rPr>
      </w:pPr>
    </w:p>
    <w:p>
      <w:pPr>
        <w:spacing w:after="0"/>
        <w:rPr>
          <w:sz w:val="6"/>
        </w:rPr>
        <w:sectPr>
          <w:pgSz w:w="11920" w:h="16850"/>
          <w:pgMar w:header="0" w:footer="1246" w:top="580" w:bottom="1440" w:left="440" w:right="560"/>
        </w:sectPr>
      </w:pPr>
    </w:p>
    <w:p>
      <w:pPr>
        <w:spacing w:line="225" w:lineRule="exact" w:before="91"/>
        <w:ind w:left="1100" w:right="0" w:firstLine="0"/>
        <w:jc w:val="left"/>
        <w:rPr>
          <w:sz w:val="20"/>
        </w:rPr>
      </w:pPr>
      <w:r>
        <w:rPr/>
        <w:pict>
          <v:group style="position:absolute;margin-left:123.349602pt;margin-top:-106.780106pt;width:5.3pt;height:35.050pt;mso-position-horizontal-relative:page;mso-position-vertical-relative:paragraph;z-index:2704" coordorigin="2467,-2136" coordsize="106,701">
            <v:shape style="position:absolute;left:2467;top:-2136;width:106;height:48" type="#_x0000_t75" stroked="false">
              <v:imagedata r:id="rId14" o:title=""/>
            </v:shape>
            <v:shape style="position:absolute;left:2486;top:-1474;width:87;height:39" type="#_x0000_t75" stroked="false">
              <v:imagedata r:id="rId15" o:title=""/>
            </v:shape>
            <v:line style="position:absolute" from="2515,-2136" to="2515,-1444" stroked="true" strokeweight="4.799592pt" strokecolor="#ff6477">
              <v:stroke dashstyle="solid"/>
            </v:line>
            <w10:wrap type="none"/>
          </v:group>
        </w:pict>
      </w:r>
      <w:r>
        <w:rPr>
          <w:color w:val="181818"/>
          <w:sz w:val="20"/>
        </w:rPr>
        <w:t>Business</w:t>
      </w:r>
      <w:r>
        <w:rPr>
          <w:color w:val="181818"/>
          <w:spacing w:val="-16"/>
          <w:sz w:val="20"/>
        </w:rPr>
        <w:t> </w:t>
      </w:r>
      <w:r>
        <w:rPr>
          <w:color w:val="212121"/>
          <w:sz w:val="20"/>
        </w:rPr>
        <w:t>rates</w:t>
      </w:r>
    </w:p>
    <w:p>
      <w:pPr>
        <w:spacing w:line="237" w:lineRule="exact" w:before="0"/>
        <w:ind w:left="1098" w:right="0" w:firstLine="0"/>
        <w:jc w:val="left"/>
        <w:rPr>
          <w:sz w:val="21"/>
        </w:rPr>
      </w:pPr>
      <w:r>
        <w:rPr>
          <w:color w:val="1A1A1A"/>
          <w:sz w:val="21"/>
        </w:rPr>
        <w:t>supplements</w:t>
      </w:r>
    </w:p>
    <w:p>
      <w:pPr>
        <w:tabs>
          <w:tab w:pos="3722" w:val="left" w:leader="none"/>
        </w:tabs>
        <w:spacing w:before="91"/>
        <w:ind w:left="340" w:right="0" w:firstLine="3"/>
        <w:jc w:val="left"/>
        <w:rPr>
          <w:sz w:val="20"/>
        </w:rPr>
      </w:pPr>
      <w:r>
        <w:rPr/>
        <w:br w:type="column"/>
      </w:r>
      <w:r>
        <w:rPr>
          <w:color w:val="151515"/>
          <w:sz w:val="20"/>
        </w:rPr>
        <w:t>Agreement </w:t>
      </w:r>
      <w:r>
        <w:rPr>
          <w:color w:val="2D2D2D"/>
          <w:sz w:val="20"/>
        </w:rPr>
        <w:t>from</w:t>
      </w:r>
      <w:r>
        <w:rPr>
          <w:color w:val="2D2D2D"/>
          <w:spacing w:val="3"/>
          <w:sz w:val="20"/>
        </w:rPr>
        <w:t> </w:t>
      </w:r>
      <w:r>
        <w:rPr>
          <w:color w:val="262626"/>
          <w:sz w:val="20"/>
        </w:rPr>
        <w:t>local</w:t>
      </w:r>
      <w:r>
        <w:rPr>
          <w:color w:val="262626"/>
          <w:spacing w:val="-12"/>
          <w:sz w:val="20"/>
        </w:rPr>
        <w:t> </w:t>
      </w:r>
      <w:r>
        <w:rPr>
          <w:color w:val="161616"/>
          <w:sz w:val="20"/>
        </w:rPr>
        <w:t>businesses</w:t>
        <w:tab/>
      </w:r>
      <w:r>
        <w:rPr>
          <w:color w:val="1C1C1C"/>
          <w:sz w:val="20"/>
        </w:rPr>
        <w:t>Leeds</w:t>
      </w:r>
      <w:r>
        <w:rPr>
          <w:color w:val="1C1C1C"/>
          <w:spacing w:val="-18"/>
          <w:sz w:val="20"/>
        </w:rPr>
        <w:t> </w:t>
      </w:r>
      <w:r>
        <w:rPr>
          <w:color w:val="262626"/>
          <w:sz w:val="20"/>
        </w:rPr>
        <w:t>City </w:t>
      </w:r>
      <w:r>
        <w:rPr>
          <w:color w:val="2A2A2A"/>
          <w:sz w:val="20"/>
        </w:rPr>
        <w:t>to </w:t>
      </w:r>
      <w:r>
        <w:rPr>
          <w:color w:val="2D2D2D"/>
          <w:sz w:val="20"/>
        </w:rPr>
        <w:t>raise </w:t>
      </w:r>
      <w:r>
        <w:rPr>
          <w:color w:val="212121"/>
          <w:sz w:val="20"/>
        </w:rPr>
        <w:t>rates</w:t>
      </w:r>
      <w:r>
        <w:rPr>
          <w:color w:val="212121"/>
          <w:spacing w:val="-16"/>
          <w:sz w:val="20"/>
        </w:rPr>
        <w:t> </w:t>
      </w:r>
      <w:r>
        <w:rPr>
          <w:color w:val="2F2F2F"/>
          <w:sz w:val="20"/>
        </w:rPr>
        <w:t>for</w:t>
      </w:r>
      <w:r>
        <w:rPr>
          <w:color w:val="2F2F2F"/>
          <w:spacing w:val="2"/>
          <w:sz w:val="20"/>
        </w:rPr>
        <w:t> </w:t>
      </w:r>
      <w:r>
        <w:rPr>
          <w:color w:val="1F1F1F"/>
          <w:sz w:val="20"/>
        </w:rPr>
        <w:t>specified</w:t>
        <w:tab/>
      </w:r>
      <w:r>
        <w:rPr>
          <w:color w:val="2A2A2A"/>
          <w:sz w:val="20"/>
        </w:rPr>
        <w:t>Council </w:t>
      </w:r>
      <w:r>
        <w:rPr>
          <w:color w:val="212121"/>
          <w:sz w:val="20"/>
        </w:rPr>
        <w:t>purposes.</w:t>
      </w:r>
    </w:p>
    <w:p>
      <w:pPr>
        <w:spacing w:before="91"/>
        <w:ind w:left="644" w:right="595" w:hanging="2"/>
        <w:jc w:val="left"/>
        <w:rPr>
          <w:sz w:val="20"/>
        </w:rPr>
      </w:pPr>
      <w:r>
        <w:rPr/>
        <w:br w:type="column"/>
      </w:r>
      <w:r>
        <w:rPr>
          <w:color w:val="161616"/>
          <w:sz w:val="20"/>
        </w:rPr>
        <w:t>Measures </w:t>
      </w:r>
      <w:r>
        <w:rPr>
          <w:color w:val="282828"/>
          <w:sz w:val="20"/>
        </w:rPr>
        <w:t>that </w:t>
      </w:r>
      <w:r>
        <w:rPr>
          <w:color w:val="212121"/>
          <w:sz w:val="20"/>
        </w:rPr>
        <w:t>address </w:t>
      </w:r>
      <w:r>
        <w:rPr>
          <w:color w:val="2D2D2D"/>
          <w:sz w:val="20"/>
        </w:rPr>
        <w:t>flood </w:t>
      </w:r>
      <w:r>
        <w:rPr>
          <w:color w:val="363636"/>
          <w:sz w:val="20"/>
        </w:rPr>
        <w:t>risk </w:t>
      </w:r>
      <w:r>
        <w:rPr>
          <w:color w:val="161616"/>
          <w:sz w:val="20"/>
        </w:rPr>
        <w:t>to </w:t>
      </w:r>
      <w:r>
        <w:rPr>
          <w:color w:val="282828"/>
          <w:sz w:val="20"/>
        </w:rPr>
        <w:t>businesses.</w:t>
      </w:r>
    </w:p>
    <w:p>
      <w:pPr>
        <w:spacing w:after="0"/>
        <w:jc w:val="left"/>
        <w:rPr>
          <w:sz w:val="20"/>
        </w:rPr>
        <w:sectPr>
          <w:type w:val="continuous"/>
          <w:pgSz w:w="11920" w:h="16850"/>
          <w:pgMar w:top="1220" w:bottom="0" w:left="440" w:right="560"/>
          <w:cols w:num="3" w:equalWidth="0">
            <w:col w:w="2401" w:space="40"/>
            <w:col w:w="4659" w:space="39"/>
            <w:col w:w="3781"/>
          </w:cols>
        </w:sectPr>
      </w:pPr>
    </w:p>
    <w:p>
      <w:pPr>
        <w:pStyle w:val="BodyText"/>
        <w:spacing w:before="9"/>
        <w:rPr>
          <w:sz w:val="12"/>
        </w:rPr>
      </w:pPr>
    </w:p>
    <w:p>
      <w:pPr>
        <w:spacing w:after="0"/>
        <w:rPr>
          <w:sz w:val="12"/>
        </w:rPr>
        <w:sectPr>
          <w:type w:val="continuous"/>
          <w:pgSz w:w="11920" w:h="16850"/>
          <w:pgMar w:top="1220" w:bottom="0" w:left="440" w:right="560"/>
        </w:sectPr>
      </w:pPr>
    </w:p>
    <w:p>
      <w:pPr>
        <w:spacing w:line="225" w:lineRule="exact" w:before="94"/>
        <w:ind w:left="1095" w:right="0" w:firstLine="0"/>
        <w:jc w:val="left"/>
        <w:rPr>
          <w:sz w:val="20"/>
        </w:rPr>
      </w:pPr>
      <w:r>
        <w:rPr>
          <w:color w:val="282828"/>
          <w:sz w:val="20"/>
        </w:rPr>
        <w:t>Council </w:t>
      </w:r>
      <w:r>
        <w:rPr>
          <w:color w:val="1A1A1A"/>
          <w:sz w:val="20"/>
        </w:rPr>
        <w:t>capital</w:t>
      </w:r>
    </w:p>
    <w:p>
      <w:pPr>
        <w:spacing w:line="237" w:lineRule="exact" w:before="0"/>
        <w:ind w:left="1093" w:right="0" w:firstLine="0"/>
        <w:jc w:val="left"/>
        <w:rPr>
          <w:sz w:val="21"/>
        </w:rPr>
      </w:pPr>
      <w:r>
        <w:rPr>
          <w:color w:val="212121"/>
          <w:sz w:val="21"/>
        </w:rPr>
        <w:t>funding</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31"/>
        </w:rPr>
      </w:pPr>
    </w:p>
    <w:p>
      <w:pPr>
        <w:spacing w:line="228" w:lineRule="auto" w:before="0"/>
        <w:ind w:left="1093" w:right="-14" w:firstLine="0"/>
        <w:jc w:val="left"/>
        <w:rPr>
          <w:sz w:val="21"/>
        </w:rPr>
      </w:pPr>
      <w:r>
        <w:rPr>
          <w:color w:val="1C1C1C"/>
          <w:w w:val="95"/>
          <w:sz w:val="21"/>
        </w:rPr>
        <w:t>Council</w:t>
      </w:r>
      <w:r>
        <w:rPr>
          <w:color w:val="1C1C1C"/>
          <w:spacing w:val="-15"/>
          <w:w w:val="95"/>
          <w:sz w:val="21"/>
        </w:rPr>
        <w:t> </w:t>
      </w:r>
      <w:r>
        <w:rPr>
          <w:color w:val="2F2F2F"/>
          <w:w w:val="95"/>
          <w:sz w:val="21"/>
        </w:rPr>
        <w:t>revenue </w:t>
      </w:r>
      <w:r>
        <w:rPr>
          <w:color w:val="2D2D2D"/>
          <w:sz w:val="21"/>
        </w:rPr>
        <w:t>funding</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35" w:lineRule="auto" w:before="189"/>
        <w:ind w:left="1093" w:right="0" w:firstLine="7"/>
        <w:jc w:val="left"/>
        <w:rPr>
          <w:sz w:val="20"/>
        </w:rPr>
      </w:pPr>
      <w:r>
        <w:rPr>
          <w:color w:val="181818"/>
          <w:sz w:val="20"/>
        </w:rPr>
        <w:t>Leeds City Region </w:t>
      </w:r>
      <w:r>
        <w:rPr>
          <w:color w:val="181818"/>
          <w:w w:val="95"/>
          <w:sz w:val="21"/>
        </w:rPr>
        <w:t>Enterprise </w:t>
      </w:r>
      <w:r>
        <w:rPr>
          <w:color w:val="151515"/>
          <w:w w:val="90"/>
          <w:sz w:val="21"/>
        </w:rPr>
        <w:t>Partnership </w:t>
      </w:r>
      <w:r>
        <w:rPr>
          <w:color w:val="282828"/>
          <w:sz w:val="20"/>
        </w:rPr>
        <w:t>(LEP)</w:t>
      </w:r>
    </w:p>
    <w:p>
      <w:pPr>
        <w:spacing w:line="235" w:lineRule="auto" w:before="98"/>
        <w:ind w:left="216" w:right="53" w:hanging="1"/>
        <w:jc w:val="left"/>
        <w:rPr>
          <w:sz w:val="20"/>
        </w:rPr>
      </w:pPr>
      <w:r>
        <w:rPr/>
        <w:br w:type="column"/>
      </w:r>
      <w:r>
        <w:rPr>
          <w:color w:val="282828"/>
          <w:sz w:val="20"/>
        </w:rPr>
        <w:t>The </w:t>
      </w:r>
      <w:r>
        <w:rPr>
          <w:color w:val="1A1A1A"/>
          <w:sz w:val="20"/>
        </w:rPr>
        <w:t>council’s </w:t>
      </w:r>
      <w:r>
        <w:rPr>
          <w:color w:val="131313"/>
          <w:sz w:val="20"/>
        </w:rPr>
        <w:t>infrastructure </w:t>
      </w:r>
      <w:r>
        <w:rPr>
          <w:color w:val="212121"/>
          <w:sz w:val="20"/>
        </w:rPr>
        <w:t>programme, </w:t>
      </w:r>
      <w:r>
        <w:rPr>
          <w:color w:val="232323"/>
          <w:sz w:val="20"/>
        </w:rPr>
        <w:t>which </w:t>
      </w:r>
      <w:r>
        <w:rPr>
          <w:color w:val="1F1F1F"/>
          <w:sz w:val="20"/>
        </w:rPr>
        <w:t>prioritises capital </w:t>
      </w:r>
      <w:r>
        <w:rPr>
          <w:color w:val="131313"/>
          <w:sz w:val="20"/>
        </w:rPr>
        <w:t>improvement </w:t>
      </w:r>
      <w:r>
        <w:rPr>
          <w:color w:val="1A1A1A"/>
          <w:sz w:val="20"/>
        </w:rPr>
        <w:t>projects. </w:t>
      </w:r>
      <w:r>
        <w:rPr>
          <w:color w:val="2F2F2F"/>
          <w:sz w:val="20"/>
        </w:rPr>
        <w:t>The </w:t>
      </w:r>
      <w:r>
        <w:rPr>
          <w:color w:val="212121"/>
          <w:sz w:val="21"/>
        </w:rPr>
        <w:t>programme </w:t>
      </w:r>
      <w:r>
        <w:rPr>
          <w:color w:val="242424"/>
          <w:sz w:val="21"/>
        </w:rPr>
        <w:t>has </w:t>
      </w:r>
      <w:r>
        <w:rPr>
          <w:color w:val="131313"/>
          <w:sz w:val="21"/>
        </w:rPr>
        <w:t>included </w:t>
      </w:r>
      <w:r>
        <w:rPr>
          <w:color w:val="1F1F1F"/>
          <w:sz w:val="21"/>
        </w:rPr>
        <w:t>funding </w:t>
      </w:r>
      <w:r>
        <w:rPr>
          <w:color w:val="313131"/>
          <w:sz w:val="21"/>
        </w:rPr>
        <w:t>for </w:t>
      </w:r>
      <w:r>
        <w:rPr>
          <w:color w:val="1A1A1A"/>
          <w:sz w:val="21"/>
        </w:rPr>
        <w:t>drainage </w:t>
      </w:r>
      <w:r>
        <w:rPr>
          <w:color w:val="212121"/>
          <w:sz w:val="21"/>
        </w:rPr>
        <w:t>capacity </w:t>
      </w:r>
      <w:r>
        <w:rPr>
          <w:color w:val="242424"/>
          <w:sz w:val="21"/>
        </w:rPr>
        <w:t>improvements </w:t>
      </w:r>
      <w:r>
        <w:rPr>
          <w:color w:val="2F2F2F"/>
          <w:sz w:val="21"/>
        </w:rPr>
        <w:t>for </w:t>
      </w:r>
      <w:r>
        <w:rPr>
          <w:color w:val="262626"/>
          <w:sz w:val="21"/>
        </w:rPr>
        <w:t>many </w:t>
      </w:r>
      <w:r>
        <w:rPr>
          <w:color w:val="1F1F1F"/>
          <w:sz w:val="21"/>
        </w:rPr>
        <w:t>years, </w:t>
      </w:r>
      <w:r>
        <w:rPr>
          <w:color w:val="232323"/>
          <w:sz w:val="20"/>
        </w:rPr>
        <w:t>which </w:t>
      </w:r>
      <w:r>
        <w:rPr>
          <w:color w:val="242424"/>
          <w:sz w:val="20"/>
        </w:rPr>
        <w:t>is </w:t>
      </w:r>
      <w:r>
        <w:rPr>
          <w:color w:val="282828"/>
          <w:sz w:val="20"/>
        </w:rPr>
        <w:t>targeted </w:t>
      </w:r>
      <w:r>
        <w:rPr>
          <w:color w:val="2A2A2A"/>
          <w:sz w:val="20"/>
        </w:rPr>
        <w:t>at the </w:t>
      </w:r>
      <w:r>
        <w:rPr>
          <w:color w:val="282828"/>
          <w:sz w:val="20"/>
        </w:rPr>
        <w:t>highway </w:t>
      </w:r>
      <w:r>
        <w:rPr>
          <w:color w:val="131313"/>
          <w:sz w:val="20"/>
        </w:rPr>
        <w:t>drainage </w:t>
      </w:r>
      <w:r>
        <w:rPr>
          <w:color w:val="1C1C1C"/>
          <w:sz w:val="20"/>
        </w:rPr>
        <w:t>systems.</w:t>
      </w:r>
    </w:p>
    <w:p>
      <w:pPr>
        <w:pStyle w:val="BodyText"/>
        <w:spacing w:before="1"/>
        <w:rPr>
          <w:sz w:val="21"/>
        </w:rPr>
      </w:pPr>
    </w:p>
    <w:p>
      <w:pPr>
        <w:spacing w:line="228" w:lineRule="auto" w:before="0"/>
        <w:ind w:left="216" w:right="-16" w:hanging="1"/>
        <w:jc w:val="left"/>
        <w:rPr>
          <w:sz w:val="21"/>
        </w:rPr>
      </w:pPr>
      <w:r>
        <w:rPr>
          <w:color w:val="383838"/>
          <w:sz w:val="21"/>
        </w:rPr>
        <w:t>The </w:t>
      </w:r>
      <w:r>
        <w:rPr>
          <w:color w:val="151515"/>
          <w:sz w:val="21"/>
        </w:rPr>
        <w:t>Council </w:t>
      </w:r>
      <w:r>
        <w:rPr>
          <w:color w:val="1D1D1D"/>
          <w:sz w:val="21"/>
        </w:rPr>
        <w:t>has </w:t>
      </w:r>
      <w:r>
        <w:rPr>
          <w:color w:val="1F1F1F"/>
          <w:sz w:val="21"/>
        </w:rPr>
        <w:t>a </w:t>
      </w:r>
      <w:r>
        <w:rPr>
          <w:color w:val="282828"/>
          <w:sz w:val="21"/>
        </w:rPr>
        <w:t>number </w:t>
      </w:r>
      <w:r>
        <w:rPr>
          <w:color w:val="343434"/>
          <w:sz w:val="21"/>
        </w:rPr>
        <w:t>of </w:t>
      </w:r>
      <w:r>
        <w:rPr>
          <w:color w:val="2D2D2D"/>
          <w:sz w:val="21"/>
        </w:rPr>
        <w:t>revenue </w:t>
      </w:r>
      <w:r>
        <w:rPr>
          <w:color w:val="2A2A2A"/>
          <w:sz w:val="21"/>
        </w:rPr>
        <w:t>streams to </w:t>
      </w:r>
      <w:r>
        <w:rPr>
          <w:color w:val="242424"/>
          <w:sz w:val="21"/>
        </w:rPr>
        <w:t>support </w:t>
      </w:r>
      <w:r>
        <w:rPr>
          <w:color w:val="2F2F2F"/>
          <w:w w:val="95"/>
          <w:sz w:val="21"/>
        </w:rPr>
        <w:t>technical </w:t>
      </w:r>
      <w:r>
        <w:rPr>
          <w:color w:val="262626"/>
          <w:w w:val="95"/>
          <w:sz w:val="21"/>
        </w:rPr>
        <w:t>and </w:t>
      </w:r>
      <w:r>
        <w:rPr>
          <w:color w:val="1D1D1D"/>
          <w:w w:val="95"/>
          <w:sz w:val="21"/>
        </w:rPr>
        <w:t>admin </w:t>
      </w:r>
      <w:r>
        <w:rPr>
          <w:color w:val="2D2D2D"/>
          <w:w w:val="95"/>
          <w:sz w:val="21"/>
        </w:rPr>
        <w:t>processes </w:t>
      </w:r>
      <w:r>
        <w:rPr>
          <w:color w:val="1F1F1F"/>
          <w:w w:val="95"/>
          <w:sz w:val="21"/>
        </w:rPr>
        <w:t>and </w:t>
      </w:r>
      <w:r>
        <w:rPr>
          <w:color w:val="242424"/>
          <w:sz w:val="21"/>
        </w:rPr>
        <w:t>to</w:t>
      </w:r>
      <w:r>
        <w:rPr>
          <w:color w:val="242424"/>
          <w:spacing w:val="-33"/>
          <w:sz w:val="21"/>
        </w:rPr>
        <w:t> </w:t>
      </w:r>
      <w:r>
        <w:rPr>
          <w:color w:val="313131"/>
          <w:sz w:val="21"/>
        </w:rPr>
        <w:t>m</w:t>
      </w:r>
      <w:r>
        <w:rPr>
          <w:color w:val="313131"/>
          <w:spacing w:val="-47"/>
          <w:sz w:val="21"/>
        </w:rPr>
        <w:t> </w:t>
      </w:r>
      <w:r>
        <w:rPr>
          <w:color w:val="1D1D1D"/>
          <w:sz w:val="21"/>
        </w:rPr>
        <w:t>aintain</w:t>
      </w:r>
      <w:r>
        <w:rPr>
          <w:color w:val="1D1D1D"/>
          <w:spacing w:val="-17"/>
          <w:sz w:val="21"/>
        </w:rPr>
        <w:t> </w:t>
      </w:r>
      <w:r>
        <w:rPr>
          <w:color w:val="232323"/>
          <w:sz w:val="21"/>
        </w:rPr>
        <w:t>council</w:t>
      </w:r>
      <w:r>
        <w:rPr>
          <w:color w:val="232323"/>
          <w:spacing w:val="-26"/>
          <w:sz w:val="21"/>
        </w:rPr>
        <w:t> </w:t>
      </w:r>
      <w:r>
        <w:rPr>
          <w:color w:val="2A2A2A"/>
          <w:sz w:val="21"/>
        </w:rPr>
        <w:t>infrastructure.</w:t>
      </w:r>
    </w:p>
    <w:p>
      <w:pPr>
        <w:spacing w:line="235" w:lineRule="auto" w:before="123"/>
        <w:ind w:left="215" w:right="23" w:firstLine="7"/>
        <w:jc w:val="left"/>
        <w:rPr>
          <w:sz w:val="20"/>
        </w:rPr>
      </w:pPr>
      <w:r>
        <w:rPr>
          <w:color w:val="232323"/>
          <w:sz w:val="21"/>
        </w:rPr>
        <w:t>Existing revenue </w:t>
      </w:r>
      <w:r>
        <w:rPr>
          <w:color w:val="181818"/>
          <w:sz w:val="21"/>
        </w:rPr>
        <w:t>budgets </w:t>
      </w:r>
      <w:r>
        <w:rPr>
          <w:color w:val="282828"/>
          <w:sz w:val="21"/>
        </w:rPr>
        <w:t>include </w:t>
      </w:r>
      <w:r>
        <w:rPr>
          <w:color w:val="111111"/>
          <w:sz w:val="20"/>
        </w:rPr>
        <w:t>highway </w:t>
      </w:r>
      <w:r>
        <w:rPr>
          <w:color w:val="1C1C1C"/>
          <w:sz w:val="20"/>
        </w:rPr>
        <w:t>drainage </w:t>
      </w:r>
      <w:r>
        <w:rPr>
          <w:color w:val="3B3B3B"/>
          <w:sz w:val="20"/>
        </w:rPr>
        <w:t>m </w:t>
      </w:r>
      <w:r>
        <w:rPr>
          <w:color w:val="2A2A2A"/>
          <w:sz w:val="20"/>
        </w:rPr>
        <w:t>aintenance, </w:t>
      </w:r>
      <w:r>
        <w:rPr>
          <w:color w:val="232323"/>
          <w:sz w:val="20"/>
        </w:rPr>
        <w:t>watercourse </w:t>
      </w:r>
      <w:r>
        <w:rPr>
          <w:color w:val="3D3D3D"/>
          <w:sz w:val="20"/>
        </w:rPr>
        <w:t>m </w:t>
      </w:r>
      <w:r>
        <w:rPr>
          <w:color w:val="262626"/>
          <w:sz w:val="20"/>
        </w:rPr>
        <w:t>aintenance </w:t>
      </w:r>
      <w:r>
        <w:rPr>
          <w:color w:val="343434"/>
          <w:sz w:val="20"/>
        </w:rPr>
        <w:t>and </w:t>
      </w:r>
      <w:r>
        <w:rPr>
          <w:color w:val="313131"/>
          <w:w w:val="95"/>
          <w:sz w:val="21"/>
        </w:rPr>
        <w:t>funding </w:t>
      </w:r>
      <w:r>
        <w:rPr>
          <w:color w:val="2F2F2F"/>
          <w:w w:val="95"/>
          <w:sz w:val="21"/>
        </w:rPr>
        <w:t>for </w:t>
      </w:r>
      <w:r>
        <w:rPr>
          <w:color w:val="1C1C1C"/>
          <w:w w:val="95"/>
          <w:sz w:val="21"/>
        </w:rPr>
        <w:t>the </w:t>
      </w:r>
      <w:r>
        <w:rPr>
          <w:color w:val="2F2F2F"/>
          <w:w w:val="95"/>
          <w:sz w:val="21"/>
        </w:rPr>
        <w:t>Flood </w:t>
      </w:r>
      <w:r>
        <w:rPr>
          <w:color w:val="282828"/>
          <w:w w:val="95"/>
          <w:sz w:val="21"/>
        </w:rPr>
        <w:t>Management </w:t>
      </w:r>
      <w:r>
        <w:rPr>
          <w:color w:val="2D2D2D"/>
          <w:sz w:val="20"/>
        </w:rPr>
        <w:t>Team </w:t>
      </w:r>
      <w:r>
        <w:rPr>
          <w:color w:val="212121"/>
          <w:sz w:val="20"/>
        </w:rPr>
        <w:t>discharging </w:t>
      </w:r>
      <w:r>
        <w:rPr>
          <w:color w:val="1D1D1D"/>
          <w:sz w:val="20"/>
        </w:rPr>
        <w:t>the </w:t>
      </w:r>
      <w:r>
        <w:rPr>
          <w:color w:val="2D2D2D"/>
          <w:sz w:val="20"/>
        </w:rPr>
        <w:t>LLFA </w:t>
      </w:r>
      <w:r>
        <w:rPr>
          <w:color w:val="1A1A1A"/>
          <w:sz w:val="20"/>
        </w:rPr>
        <w:t>duty </w:t>
      </w:r>
      <w:r>
        <w:rPr>
          <w:color w:val="232323"/>
          <w:sz w:val="20"/>
        </w:rPr>
        <w:t>for the council.</w:t>
      </w:r>
    </w:p>
    <w:p>
      <w:pPr>
        <w:pStyle w:val="BodyText"/>
        <w:spacing w:before="4"/>
        <w:rPr>
          <w:sz w:val="21"/>
        </w:rPr>
      </w:pPr>
    </w:p>
    <w:p>
      <w:pPr>
        <w:spacing w:line="237" w:lineRule="auto" w:before="0"/>
        <w:ind w:left="216" w:right="53" w:firstLine="4"/>
        <w:jc w:val="left"/>
        <w:rPr>
          <w:sz w:val="20"/>
        </w:rPr>
      </w:pPr>
      <w:r>
        <w:rPr>
          <w:color w:val="363636"/>
          <w:sz w:val="21"/>
        </w:rPr>
        <w:t>A </w:t>
      </w:r>
      <w:r>
        <w:rPr>
          <w:color w:val="151515"/>
          <w:sz w:val="21"/>
        </w:rPr>
        <w:t>business-lead partnership </w:t>
      </w:r>
      <w:r>
        <w:rPr>
          <w:color w:val="131313"/>
          <w:sz w:val="20"/>
        </w:rPr>
        <w:t>between </w:t>
      </w:r>
      <w:r>
        <w:rPr>
          <w:color w:val="161616"/>
          <w:sz w:val="20"/>
        </w:rPr>
        <w:t>local </w:t>
      </w:r>
      <w:r>
        <w:rPr>
          <w:color w:val="1F1F1F"/>
          <w:sz w:val="20"/>
        </w:rPr>
        <w:t>authorities, businesses </w:t>
      </w:r>
      <w:r>
        <w:rPr>
          <w:color w:val="2A2A2A"/>
          <w:sz w:val="20"/>
        </w:rPr>
        <w:t>and, </w:t>
      </w:r>
      <w:r>
        <w:rPr>
          <w:color w:val="313131"/>
          <w:sz w:val="20"/>
        </w:rPr>
        <w:t>in </w:t>
      </w:r>
      <w:r>
        <w:rPr>
          <w:color w:val="232323"/>
          <w:sz w:val="20"/>
        </w:rPr>
        <w:t>some </w:t>
      </w:r>
      <w:r>
        <w:rPr>
          <w:color w:val="1F1F1F"/>
          <w:sz w:val="20"/>
        </w:rPr>
        <w:t>cases, </w:t>
      </w:r>
      <w:r>
        <w:rPr>
          <w:color w:val="181818"/>
          <w:sz w:val="21"/>
        </w:rPr>
        <w:t>representatives </w:t>
      </w:r>
      <w:r>
        <w:rPr>
          <w:color w:val="1F1F1F"/>
          <w:sz w:val="21"/>
        </w:rPr>
        <w:t>from academic </w:t>
      </w:r>
      <w:r>
        <w:rPr>
          <w:color w:val="1F1F1F"/>
          <w:sz w:val="20"/>
        </w:rPr>
        <w:t>institutions.</w:t>
      </w:r>
    </w:p>
    <w:p>
      <w:pPr>
        <w:spacing w:before="113"/>
        <w:ind w:left="217" w:right="42" w:hanging="3"/>
        <w:jc w:val="left"/>
        <w:rPr>
          <w:sz w:val="20"/>
        </w:rPr>
      </w:pPr>
      <w:r>
        <w:rPr>
          <w:color w:val="383838"/>
          <w:sz w:val="20"/>
        </w:rPr>
        <w:t>The </w:t>
      </w:r>
      <w:r>
        <w:rPr>
          <w:color w:val="2A2A2A"/>
          <w:sz w:val="20"/>
        </w:rPr>
        <w:t>LEP </w:t>
      </w:r>
      <w:r>
        <w:rPr>
          <w:color w:val="1A1A1A"/>
          <w:sz w:val="20"/>
        </w:rPr>
        <w:t>works </w:t>
      </w:r>
      <w:r>
        <w:rPr>
          <w:color w:val="2A2A2A"/>
          <w:sz w:val="20"/>
        </w:rPr>
        <w:t>closely </w:t>
      </w:r>
      <w:r>
        <w:rPr>
          <w:color w:val="262626"/>
          <w:sz w:val="20"/>
        </w:rPr>
        <w:t>with the West </w:t>
      </w:r>
      <w:r>
        <w:rPr>
          <w:color w:val="282828"/>
          <w:sz w:val="20"/>
        </w:rPr>
        <w:t>Yorkshire </w:t>
      </w:r>
      <w:r>
        <w:rPr>
          <w:color w:val="262626"/>
          <w:sz w:val="20"/>
        </w:rPr>
        <w:t>Combined </w:t>
      </w:r>
      <w:r>
        <w:rPr>
          <w:color w:val="181818"/>
          <w:sz w:val="20"/>
        </w:rPr>
        <w:t>Authority </w:t>
      </w:r>
      <w:r>
        <w:rPr>
          <w:color w:val="2A2A2A"/>
          <w:sz w:val="20"/>
        </w:rPr>
        <w:t>to </w:t>
      </w:r>
      <w:r>
        <w:rPr>
          <w:color w:val="282828"/>
          <w:sz w:val="20"/>
        </w:rPr>
        <w:t>deliver </w:t>
      </w:r>
      <w:r>
        <w:rPr>
          <w:color w:val="2D2D2D"/>
          <w:sz w:val="20"/>
        </w:rPr>
        <w:t>a </w:t>
      </w:r>
      <w:r>
        <w:rPr>
          <w:color w:val="262626"/>
          <w:sz w:val="20"/>
        </w:rPr>
        <w:t>shared </w:t>
      </w:r>
      <w:r>
        <w:rPr>
          <w:color w:val="181818"/>
          <w:sz w:val="20"/>
        </w:rPr>
        <w:t>Strategic </w:t>
      </w:r>
      <w:r>
        <w:rPr>
          <w:color w:val="262626"/>
          <w:sz w:val="20"/>
        </w:rPr>
        <w:t>Economic Plan for </w:t>
      </w:r>
      <w:r>
        <w:rPr>
          <w:color w:val="232323"/>
          <w:sz w:val="20"/>
        </w:rPr>
        <w:t>Leeds </w:t>
      </w:r>
      <w:r>
        <w:rPr>
          <w:color w:val="212121"/>
          <w:sz w:val="20"/>
        </w:rPr>
        <w:t>City </w:t>
      </w:r>
      <w:r>
        <w:rPr>
          <w:color w:val="262626"/>
          <w:sz w:val="20"/>
        </w:rPr>
        <w:t>Region </w:t>
      </w:r>
      <w:r>
        <w:rPr>
          <w:color w:val="2D2D2D"/>
          <w:sz w:val="20"/>
        </w:rPr>
        <w:t>in </w:t>
      </w:r>
      <w:r>
        <w:rPr>
          <w:color w:val="313131"/>
          <w:sz w:val="20"/>
        </w:rPr>
        <w:t>West </w:t>
      </w:r>
      <w:r>
        <w:rPr>
          <w:color w:val="181818"/>
          <w:sz w:val="20"/>
        </w:rPr>
        <w:t>Yorkshire.</w:t>
      </w:r>
    </w:p>
    <w:p>
      <w:pPr>
        <w:spacing w:before="94"/>
        <w:ind w:left="211" w:right="-15" w:firstLine="5"/>
        <w:jc w:val="left"/>
        <w:rPr>
          <w:sz w:val="20"/>
        </w:rPr>
      </w:pPr>
      <w:r>
        <w:rPr/>
        <w:br w:type="column"/>
      </w:r>
      <w:r>
        <w:rPr>
          <w:color w:val="262626"/>
          <w:sz w:val="20"/>
        </w:rPr>
        <w:t>Leeds</w:t>
      </w:r>
      <w:r>
        <w:rPr>
          <w:color w:val="262626"/>
          <w:spacing w:val="-19"/>
          <w:sz w:val="20"/>
        </w:rPr>
        <w:t> </w:t>
      </w:r>
      <w:r>
        <w:rPr>
          <w:color w:val="1C1C1C"/>
          <w:sz w:val="20"/>
        </w:rPr>
        <w:t>City </w:t>
      </w:r>
      <w:r>
        <w:rPr>
          <w:color w:val="2F2F2F"/>
          <w:sz w:val="20"/>
        </w:rPr>
        <w:t>Council</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31"/>
        </w:rPr>
      </w:pPr>
    </w:p>
    <w:p>
      <w:pPr>
        <w:spacing w:before="0"/>
        <w:ind w:left="211" w:right="-15" w:firstLine="5"/>
        <w:jc w:val="left"/>
        <w:rPr>
          <w:sz w:val="20"/>
        </w:rPr>
      </w:pPr>
      <w:r>
        <w:rPr>
          <w:color w:val="262626"/>
          <w:sz w:val="20"/>
        </w:rPr>
        <w:t>Leeds</w:t>
      </w:r>
      <w:r>
        <w:rPr>
          <w:color w:val="262626"/>
          <w:spacing w:val="-19"/>
          <w:sz w:val="20"/>
        </w:rPr>
        <w:t> </w:t>
      </w:r>
      <w:r>
        <w:rPr>
          <w:color w:val="1D1D1D"/>
          <w:sz w:val="20"/>
        </w:rPr>
        <w:t>City </w:t>
      </w:r>
      <w:r>
        <w:rPr>
          <w:color w:val="1C1C1C"/>
          <w:sz w:val="20"/>
        </w:rPr>
        <w:t>Council</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85"/>
        <w:ind w:left="216" w:right="0" w:firstLine="0"/>
        <w:jc w:val="left"/>
        <w:rPr>
          <w:sz w:val="20"/>
        </w:rPr>
      </w:pPr>
      <w:r>
        <w:rPr>
          <w:color w:val="2D2D2D"/>
          <w:sz w:val="20"/>
        </w:rPr>
        <w:t>LEP</w:t>
      </w:r>
    </w:p>
    <w:p>
      <w:pPr>
        <w:spacing w:before="94"/>
        <w:ind w:left="643" w:right="530" w:hanging="2"/>
        <w:jc w:val="left"/>
        <w:rPr>
          <w:sz w:val="20"/>
        </w:rPr>
      </w:pPr>
      <w:r>
        <w:rPr/>
        <w:br w:type="column"/>
      </w:r>
      <w:r>
        <w:rPr>
          <w:color w:val="131313"/>
          <w:sz w:val="20"/>
        </w:rPr>
        <w:t>Measures </w:t>
      </w:r>
      <w:r>
        <w:rPr>
          <w:color w:val="262626"/>
          <w:sz w:val="20"/>
        </w:rPr>
        <w:t>which </w:t>
      </w:r>
      <w:r>
        <w:rPr>
          <w:color w:val="282828"/>
          <w:sz w:val="20"/>
        </w:rPr>
        <w:t>are </w:t>
      </w:r>
      <w:r>
        <w:rPr>
          <w:color w:val="2F2F2F"/>
          <w:sz w:val="20"/>
        </w:rPr>
        <w:t>sm </w:t>
      </w:r>
      <w:r>
        <w:rPr>
          <w:color w:val="262626"/>
          <w:sz w:val="20"/>
        </w:rPr>
        <w:t>all </w:t>
      </w:r>
      <w:r>
        <w:rPr>
          <w:color w:val="2A2A2A"/>
          <w:sz w:val="20"/>
        </w:rPr>
        <w:t>to </w:t>
      </w:r>
      <w:r>
        <w:rPr>
          <w:color w:val="1A1A1A"/>
          <w:sz w:val="20"/>
        </w:rPr>
        <w:t>medium </w:t>
      </w:r>
      <w:r>
        <w:rPr>
          <w:color w:val="242424"/>
          <w:sz w:val="20"/>
        </w:rPr>
        <w:t>capital </w:t>
      </w:r>
      <w:r>
        <w:rPr>
          <w:color w:val="2A2A2A"/>
          <w:sz w:val="20"/>
        </w:rPr>
        <w:t>projects.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31"/>
        </w:rPr>
      </w:pPr>
    </w:p>
    <w:p>
      <w:pPr>
        <w:spacing w:before="0"/>
        <w:ind w:left="642" w:right="0" w:firstLine="0"/>
        <w:jc w:val="left"/>
        <w:rPr>
          <w:sz w:val="20"/>
        </w:rPr>
      </w:pPr>
      <w:r>
        <w:rPr>
          <w:color w:val="232323"/>
          <w:sz w:val="20"/>
        </w:rPr>
        <w:t>Measures </w:t>
      </w:r>
      <w:r>
        <w:rPr>
          <w:color w:val="262626"/>
          <w:sz w:val="20"/>
        </w:rPr>
        <w:t>requiring</w:t>
      </w:r>
    </w:p>
    <w:p>
      <w:pPr>
        <w:spacing w:line="241" w:lineRule="exact" w:before="116"/>
        <w:ind w:left="650" w:right="0" w:firstLine="0"/>
        <w:jc w:val="left"/>
        <w:rPr>
          <w:sz w:val="21"/>
        </w:rPr>
      </w:pPr>
      <w:r>
        <w:rPr>
          <w:color w:val="2A2A2A"/>
          <w:sz w:val="21"/>
        </w:rPr>
        <w:t>officer </w:t>
      </w:r>
      <w:r>
        <w:rPr>
          <w:color w:val="242424"/>
          <w:sz w:val="21"/>
        </w:rPr>
        <w:t>time </w:t>
      </w:r>
      <w:r>
        <w:rPr>
          <w:color w:val="2F2F2F"/>
          <w:sz w:val="21"/>
        </w:rPr>
        <w:t>and/or </w:t>
      </w:r>
      <w:r>
        <w:rPr>
          <w:color w:val="3A3A3A"/>
          <w:sz w:val="21"/>
        </w:rPr>
        <w:t>m </w:t>
      </w:r>
      <w:r>
        <w:rPr>
          <w:color w:val="232323"/>
          <w:sz w:val="21"/>
        </w:rPr>
        <w:t>aintenance</w:t>
      </w:r>
    </w:p>
    <w:p>
      <w:pPr>
        <w:spacing w:line="229" w:lineRule="exact" w:before="0"/>
        <w:ind w:left="649" w:right="0" w:firstLine="0"/>
        <w:jc w:val="left"/>
        <w:rPr>
          <w:sz w:val="20"/>
        </w:rPr>
      </w:pPr>
      <w:r>
        <w:rPr>
          <w:color w:val="232323"/>
          <w:sz w:val="20"/>
        </w:rPr>
        <w:t>activity.</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9"/>
        </w:rPr>
      </w:pPr>
    </w:p>
    <w:p>
      <w:pPr>
        <w:spacing w:before="0"/>
        <w:ind w:left="643" w:right="427" w:firstLine="4"/>
        <w:jc w:val="left"/>
        <w:rPr>
          <w:sz w:val="20"/>
        </w:rPr>
      </w:pPr>
      <w:r>
        <w:rPr>
          <w:color w:val="181818"/>
          <w:sz w:val="20"/>
        </w:rPr>
        <w:t>Seeks </w:t>
      </w:r>
      <w:r>
        <w:rPr>
          <w:color w:val="1F1F1F"/>
          <w:sz w:val="20"/>
        </w:rPr>
        <w:t>partnership </w:t>
      </w:r>
      <w:r>
        <w:rPr>
          <w:color w:val="2F2F2F"/>
          <w:sz w:val="20"/>
        </w:rPr>
        <w:t>to </w:t>
      </w:r>
      <w:r>
        <w:rPr>
          <w:color w:val="161616"/>
          <w:sz w:val="20"/>
        </w:rPr>
        <w:t>strategically </w:t>
      </w:r>
      <w:r>
        <w:rPr>
          <w:color w:val="2D2D2D"/>
          <w:sz w:val="20"/>
        </w:rPr>
        <w:t>drive </w:t>
      </w:r>
      <w:r>
        <w:rPr>
          <w:color w:val="181818"/>
          <w:sz w:val="20"/>
        </w:rPr>
        <w:t>economic </w:t>
      </w:r>
      <w:r>
        <w:rPr>
          <w:color w:val="151515"/>
          <w:sz w:val="20"/>
        </w:rPr>
        <w:t>growth; </w:t>
      </w:r>
      <w:r>
        <w:rPr>
          <w:color w:val="1F1F1F"/>
          <w:sz w:val="20"/>
        </w:rPr>
        <w:t>jobs </w:t>
      </w:r>
      <w:r>
        <w:rPr>
          <w:color w:val="212121"/>
          <w:sz w:val="20"/>
        </w:rPr>
        <w:t>and </w:t>
      </w:r>
      <w:r>
        <w:rPr>
          <w:color w:val="131313"/>
          <w:sz w:val="20"/>
        </w:rPr>
        <w:t>skills; </w:t>
      </w:r>
      <w:r>
        <w:rPr>
          <w:color w:val="161616"/>
          <w:sz w:val="20"/>
        </w:rPr>
        <w:t>inward </w:t>
      </w:r>
      <w:r>
        <w:rPr>
          <w:color w:val="1F1F1F"/>
          <w:sz w:val="20"/>
        </w:rPr>
        <w:t>investment; </w:t>
      </w:r>
      <w:r>
        <w:rPr>
          <w:color w:val="131313"/>
          <w:sz w:val="20"/>
        </w:rPr>
        <w:t>infrastructure; </w:t>
      </w:r>
      <w:r>
        <w:rPr>
          <w:color w:val="2A2A2A"/>
          <w:sz w:val="20"/>
        </w:rPr>
        <w:t>and</w:t>
      </w:r>
    </w:p>
    <w:p>
      <w:pPr>
        <w:spacing w:before="117"/>
        <w:ind w:left="644" w:right="0" w:firstLine="0"/>
        <w:jc w:val="left"/>
        <w:rPr>
          <w:sz w:val="20"/>
        </w:rPr>
      </w:pPr>
      <w:r>
        <w:rPr>
          <w:color w:val="181818"/>
          <w:sz w:val="20"/>
        </w:rPr>
        <w:t>business </w:t>
      </w:r>
      <w:r>
        <w:rPr>
          <w:color w:val="1A1A1A"/>
          <w:sz w:val="20"/>
        </w:rPr>
        <w:t>growth.</w:t>
      </w:r>
    </w:p>
    <w:p>
      <w:pPr>
        <w:spacing w:after="0"/>
        <w:jc w:val="left"/>
        <w:rPr>
          <w:sz w:val="20"/>
        </w:rPr>
        <w:sectPr>
          <w:type w:val="continuous"/>
          <w:pgSz w:w="11920" w:h="16850"/>
          <w:pgMar w:top="1220" w:bottom="0" w:left="440" w:right="560"/>
          <w:cols w:num="4" w:equalWidth="0">
            <w:col w:w="2526" w:space="40"/>
            <w:col w:w="3348" w:space="39"/>
            <w:col w:w="1147" w:space="39"/>
            <w:col w:w="3781"/>
          </w:cols>
        </w:sectPr>
      </w:pPr>
    </w:p>
    <w:p>
      <w:pPr>
        <w:pStyle w:val="BodyText"/>
        <w:spacing w:before="11"/>
        <w:rPr>
          <w:sz w:val="12"/>
        </w:rPr>
      </w:pPr>
    </w:p>
    <w:p>
      <w:pPr>
        <w:spacing w:after="0"/>
        <w:rPr>
          <w:sz w:val="12"/>
        </w:rPr>
        <w:sectPr>
          <w:type w:val="continuous"/>
          <w:pgSz w:w="11920" w:h="16850"/>
          <w:pgMar w:top="1220" w:bottom="0" w:left="440" w:right="560"/>
        </w:sectPr>
      </w:pPr>
    </w:p>
    <w:p>
      <w:pPr>
        <w:spacing w:before="93"/>
        <w:ind w:left="1093" w:right="-14" w:firstLine="0"/>
        <w:jc w:val="left"/>
        <w:rPr>
          <w:sz w:val="20"/>
        </w:rPr>
      </w:pPr>
      <w:r>
        <w:rPr>
          <w:color w:val="242424"/>
          <w:sz w:val="20"/>
        </w:rPr>
        <w:t>West</w:t>
      </w:r>
      <w:r>
        <w:rPr>
          <w:color w:val="242424"/>
          <w:spacing w:val="-24"/>
          <w:sz w:val="20"/>
        </w:rPr>
        <w:t> </w:t>
      </w:r>
      <w:r>
        <w:rPr>
          <w:color w:val="161616"/>
          <w:sz w:val="20"/>
        </w:rPr>
        <w:t>Yorkshire </w:t>
      </w:r>
      <w:r>
        <w:rPr>
          <w:color w:val="1F1F1F"/>
          <w:sz w:val="20"/>
        </w:rPr>
        <w:t>Combined </w:t>
      </w:r>
      <w:r>
        <w:rPr>
          <w:color w:val="282828"/>
          <w:sz w:val="20"/>
        </w:rPr>
        <w:t>Authority </w:t>
      </w:r>
      <w:r>
        <w:rPr>
          <w:color w:val="2A2A2A"/>
          <w:sz w:val="20"/>
        </w:rPr>
        <w:t>(WYCA)</w:t>
      </w:r>
    </w:p>
    <w:p>
      <w:pPr>
        <w:tabs>
          <w:tab w:pos="3691" w:val="left" w:leader="none"/>
        </w:tabs>
        <w:spacing w:before="93"/>
        <w:ind w:left="317" w:right="0" w:firstLine="1"/>
        <w:jc w:val="left"/>
        <w:rPr>
          <w:sz w:val="20"/>
        </w:rPr>
      </w:pPr>
      <w:r>
        <w:rPr/>
        <w:br w:type="column"/>
      </w:r>
      <w:r>
        <w:rPr>
          <w:color w:val="1A1A1A"/>
          <w:sz w:val="20"/>
        </w:rPr>
        <w:t>Established </w:t>
      </w:r>
      <w:r>
        <w:rPr>
          <w:color w:val="282828"/>
          <w:sz w:val="20"/>
        </w:rPr>
        <w:t>in </w:t>
      </w:r>
      <w:r>
        <w:rPr>
          <w:color w:val="1D1D1D"/>
          <w:sz w:val="20"/>
        </w:rPr>
        <w:t>April 2014</w:t>
      </w:r>
      <w:r>
        <w:rPr>
          <w:color w:val="1D1D1D"/>
          <w:spacing w:val="1"/>
          <w:sz w:val="20"/>
        </w:rPr>
        <w:t> </w:t>
      </w:r>
      <w:r>
        <w:rPr>
          <w:color w:val="2D2D2D"/>
          <w:sz w:val="20"/>
        </w:rPr>
        <w:t>as</w:t>
      </w:r>
      <w:r>
        <w:rPr>
          <w:color w:val="2D2D2D"/>
          <w:spacing w:val="-17"/>
          <w:sz w:val="20"/>
        </w:rPr>
        <w:t> </w:t>
      </w:r>
      <w:r>
        <w:rPr>
          <w:color w:val="2D2D2D"/>
          <w:sz w:val="20"/>
        </w:rPr>
        <w:t>an</w:t>
        <w:tab/>
      </w:r>
      <w:r>
        <w:rPr>
          <w:color w:val="2F2F2F"/>
          <w:spacing w:val="-1"/>
          <w:w w:val="95"/>
          <w:sz w:val="20"/>
        </w:rPr>
        <w:t>WYCA </w:t>
      </w:r>
      <w:r>
        <w:rPr>
          <w:color w:val="1D1D1D"/>
          <w:sz w:val="20"/>
        </w:rPr>
        <w:t>authority </w:t>
      </w:r>
      <w:r>
        <w:rPr>
          <w:color w:val="1A1A1A"/>
          <w:sz w:val="20"/>
        </w:rPr>
        <w:t>with </w:t>
      </w:r>
      <w:r>
        <w:rPr>
          <w:color w:val="282828"/>
          <w:sz w:val="20"/>
        </w:rPr>
        <w:t>powers</w:t>
      </w:r>
      <w:r>
        <w:rPr>
          <w:color w:val="282828"/>
          <w:spacing w:val="34"/>
          <w:sz w:val="20"/>
        </w:rPr>
        <w:t> </w:t>
      </w:r>
      <w:r>
        <w:rPr>
          <w:color w:val="1F1F1F"/>
          <w:sz w:val="20"/>
        </w:rPr>
        <w:t>over</w:t>
      </w:r>
    </w:p>
    <w:p>
      <w:pPr>
        <w:spacing w:line="232" w:lineRule="auto" w:before="0"/>
        <w:ind w:left="317" w:right="785" w:hanging="6"/>
        <w:jc w:val="left"/>
        <w:rPr>
          <w:sz w:val="20"/>
        </w:rPr>
      </w:pPr>
      <w:r>
        <w:rPr>
          <w:color w:val="131313"/>
          <w:w w:val="95"/>
          <w:sz w:val="21"/>
        </w:rPr>
        <w:t>transport, </w:t>
      </w:r>
      <w:r>
        <w:rPr>
          <w:color w:val="282828"/>
          <w:w w:val="95"/>
          <w:sz w:val="21"/>
        </w:rPr>
        <w:t>economic </w:t>
      </w:r>
      <w:r>
        <w:rPr>
          <w:color w:val="1D1D1D"/>
          <w:w w:val="95"/>
          <w:sz w:val="21"/>
        </w:rPr>
        <w:t>development </w:t>
      </w:r>
      <w:r>
        <w:rPr>
          <w:color w:val="2A2A2A"/>
          <w:sz w:val="21"/>
        </w:rPr>
        <w:t>and </w:t>
      </w:r>
      <w:r>
        <w:rPr>
          <w:color w:val="1F1F1F"/>
          <w:sz w:val="21"/>
        </w:rPr>
        <w:t>regeneration </w:t>
      </w:r>
      <w:r>
        <w:rPr>
          <w:color w:val="1D1D1D"/>
          <w:sz w:val="21"/>
        </w:rPr>
        <w:t>for five </w:t>
      </w:r>
      <w:r>
        <w:rPr>
          <w:color w:val="262626"/>
          <w:sz w:val="21"/>
        </w:rPr>
        <w:t>local </w:t>
      </w:r>
      <w:r>
        <w:rPr>
          <w:color w:val="1D1D1D"/>
          <w:sz w:val="20"/>
        </w:rPr>
        <w:t>authorities.</w:t>
      </w:r>
    </w:p>
    <w:p>
      <w:pPr>
        <w:spacing w:line="235" w:lineRule="auto" w:before="129"/>
        <w:ind w:left="311" w:right="785" w:firstLine="4"/>
        <w:jc w:val="left"/>
        <w:rPr>
          <w:sz w:val="20"/>
        </w:rPr>
      </w:pPr>
      <w:r>
        <w:rPr>
          <w:color w:val="2F2F2F"/>
          <w:sz w:val="20"/>
        </w:rPr>
        <w:t>Is </w:t>
      </w:r>
      <w:r>
        <w:rPr>
          <w:color w:val="2A2A2A"/>
          <w:sz w:val="20"/>
        </w:rPr>
        <w:t>the body </w:t>
      </w:r>
      <w:r>
        <w:rPr>
          <w:color w:val="1C1C1C"/>
          <w:sz w:val="20"/>
        </w:rPr>
        <w:t>responsible </w:t>
      </w:r>
      <w:r>
        <w:rPr>
          <w:color w:val="343434"/>
          <w:sz w:val="20"/>
        </w:rPr>
        <w:t>for </w:t>
      </w:r>
      <w:r>
        <w:rPr>
          <w:color w:val="282828"/>
          <w:w w:val="95"/>
          <w:sz w:val="21"/>
        </w:rPr>
        <w:t>delivering </w:t>
      </w:r>
      <w:r>
        <w:rPr>
          <w:color w:val="212121"/>
          <w:w w:val="95"/>
          <w:sz w:val="21"/>
        </w:rPr>
        <w:t>large-scale </w:t>
      </w:r>
      <w:r>
        <w:rPr>
          <w:color w:val="242424"/>
          <w:w w:val="95"/>
          <w:sz w:val="21"/>
        </w:rPr>
        <w:t>infrastructure </w:t>
      </w:r>
      <w:r>
        <w:rPr>
          <w:color w:val="2A2A2A"/>
          <w:sz w:val="20"/>
        </w:rPr>
        <w:t>projects </w:t>
      </w:r>
      <w:r>
        <w:rPr>
          <w:color w:val="313131"/>
          <w:sz w:val="20"/>
        </w:rPr>
        <w:t>in </w:t>
      </w:r>
      <w:r>
        <w:rPr>
          <w:color w:val="1F1F1F"/>
          <w:sz w:val="20"/>
        </w:rPr>
        <w:t>Leeds </w:t>
      </w:r>
      <w:r>
        <w:rPr>
          <w:color w:val="2A2A2A"/>
          <w:sz w:val="20"/>
        </w:rPr>
        <w:t>City </w:t>
      </w:r>
      <w:r>
        <w:rPr>
          <w:color w:val="1C1C1C"/>
          <w:sz w:val="20"/>
        </w:rPr>
        <w:t>Region.</w:t>
      </w:r>
    </w:p>
    <w:p>
      <w:pPr>
        <w:spacing w:before="115"/>
        <w:ind w:left="312" w:right="923" w:firstLine="0"/>
        <w:jc w:val="left"/>
        <w:rPr>
          <w:sz w:val="20"/>
        </w:rPr>
      </w:pPr>
      <w:r>
        <w:rPr>
          <w:color w:val="2A2A2A"/>
          <w:sz w:val="20"/>
        </w:rPr>
        <w:t>Works </w:t>
      </w:r>
      <w:r>
        <w:rPr>
          <w:color w:val="262626"/>
          <w:sz w:val="20"/>
        </w:rPr>
        <w:t>closely </w:t>
      </w:r>
      <w:r>
        <w:rPr>
          <w:color w:val="2B2B2B"/>
          <w:sz w:val="20"/>
        </w:rPr>
        <w:t>with </w:t>
      </w:r>
      <w:r>
        <w:rPr>
          <w:color w:val="282828"/>
          <w:sz w:val="20"/>
        </w:rPr>
        <w:t>the </w:t>
      </w:r>
      <w:r>
        <w:rPr>
          <w:color w:val="2F2F2F"/>
          <w:sz w:val="20"/>
        </w:rPr>
        <w:t>Leeds </w:t>
      </w:r>
      <w:r>
        <w:rPr>
          <w:color w:val="282828"/>
          <w:sz w:val="20"/>
        </w:rPr>
        <w:t>City </w:t>
      </w:r>
      <w:r>
        <w:rPr>
          <w:color w:val="2D2D2D"/>
          <w:sz w:val="20"/>
        </w:rPr>
        <w:t>Region </w:t>
      </w:r>
      <w:r>
        <w:rPr>
          <w:color w:val="262626"/>
          <w:sz w:val="20"/>
        </w:rPr>
        <w:t>Enterprise </w:t>
      </w:r>
      <w:r>
        <w:rPr>
          <w:color w:val="2A2A2A"/>
          <w:sz w:val="20"/>
        </w:rPr>
        <w:t>Partnership (LEP)</w:t>
      </w:r>
      <w:r>
        <w:rPr>
          <w:color w:val="2A2A2A"/>
          <w:spacing w:val="-21"/>
          <w:sz w:val="20"/>
        </w:rPr>
        <w:t> </w:t>
      </w:r>
      <w:r>
        <w:rPr>
          <w:color w:val="1A1A1A"/>
          <w:sz w:val="20"/>
        </w:rPr>
        <w:t>to</w:t>
      </w:r>
      <w:r>
        <w:rPr>
          <w:color w:val="1A1A1A"/>
          <w:spacing w:val="-24"/>
          <w:sz w:val="20"/>
        </w:rPr>
        <w:t> </w:t>
      </w:r>
      <w:r>
        <w:rPr>
          <w:color w:val="1C1C1C"/>
          <w:sz w:val="20"/>
        </w:rPr>
        <w:t>deliver</w:t>
      </w:r>
      <w:r>
        <w:rPr>
          <w:color w:val="1C1C1C"/>
          <w:spacing w:val="-18"/>
          <w:sz w:val="20"/>
        </w:rPr>
        <w:t> </w:t>
      </w:r>
      <w:r>
        <w:rPr>
          <w:color w:val="343434"/>
          <w:sz w:val="20"/>
        </w:rPr>
        <w:t>a</w:t>
      </w:r>
      <w:r>
        <w:rPr>
          <w:color w:val="343434"/>
          <w:spacing w:val="-18"/>
          <w:sz w:val="20"/>
        </w:rPr>
        <w:t> </w:t>
      </w:r>
      <w:r>
        <w:rPr>
          <w:color w:val="2B2B2B"/>
          <w:sz w:val="20"/>
        </w:rPr>
        <w:t>shared</w:t>
      </w:r>
      <w:r>
        <w:rPr>
          <w:color w:val="2B2B2B"/>
          <w:spacing w:val="-18"/>
          <w:sz w:val="20"/>
        </w:rPr>
        <w:t> </w:t>
      </w:r>
      <w:r>
        <w:rPr>
          <w:color w:val="232323"/>
          <w:sz w:val="20"/>
        </w:rPr>
        <w:t>Stra”tegic </w:t>
      </w:r>
      <w:r>
        <w:rPr>
          <w:color w:val="262626"/>
          <w:sz w:val="20"/>
        </w:rPr>
        <w:t>Economic </w:t>
      </w:r>
      <w:r>
        <w:rPr>
          <w:color w:val="2D2D2D"/>
          <w:sz w:val="20"/>
        </w:rPr>
        <w:t>Plan </w:t>
      </w:r>
      <w:r>
        <w:rPr>
          <w:color w:val="2A2A2A"/>
          <w:sz w:val="20"/>
        </w:rPr>
        <w:t>for Leeds </w:t>
      </w:r>
      <w:r>
        <w:rPr>
          <w:color w:val="262626"/>
          <w:sz w:val="20"/>
        </w:rPr>
        <w:t>City </w:t>
      </w:r>
      <w:r>
        <w:rPr>
          <w:color w:val="2A2A2A"/>
          <w:sz w:val="20"/>
        </w:rPr>
        <w:t>Region </w:t>
      </w:r>
      <w:r>
        <w:rPr>
          <w:color w:val="383838"/>
          <w:sz w:val="20"/>
        </w:rPr>
        <w:t>in </w:t>
      </w:r>
      <w:r>
        <w:rPr>
          <w:color w:val="262626"/>
          <w:sz w:val="20"/>
        </w:rPr>
        <w:t>West</w:t>
      </w:r>
      <w:r>
        <w:rPr>
          <w:color w:val="262626"/>
          <w:spacing w:val="-2"/>
          <w:sz w:val="20"/>
        </w:rPr>
        <w:t> </w:t>
      </w:r>
      <w:r>
        <w:rPr>
          <w:color w:val="262626"/>
          <w:sz w:val="20"/>
        </w:rPr>
        <w:t>Yorkshire.</w:t>
      </w:r>
    </w:p>
    <w:p>
      <w:pPr>
        <w:spacing w:line="232" w:lineRule="auto" w:before="99"/>
        <w:ind w:left="993" w:right="149" w:firstLine="1"/>
        <w:jc w:val="left"/>
        <w:rPr>
          <w:sz w:val="21"/>
        </w:rPr>
      </w:pPr>
      <w:r>
        <w:rPr/>
        <w:br w:type="column"/>
      </w:r>
      <w:r>
        <w:rPr>
          <w:color w:val="282828"/>
          <w:sz w:val="20"/>
        </w:rPr>
        <w:t>Works </w:t>
      </w:r>
      <w:r>
        <w:rPr>
          <w:color w:val="2D2D2D"/>
          <w:sz w:val="20"/>
        </w:rPr>
        <w:t>with </w:t>
      </w:r>
      <w:r>
        <w:rPr>
          <w:color w:val="262626"/>
          <w:sz w:val="20"/>
        </w:rPr>
        <w:t>the LEP </w:t>
      </w:r>
      <w:r>
        <w:rPr>
          <w:color w:val="2F2F2F"/>
          <w:sz w:val="20"/>
        </w:rPr>
        <w:t>and </w:t>
      </w:r>
      <w:r>
        <w:rPr>
          <w:color w:val="2D2D2D"/>
          <w:sz w:val="20"/>
        </w:rPr>
        <w:t>other </w:t>
      </w:r>
      <w:r>
        <w:rPr>
          <w:color w:val="242424"/>
          <w:sz w:val="21"/>
        </w:rPr>
        <w:t>local </w:t>
      </w:r>
      <w:r>
        <w:rPr>
          <w:color w:val="282828"/>
          <w:sz w:val="21"/>
        </w:rPr>
        <w:t>partners </w:t>
      </w:r>
      <w:r>
        <w:rPr>
          <w:color w:val="262626"/>
          <w:sz w:val="21"/>
        </w:rPr>
        <w:t>to </w:t>
      </w:r>
      <w:r>
        <w:rPr>
          <w:color w:val="242424"/>
          <w:sz w:val="21"/>
        </w:rPr>
        <w:t>ensure </w:t>
      </w:r>
      <w:r>
        <w:rPr>
          <w:color w:val="2D2D2D"/>
          <w:sz w:val="21"/>
        </w:rPr>
        <w:t>our </w:t>
      </w:r>
      <w:r>
        <w:rPr>
          <w:color w:val="1D1D1D"/>
          <w:sz w:val="20"/>
        </w:rPr>
        <w:t>region </w:t>
      </w:r>
      <w:r>
        <w:rPr>
          <w:color w:val="2B2B2B"/>
          <w:sz w:val="20"/>
        </w:rPr>
        <w:t>has </w:t>
      </w:r>
      <w:r>
        <w:rPr>
          <w:color w:val="1A1A1A"/>
          <w:sz w:val="20"/>
        </w:rPr>
        <w:t>the </w:t>
      </w:r>
      <w:r>
        <w:rPr>
          <w:color w:val="2B2B2B"/>
          <w:sz w:val="20"/>
        </w:rPr>
        <w:t>right </w:t>
      </w:r>
      <w:r>
        <w:rPr>
          <w:color w:val="1C1C1C"/>
          <w:sz w:val="20"/>
        </w:rPr>
        <w:t>transport, </w:t>
      </w:r>
      <w:r>
        <w:rPr>
          <w:color w:val="1A1A1A"/>
          <w:sz w:val="21"/>
        </w:rPr>
        <w:t>housing </w:t>
      </w:r>
      <w:r>
        <w:rPr>
          <w:color w:val="2D2D2D"/>
          <w:sz w:val="21"/>
        </w:rPr>
        <w:t>and </w:t>
      </w:r>
      <w:r>
        <w:rPr>
          <w:color w:val="1D1D1D"/>
          <w:sz w:val="21"/>
        </w:rPr>
        <w:t>environment </w:t>
      </w:r>
      <w:r>
        <w:rPr>
          <w:color w:val="2F2F2F"/>
          <w:sz w:val="21"/>
        </w:rPr>
        <w:t>to </w:t>
      </w:r>
      <w:r>
        <w:rPr>
          <w:color w:val="1D1D1D"/>
          <w:sz w:val="20"/>
        </w:rPr>
        <w:t>meet </w:t>
      </w:r>
      <w:r>
        <w:rPr>
          <w:color w:val="2D2D2D"/>
          <w:sz w:val="20"/>
        </w:rPr>
        <w:t>the </w:t>
      </w:r>
      <w:r>
        <w:rPr>
          <w:color w:val="242424"/>
          <w:sz w:val="20"/>
        </w:rPr>
        <w:t>needs </w:t>
      </w:r>
      <w:r>
        <w:rPr>
          <w:color w:val="343434"/>
          <w:sz w:val="20"/>
        </w:rPr>
        <w:t>of </w:t>
      </w:r>
      <w:r>
        <w:rPr>
          <w:color w:val="1C1C1C"/>
          <w:sz w:val="20"/>
        </w:rPr>
        <w:t>businesses </w:t>
      </w:r>
      <w:r>
        <w:rPr>
          <w:color w:val="1F1F1F"/>
          <w:sz w:val="21"/>
        </w:rPr>
        <w:t>and </w:t>
      </w:r>
      <w:r>
        <w:rPr>
          <w:color w:val="262626"/>
          <w:sz w:val="21"/>
        </w:rPr>
        <w:t>our </w:t>
      </w:r>
      <w:r>
        <w:rPr>
          <w:color w:val="282828"/>
          <w:sz w:val="21"/>
        </w:rPr>
        <w:t>economy.</w:t>
      </w:r>
    </w:p>
    <w:p>
      <w:pPr>
        <w:spacing w:after="0" w:line="232" w:lineRule="auto"/>
        <w:jc w:val="left"/>
        <w:rPr>
          <w:sz w:val="21"/>
        </w:rPr>
        <w:sectPr>
          <w:type w:val="continuous"/>
          <w:pgSz w:w="11920" w:h="16850"/>
          <w:pgMar w:top="1220" w:bottom="0" w:left="440" w:right="560"/>
          <w:cols w:num="3" w:equalWidth="0">
            <w:col w:w="2431" w:space="40"/>
            <w:col w:w="4280" w:space="39"/>
            <w:col w:w="41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before="93"/>
        <w:ind w:left="0" w:right="3070" w:firstLine="0"/>
        <w:jc w:val="right"/>
        <w:rPr>
          <w:sz w:val="20"/>
        </w:rPr>
      </w:pPr>
      <w:r>
        <w:rPr/>
        <w:pict>
          <v:group style="position:absolute;margin-left:537.554504pt;margin-top:-59.644093pt;width:5.8pt;height:34.6pt;mso-position-horizontal-relative:page;mso-position-vertical-relative:paragraph;z-index:2728" coordorigin="10751,-1193" coordsize="116,692">
            <v:shape style="position:absolute;left:10751;top:-1193;width:116;height:39" type="#_x0000_t75" stroked="false">
              <v:imagedata r:id="rId27" o:title=""/>
            </v:shape>
            <v:shape style="position:absolute;left:10827;top:-579;width:39;height:77" type="#_x0000_t75" stroked="false">
              <v:imagedata r:id="rId28" o:title=""/>
            </v:shape>
            <v:line style="position:absolute" from="10804,-1193" to="10804,-511" stroked="true" strokeweight="5.279551pt" strokecolor="#d85970">
              <v:stroke dashstyle="solid"/>
            </v:line>
            <w10:wrap type="none"/>
          </v:group>
        </w:pict>
      </w:r>
      <w:r>
        <w:rPr/>
        <w:pict>
          <v:group style="position:absolute;margin-left:70.554024pt;margin-top:4.977926pt;width:317.25pt;height:51.55pt;mso-position-horizontal-relative:page;mso-position-vertical-relative:paragraph;z-index:2800" coordorigin="1411,100" coordsize="6345,1031">
            <v:shape style="position:absolute;left:1411;top:131;width:6336;height:999" type="#_x0000_t75" stroked="false">
              <v:imagedata r:id="rId52" o:title=""/>
            </v:shape>
            <v:shape style="position:absolute;left:1539;top:99;width:1181;height:454" type="#_x0000_t202" filled="false" stroked="false">
              <v:textbox inset="0,0,0,0">
                <w:txbxContent>
                  <w:p>
                    <w:pPr>
                      <w:spacing w:line="240" w:lineRule="auto" w:before="0"/>
                      <w:ind w:left="0" w:right="-18" w:firstLine="0"/>
                      <w:jc w:val="left"/>
                      <w:rPr>
                        <w:sz w:val="20"/>
                      </w:rPr>
                    </w:pPr>
                    <w:r>
                      <w:rPr>
                        <w:color w:val="212121"/>
                        <w:sz w:val="20"/>
                      </w:rPr>
                      <w:t>Local </w:t>
                    </w:r>
                    <w:r>
                      <w:rPr>
                        <w:color w:val="2A2A2A"/>
                        <w:sz w:val="20"/>
                      </w:rPr>
                      <w:t>Growth </w:t>
                    </w:r>
                    <w:r>
                      <w:rPr>
                        <w:color w:val="242424"/>
                        <w:sz w:val="20"/>
                      </w:rPr>
                      <w:t>Deal</w:t>
                    </w:r>
                  </w:p>
                </w:txbxContent>
              </v:textbox>
              <w10:wrap type="none"/>
            </v:shape>
            <v:shape style="position:absolute;left:3221;top:99;width:4534;height:915" type="#_x0000_t202" filled="false" stroked="false">
              <v:textbox inset="0,0,0,0">
                <w:txbxContent>
                  <w:p>
                    <w:pPr>
                      <w:tabs>
                        <w:tab w:pos="3379" w:val="left" w:leader="none"/>
                      </w:tabs>
                      <w:spacing w:line="240" w:lineRule="auto" w:before="0"/>
                      <w:ind w:left="0" w:right="18" w:firstLine="1"/>
                      <w:jc w:val="left"/>
                      <w:rPr>
                        <w:sz w:val="20"/>
                      </w:rPr>
                    </w:pPr>
                    <w:r>
                      <w:rPr>
                        <w:color w:val="282828"/>
                        <w:sz w:val="20"/>
                      </w:rPr>
                      <w:t>WYCA and </w:t>
                    </w:r>
                    <w:r>
                      <w:rPr>
                        <w:color w:val="262626"/>
                        <w:sz w:val="20"/>
                      </w:rPr>
                      <w:t>the </w:t>
                    </w:r>
                    <w:r>
                      <w:rPr>
                        <w:color w:val="2D2D2D"/>
                        <w:sz w:val="20"/>
                      </w:rPr>
                      <w:t>LEP</w:t>
                    </w:r>
                    <w:r>
                      <w:rPr>
                        <w:color w:val="2D2D2D"/>
                        <w:spacing w:val="6"/>
                        <w:sz w:val="20"/>
                      </w:rPr>
                      <w:t> </w:t>
                    </w:r>
                    <w:r>
                      <w:rPr>
                        <w:color w:val="232323"/>
                        <w:sz w:val="20"/>
                      </w:rPr>
                      <w:t>secured</w:t>
                    </w:r>
                    <w:r>
                      <w:rPr>
                        <w:color w:val="232323"/>
                        <w:spacing w:val="-1"/>
                        <w:sz w:val="20"/>
                      </w:rPr>
                      <w:t> </w:t>
                    </w:r>
                    <w:r>
                      <w:rPr>
                        <w:color w:val="2D2D2D"/>
                        <w:sz w:val="20"/>
                      </w:rPr>
                      <w:t>£1</w:t>
                      <w:tab/>
                    </w:r>
                    <w:r>
                      <w:rPr>
                        <w:color w:val="282828"/>
                        <w:sz w:val="20"/>
                      </w:rPr>
                      <w:t>WYCA </w:t>
                    </w:r>
                    <w:r>
                      <w:rPr>
                        <w:color w:val="3A3A3A"/>
                        <w:sz w:val="20"/>
                      </w:rPr>
                      <w:t>/</w:t>
                    </w:r>
                    <w:r>
                      <w:rPr>
                        <w:color w:val="3A3A3A"/>
                        <w:spacing w:val="-16"/>
                        <w:sz w:val="20"/>
                      </w:rPr>
                      <w:t> </w:t>
                    </w:r>
                    <w:r>
                      <w:rPr>
                        <w:color w:val="2D2D2D"/>
                        <w:sz w:val="20"/>
                      </w:rPr>
                      <w:t>LEP </w:t>
                    </w:r>
                    <w:r>
                      <w:rPr>
                        <w:color w:val="232323"/>
                        <w:sz w:val="20"/>
                      </w:rPr>
                      <w:t>billion </w:t>
                    </w:r>
                    <w:r>
                      <w:rPr>
                        <w:color w:val="282828"/>
                        <w:sz w:val="20"/>
                      </w:rPr>
                      <w:t>Local </w:t>
                    </w:r>
                    <w:r>
                      <w:rPr>
                        <w:color w:val="1F1F1F"/>
                        <w:sz w:val="20"/>
                      </w:rPr>
                      <w:t>Growth </w:t>
                    </w:r>
                    <w:r>
                      <w:rPr>
                        <w:color w:val="282828"/>
                        <w:sz w:val="20"/>
                      </w:rPr>
                      <w:t>Deal </w:t>
                    </w:r>
                    <w:r>
                      <w:rPr>
                        <w:color w:val="333333"/>
                        <w:sz w:val="20"/>
                      </w:rPr>
                      <w:t>for</w:t>
                    </w:r>
                    <w:r>
                      <w:rPr>
                        <w:color w:val="333333"/>
                        <w:spacing w:val="-6"/>
                        <w:sz w:val="20"/>
                      </w:rPr>
                      <w:t> </w:t>
                    </w:r>
                    <w:r>
                      <w:rPr>
                        <w:color w:val="262626"/>
                        <w:sz w:val="20"/>
                      </w:rPr>
                      <w:t>Leeds</w:t>
                    </w:r>
                  </w:p>
                  <w:p>
                    <w:pPr>
                      <w:spacing w:before="0"/>
                      <w:ind w:left="3" w:right="750" w:hanging="1"/>
                      <w:jc w:val="left"/>
                      <w:rPr>
                        <w:sz w:val="20"/>
                      </w:rPr>
                    </w:pPr>
                    <w:r>
                      <w:rPr>
                        <w:color w:val="232323"/>
                        <w:sz w:val="20"/>
                      </w:rPr>
                      <w:t>City </w:t>
                    </w:r>
                    <w:r>
                      <w:rPr>
                        <w:color w:val="2D2D2D"/>
                        <w:sz w:val="20"/>
                      </w:rPr>
                      <w:t>Region </w:t>
                    </w:r>
                    <w:r>
                      <w:rPr>
                        <w:color w:val="2F2F2F"/>
                        <w:sz w:val="20"/>
                      </w:rPr>
                      <w:t>to </w:t>
                    </w:r>
                    <w:r>
                      <w:rPr>
                        <w:color w:val="313131"/>
                        <w:sz w:val="20"/>
                      </w:rPr>
                      <w:t>deliver </w:t>
                    </w:r>
                    <w:r>
                      <w:rPr>
                        <w:color w:val="282828"/>
                        <w:sz w:val="20"/>
                      </w:rPr>
                      <w:t>their </w:t>
                    </w:r>
                    <w:r>
                      <w:rPr>
                        <w:color w:val="232323"/>
                        <w:sz w:val="20"/>
                      </w:rPr>
                      <w:t>shared </w:t>
                    </w:r>
                    <w:r>
                      <w:rPr>
                        <w:color w:val="111111"/>
                        <w:sz w:val="20"/>
                      </w:rPr>
                      <w:t>Strategic </w:t>
                    </w:r>
                    <w:r>
                      <w:rPr>
                        <w:color w:val="2D2D2D"/>
                        <w:sz w:val="20"/>
                      </w:rPr>
                      <w:t>Economic Plan.</w:t>
                    </w:r>
                  </w:p>
                </w:txbxContent>
              </v:textbox>
              <w10:wrap type="none"/>
            </v:shape>
            <w10:wrap type="none"/>
          </v:group>
        </w:pict>
      </w:r>
      <w:bookmarkStart w:name="Leeds LFRMS 2018 Update_Page_36" w:id="48"/>
      <w:bookmarkEnd w:id="48"/>
      <w:r>
        <w:rPr/>
      </w:r>
      <w:r>
        <w:rPr>
          <w:color w:val="242424"/>
          <w:w w:val="104"/>
          <w:sz w:val="20"/>
        </w:rPr>
        <w:t>-</w:t>
      </w:r>
    </w:p>
    <w:p>
      <w:pPr>
        <w:pStyle w:val="BodyText"/>
        <w:rPr>
          <w:sz w:val="20"/>
        </w:rPr>
      </w:pPr>
    </w:p>
    <w:p>
      <w:pPr>
        <w:pStyle w:val="BodyText"/>
        <w:rPr>
          <w:sz w:val="20"/>
        </w:rPr>
      </w:pPr>
    </w:p>
    <w:p>
      <w:pPr>
        <w:pStyle w:val="BodyText"/>
        <w:rPr>
          <w:sz w:val="20"/>
        </w:rPr>
      </w:pPr>
    </w:p>
    <w:p>
      <w:pPr>
        <w:spacing w:after="0"/>
        <w:rPr>
          <w:sz w:val="20"/>
        </w:rPr>
        <w:sectPr>
          <w:pgSz w:w="11920" w:h="16850"/>
          <w:pgMar w:header="0" w:footer="1246" w:top="580" w:bottom="1440" w:left="440" w:right="560"/>
        </w:sectPr>
      </w:pPr>
    </w:p>
    <w:p>
      <w:pPr>
        <w:pStyle w:val="BodyText"/>
        <w:rPr>
          <w:sz w:val="21"/>
        </w:rPr>
      </w:pPr>
    </w:p>
    <w:p>
      <w:pPr>
        <w:spacing w:line="241" w:lineRule="exact" w:before="1"/>
        <w:ind w:left="1099" w:right="0" w:firstLine="0"/>
        <w:jc w:val="left"/>
        <w:rPr>
          <w:sz w:val="21"/>
        </w:rPr>
      </w:pPr>
      <w:r>
        <w:rPr>
          <w:color w:val="2D2D2D"/>
          <w:sz w:val="21"/>
        </w:rPr>
        <w:t>LEP </w:t>
      </w:r>
      <w:r>
        <w:rPr>
          <w:color w:val="1D1D1D"/>
          <w:sz w:val="21"/>
        </w:rPr>
        <w:t>Growing</w:t>
      </w:r>
    </w:p>
    <w:p>
      <w:pPr>
        <w:spacing w:line="229" w:lineRule="exact" w:before="0"/>
        <w:ind w:left="1099" w:right="0" w:firstLine="0"/>
        <w:jc w:val="left"/>
        <w:rPr>
          <w:sz w:val="20"/>
        </w:rPr>
      </w:pPr>
      <w:r>
        <w:rPr>
          <w:color w:val="262626"/>
          <w:sz w:val="20"/>
        </w:rPr>
        <w:t>Places </w:t>
      </w:r>
      <w:r>
        <w:rPr>
          <w:color w:val="1C1C1C"/>
          <w:sz w:val="20"/>
        </w:rPr>
        <w:t>Fund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27"/>
        <w:ind w:left="1096" w:right="0" w:firstLine="3"/>
        <w:jc w:val="left"/>
        <w:rPr>
          <w:sz w:val="20"/>
        </w:rPr>
      </w:pPr>
      <w:r>
        <w:rPr>
          <w:color w:val="1A1A1A"/>
          <w:sz w:val="20"/>
        </w:rPr>
        <w:t>European </w:t>
      </w:r>
      <w:r>
        <w:rPr>
          <w:color w:val="181818"/>
          <w:sz w:val="20"/>
        </w:rPr>
        <w:t>Structural </w:t>
      </w:r>
      <w:r>
        <w:rPr>
          <w:color w:val="1A1A1A"/>
          <w:sz w:val="20"/>
        </w:rPr>
        <w:t>and </w:t>
      </w:r>
      <w:r>
        <w:rPr>
          <w:color w:val="131313"/>
          <w:sz w:val="20"/>
        </w:rPr>
        <w:t>Investment </w:t>
      </w:r>
      <w:r>
        <w:rPr>
          <w:color w:val="1A1A1A"/>
          <w:sz w:val="20"/>
        </w:rPr>
        <w:t>Funds </w:t>
      </w:r>
      <w:r>
        <w:rPr>
          <w:color w:val="262626"/>
          <w:sz w:val="20"/>
        </w:rPr>
        <w:t>(ESIF)</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4"/>
        </w:rPr>
      </w:pPr>
    </w:p>
    <w:p>
      <w:pPr>
        <w:spacing w:line="225" w:lineRule="exact" w:before="0"/>
        <w:ind w:left="1089" w:right="0" w:firstLine="0"/>
        <w:jc w:val="left"/>
        <w:rPr>
          <w:sz w:val="20"/>
        </w:rPr>
      </w:pPr>
      <w:r>
        <w:rPr>
          <w:color w:val="1C1C1C"/>
          <w:sz w:val="20"/>
        </w:rPr>
        <w:t>Heritage</w:t>
      </w:r>
      <w:r>
        <w:rPr>
          <w:color w:val="1C1C1C"/>
          <w:spacing w:val="-15"/>
          <w:sz w:val="20"/>
        </w:rPr>
        <w:t> </w:t>
      </w:r>
      <w:r>
        <w:rPr>
          <w:color w:val="111111"/>
          <w:sz w:val="20"/>
        </w:rPr>
        <w:t>Lottery</w:t>
      </w:r>
    </w:p>
    <w:p>
      <w:pPr>
        <w:spacing w:line="237" w:lineRule="exact" w:before="0"/>
        <w:ind w:left="1097" w:right="0" w:firstLine="0"/>
        <w:jc w:val="left"/>
        <w:rPr>
          <w:sz w:val="21"/>
        </w:rPr>
      </w:pPr>
      <w:r>
        <w:rPr>
          <w:color w:val="2D2D2D"/>
          <w:sz w:val="21"/>
        </w:rPr>
        <w:t>Fund </w:t>
      </w:r>
      <w:r>
        <w:rPr>
          <w:color w:val="262626"/>
          <w:sz w:val="21"/>
        </w:rPr>
        <w:t>(HLF)</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31"/>
        </w:rPr>
      </w:pPr>
    </w:p>
    <w:p>
      <w:pPr>
        <w:spacing w:before="1"/>
        <w:ind w:left="1070" w:right="1005" w:firstLine="0"/>
        <w:jc w:val="center"/>
        <w:rPr>
          <w:sz w:val="20"/>
        </w:rPr>
      </w:pPr>
      <w:r>
        <w:rPr>
          <w:color w:val="242424"/>
          <w:sz w:val="20"/>
        </w:rPr>
        <w:t>HS2</w:t>
      </w:r>
    </w:p>
    <w:p>
      <w:pPr>
        <w:pStyle w:val="BodyText"/>
        <w:spacing w:before="10"/>
        <w:rPr>
          <w:sz w:val="21"/>
        </w:rPr>
      </w:pPr>
      <w:r>
        <w:rPr/>
        <w:br w:type="column"/>
      </w:r>
      <w:r>
        <w:rPr>
          <w:sz w:val="21"/>
        </w:rPr>
      </w:r>
    </w:p>
    <w:p>
      <w:pPr>
        <w:tabs>
          <w:tab w:pos="3623" w:val="left" w:leader="none"/>
        </w:tabs>
        <w:spacing w:before="0"/>
        <w:ind w:left="237" w:right="40" w:hanging="1"/>
        <w:jc w:val="left"/>
        <w:rPr>
          <w:sz w:val="20"/>
        </w:rPr>
      </w:pPr>
      <w:r>
        <w:rPr>
          <w:color w:val="181818"/>
          <w:sz w:val="20"/>
        </w:rPr>
        <w:t>£35.5m </w:t>
      </w:r>
      <w:r>
        <w:rPr>
          <w:color w:val="1F1F1F"/>
          <w:sz w:val="20"/>
        </w:rPr>
        <w:t>was </w:t>
      </w:r>
      <w:r>
        <w:rPr>
          <w:color w:val="1C1C1C"/>
          <w:sz w:val="20"/>
        </w:rPr>
        <w:t>provided </w:t>
      </w:r>
      <w:r>
        <w:rPr>
          <w:color w:val="232323"/>
          <w:sz w:val="20"/>
        </w:rPr>
        <w:t>to </w:t>
      </w:r>
      <w:r>
        <w:rPr>
          <w:color w:val="2A2A2A"/>
          <w:sz w:val="20"/>
        </w:rPr>
        <w:t>the</w:t>
      </w:r>
      <w:r>
        <w:rPr>
          <w:color w:val="2A2A2A"/>
          <w:spacing w:val="-5"/>
          <w:sz w:val="20"/>
        </w:rPr>
        <w:t> </w:t>
      </w:r>
      <w:r>
        <w:rPr>
          <w:color w:val="2F2F2F"/>
          <w:sz w:val="20"/>
        </w:rPr>
        <w:t>LEP</w:t>
      </w:r>
      <w:r>
        <w:rPr>
          <w:color w:val="2F2F2F"/>
          <w:spacing w:val="-12"/>
          <w:sz w:val="20"/>
        </w:rPr>
        <w:t> </w:t>
      </w:r>
      <w:r>
        <w:rPr>
          <w:color w:val="313131"/>
          <w:sz w:val="20"/>
        </w:rPr>
        <w:t>by</w:t>
        <w:tab/>
      </w:r>
      <w:r>
        <w:rPr>
          <w:color w:val="363636"/>
          <w:w w:val="95"/>
          <w:sz w:val="20"/>
        </w:rPr>
        <w:t>LEP </w:t>
      </w:r>
      <w:r>
        <w:rPr>
          <w:color w:val="161616"/>
          <w:sz w:val="20"/>
        </w:rPr>
        <w:t>Government </w:t>
      </w:r>
      <w:r>
        <w:rPr>
          <w:color w:val="282828"/>
          <w:sz w:val="20"/>
        </w:rPr>
        <w:t>in </w:t>
      </w:r>
      <w:r>
        <w:rPr>
          <w:color w:val="333333"/>
          <w:sz w:val="20"/>
        </w:rPr>
        <w:t>2012. </w:t>
      </w:r>
      <w:r>
        <w:rPr>
          <w:color w:val="181818"/>
          <w:sz w:val="20"/>
        </w:rPr>
        <w:t>Provides </w:t>
      </w:r>
      <w:r>
        <w:rPr>
          <w:color w:val="212121"/>
          <w:sz w:val="20"/>
        </w:rPr>
        <w:t>loan funding </w:t>
      </w:r>
      <w:r>
        <w:rPr>
          <w:color w:val="282828"/>
          <w:sz w:val="20"/>
        </w:rPr>
        <w:t>to </w:t>
      </w:r>
      <w:r>
        <w:rPr>
          <w:color w:val="1F1F1F"/>
          <w:sz w:val="20"/>
        </w:rPr>
        <w:t>kick-start</w:t>
      </w:r>
      <w:r>
        <w:rPr>
          <w:color w:val="1F1F1F"/>
          <w:spacing w:val="24"/>
          <w:sz w:val="20"/>
        </w:rPr>
        <w:t> </w:t>
      </w:r>
      <w:r>
        <w:rPr>
          <w:color w:val="242424"/>
          <w:sz w:val="20"/>
        </w:rPr>
        <w:t>stalled</w:t>
      </w:r>
    </w:p>
    <w:p>
      <w:pPr>
        <w:spacing w:line="237" w:lineRule="auto" w:before="3"/>
        <w:ind w:left="235" w:right="655" w:firstLine="6"/>
        <w:jc w:val="left"/>
        <w:rPr>
          <w:sz w:val="20"/>
        </w:rPr>
      </w:pPr>
      <w:r>
        <w:rPr>
          <w:color w:val="1C1C1C"/>
          <w:sz w:val="20"/>
        </w:rPr>
        <w:t>development </w:t>
      </w:r>
      <w:r>
        <w:rPr>
          <w:color w:val="2F2F2F"/>
          <w:sz w:val="20"/>
        </w:rPr>
        <w:t>or </w:t>
      </w:r>
      <w:r>
        <w:rPr>
          <w:color w:val="282828"/>
          <w:sz w:val="20"/>
        </w:rPr>
        <w:t>infrastructure </w:t>
      </w:r>
      <w:r>
        <w:rPr>
          <w:color w:val="181818"/>
          <w:sz w:val="20"/>
        </w:rPr>
        <w:t>projects that </w:t>
      </w:r>
      <w:r>
        <w:rPr>
          <w:color w:val="2F2F2F"/>
          <w:sz w:val="20"/>
        </w:rPr>
        <w:t>will </w:t>
      </w:r>
      <w:r>
        <w:rPr>
          <w:color w:val="262626"/>
          <w:sz w:val="20"/>
        </w:rPr>
        <w:t>create </w:t>
      </w:r>
      <w:r>
        <w:rPr>
          <w:color w:val="282828"/>
          <w:sz w:val="20"/>
        </w:rPr>
        <w:t>homes,</w:t>
      </w:r>
      <w:r>
        <w:rPr>
          <w:color w:val="181818"/>
          <w:sz w:val="20"/>
        </w:rPr>
        <w:t> jobs </w:t>
      </w:r>
      <w:r>
        <w:rPr>
          <w:color w:val="2F2F2F"/>
          <w:sz w:val="20"/>
        </w:rPr>
        <w:t>and </w:t>
      </w:r>
      <w:r>
        <w:rPr>
          <w:color w:val="1C1C1C"/>
          <w:sz w:val="20"/>
        </w:rPr>
        <w:t>other </w:t>
      </w:r>
      <w:r>
        <w:rPr>
          <w:color w:val="262626"/>
          <w:sz w:val="20"/>
        </w:rPr>
        <w:t>economic </w:t>
      </w:r>
      <w:r>
        <w:rPr>
          <w:color w:val="212121"/>
          <w:sz w:val="20"/>
        </w:rPr>
        <w:t>benefits</w:t>
      </w:r>
      <w:r>
        <w:rPr>
          <w:color w:val="212121"/>
          <w:spacing w:val="-30"/>
          <w:sz w:val="20"/>
        </w:rPr>
        <w:t> </w:t>
      </w:r>
      <w:r>
        <w:rPr>
          <w:color w:val="383838"/>
          <w:sz w:val="20"/>
        </w:rPr>
        <w:t>in </w:t>
      </w:r>
      <w:r>
        <w:rPr>
          <w:color w:val="232323"/>
          <w:sz w:val="20"/>
        </w:rPr>
        <w:t>Leeds </w:t>
      </w:r>
      <w:r>
        <w:rPr>
          <w:color w:val="2B2B2B"/>
          <w:sz w:val="20"/>
        </w:rPr>
        <w:t>City</w:t>
      </w:r>
      <w:r>
        <w:rPr>
          <w:color w:val="2B2B2B"/>
          <w:spacing w:val="19"/>
          <w:sz w:val="20"/>
        </w:rPr>
        <w:t> </w:t>
      </w:r>
      <w:r>
        <w:rPr>
          <w:color w:val="262626"/>
          <w:sz w:val="20"/>
        </w:rPr>
        <w:t>Region.</w:t>
      </w:r>
    </w:p>
    <w:p>
      <w:pPr>
        <w:pStyle w:val="BodyText"/>
        <w:spacing w:before="7"/>
        <w:rPr>
          <w:sz w:val="21"/>
        </w:rPr>
      </w:pPr>
    </w:p>
    <w:p>
      <w:pPr>
        <w:tabs>
          <w:tab w:pos="3623" w:val="left" w:leader="none"/>
        </w:tabs>
        <w:spacing w:before="0"/>
        <w:ind w:left="236" w:right="40" w:hanging="2"/>
        <w:jc w:val="left"/>
        <w:rPr>
          <w:sz w:val="20"/>
        </w:rPr>
      </w:pPr>
      <w:r>
        <w:rPr>
          <w:color w:val="282828"/>
          <w:sz w:val="20"/>
        </w:rPr>
        <w:t>The </w:t>
      </w:r>
      <w:r>
        <w:rPr>
          <w:color w:val="1F1F1F"/>
          <w:sz w:val="20"/>
        </w:rPr>
        <w:t>ESIF </w:t>
      </w:r>
      <w:r>
        <w:rPr>
          <w:color w:val="212121"/>
          <w:sz w:val="20"/>
        </w:rPr>
        <w:t>programme</w:t>
      </w:r>
      <w:r>
        <w:rPr>
          <w:color w:val="212121"/>
          <w:spacing w:val="-6"/>
          <w:sz w:val="20"/>
        </w:rPr>
        <w:t> </w:t>
      </w:r>
      <w:r>
        <w:rPr>
          <w:color w:val="282828"/>
          <w:sz w:val="20"/>
        </w:rPr>
        <w:t>is</w:t>
      </w:r>
      <w:r>
        <w:rPr>
          <w:color w:val="282828"/>
          <w:spacing w:val="-14"/>
          <w:sz w:val="20"/>
        </w:rPr>
        <w:t> </w:t>
      </w:r>
      <w:r>
        <w:rPr>
          <w:sz w:val="20"/>
        </w:rPr>
        <w:t>funded</w:t>
        <w:tab/>
      </w:r>
      <w:r>
        <w:rPr>
          <w:color w:val="262626"/>
          <w:w w:val="95"/>
          <w:sz w:val="20"/>
        </w:rPr>
        <w:t>LEP </w:t>
      </w:r>
      <w:r>
        <w:rPr>
          <w:color w:val="282828"/>
          <w:sz w:val="20"/>
        </w:rPr>
        <w:t>through </w:t>
      </w:r>
      <w:r>
        <w:rPr>
          <w:color w:val="1F1F1F"/>
          <w:sz w:val="20"/>
        </w:rPr>
        <w:t>European</w:t>
      </w:r>
      <w:r>
        <w:rPr>
          <w:color w:val="1F1F1F"/>
          <w:spacing w:val="-21"/>
          <w:sz w:val="20"/>
        </w:rPr>
        <w:t> </w:t>
      </w:r>
      <w:r>
        <w:rPr>
          <w:color w:val="212121"/>
          <w:sz w:val="20"/>
        </w:rPr>
        <w:t>Regional</w:t>
      </w:r>
    </w:p>
    <w:p>
      <w:pPr>
        <w:spacing w:before="1"/>
        <w:ind w:left="242" w:right="655" w:firstLine="0"/>
        <w:jc w:val="left"/>
        <w:rPr>
          <w:sz w:val="20"/>
        </w:rPr>
      </w:pPr>
      <w:r>
        <w:rPr>
          <w:color w:val="131313"/>
          <w:sz w:val="20"/>
        </w:rPr>
        <w:t>Development </w:t>
      </w:r>
      <w:r>
        <w:rPr>
          <w:color w:val="2D2D2D"/>
          <w:sz w:val="20"/>
        </w:rPr>
        <w:t>Fund </w:t>
      </w:r>
      <w:r>
        <w:rPr>
          <w:color w:val="212121"/>
          <w:sz w:val="20"/>
        </w:rPr>
        <w:t>(ERDF), </w:t>
      </w:r>
      <w:r>
        <w:rPr>
          <w:color w:val="1A1A1A"/>
          <w:sz w:val="20"/>
        </w:rPr>
        <w:t>European </w:t>
      </w:r>
      <w:r>
        <w:rPr>
          <w:color w:val="1F1F1F"/>
          <w:sz w:val="20"/>
        </w:rPr>
        <w:t>Social </w:t>
      </w:r>
      <w:r>
        <w:rPr>
          <w:color w:val="262626"/>
          <w:sz w:val="20"/>
        </w:rPr>
        <w:t>Fund </w:t>
      </w:r>
      <w:r>
        <w:rPr>
          <w:color w:val="282828"/>
          <w:sz w:val="20"/>
        </w:rPr>
        <w:t>(ESF) </w:t>
      </w:r>
      <w:r>
        <w:rPr>
          <w:sz w:val="20"/>
        </w:rPr>
        <w:t>and </w:t>
      </w:r>
      <w:r>
        <w:rPr>
          <w:color w:val="1A1A1A"/>
          <w:sz w:val="20"/>
        </w:rPr>
        <w:t>European </w:t>
      </w:r>
      <w:r>
        <w:rPr>
          <w:color w:val="1C1C1C"/>
          <w:sz w:val="20"/>
        </w:rPr>
        <w:t>Agricultural </w:t>
      </w:r>
      <w:r>
        <w:rPr>
          <w:color w:val="2D2D2D"/>
          <w:sz w:val="20"/>
        </w:rPr>
        <w:t>Fund </w:t>
      </w:r>
      <w:r>
        <w:rPr>
          <w:color w:val="212121"/>
          <w:sz w:val="20"/>
        </w:rPr>
        <w:t>for </w:t>
      </w:r>
      <w:r>
        <w:rPr>
          <w:color w:val="2A2A2A"/>
          <w:sz w:val="20"/>
        </w:rPr>
        <w:t>Rural </w:t>
      </w:r>
      <w:r>
        <w:rPr>
          <w:color w:val="262626"/>
          <w:sz w:val="20"/>
        </w:rPr>
        <w:t>Development </w:t>
      </w:r>
      <w:r>
        <w:rPr>
          <w:color w:val="161616"/>
          <w:sz w:val="20"/>
        </w:rPr>
        <w:t>(EAFRD).</w:t>
      </w:r>
    </w:p>
    <w:p>
      <w:pPr>
        <w:spacing w:before="117"/>
        <w:ind w:left="241" w:right="655" w:hanging="7"/>
        <w:jc w:val="left"/>
        <w:rPr>
          <w:sz w:val="20"/>
        </w:rPr>
      </w:pPr>
      <w:r>
        <w:rPr>
          <w:color w:val="232323"/>
          <w:sz w:val="20"/>
        </w:rPr>
        <w:t>Match </w:t>
      </w:r>
      <w:r>
        <w:rPr>
          <w:color w:val="131313"/>
          <w:sz w:val="20"/>
        </w:rPr>
        <w:t>funding </w:t>
      </w:r>
      <w:r>
        <w:rPr>
          <w:color w:val="1F1F1F"/>
          <w:sz w:val="20"/>
        </w:rPr>
        <w:t>of </w:t>
      </w:r>
      <w:r>
        <w:rPr>
          <w:color w:val="1C1C1C"/>
          <w:sz w:val="20"/>
        </w:rPr>
        <w:t>50% </w:t>
      </w:r>
      <w:r>
        <w:rPr>
          <w:color w:val="282828"/>
          <w:sz w:val="20"/>
        </w:rPr>
        <w:t>of </w:t>
      </w:r>
      <w:r>
        <w:rPr>
          <w:color w:val="1F1F1F"/>
          <w:sz w:val="20"/>
        </w:rPr>
        <w:t>project </w:t>
      </w:r>
      <w:r>
        <w:rPr>
          <w:color w:val="2D2D2D"/>
          <w:sz w:val="20"/>
        </w:rPr>
        <w:t>costs </w:t>
      </w:r>
      <w:r>
        <w:rPr>
          <w:color w:val="1F1F1F"/>
          <w:sz w:val="20"/>
        </w:rPr>
        <w:t>is </w:t>
      </w:r>
      <w:r>
        <w:rPr>
          <w:color w:val="282828"/>
          <w:sz w:val="20"/>
        </w:rPr>
        <w:t>required.</w:t>
      </w:r>
    </w:p>
    <w:p>
      <w:pPr>
        <w:spacing w:line="237" w:lineRule="auto" w:before="127"/>
        <w:ind w:left="235" w:right="592" w:firstLine="4"/>
        <w:jc w:val="left"/>
        <w:rPr>
          <w:sz w:val="20"/>
        </w:rPr>
      </w:pPr>
      <w:r>
        <w:rPr>
          <w:color w:val="1F1F1F"/>
          <w:sz w:val="20"/>
        </w:rPr>
        <w:t>Activity </w:t>
      </w:r>
      <w:r>
        <w:rPr>
          <w:color w:val="282828"/>
          <w:sz w:val="20"/>
        </w:rPr>
        <w:t>is </w:t>
      </w:r>
      <w:r>
        <w:rPr>
          <w:color w:val="1A1A1A"/>
          <w:sz w:val="20"/>
        </w:rPr>
        <w:t>delivered </w:t>
      </w:r>
      <w:r>
        <w:rPr>
          <w:color w:val="181818"/>
          <w:sz w:val="20"/>
        </w:rPr>
        <w:t>locally </w:t>
      </w:r>
      <w:r>
        <w:rPr>
          <w:color w:val="1C1C1C"/>
          <w:sz w:val="20"/>
        </w:rPr>
        <w:t>through </w:t>
      </w:r>
      <w:r>
        <w:rPr>
          <w:color w:val="181818"/>
          <w:sz w:val="20"/>
        </w:rPr>
        <w:t>the </w:t>
      </w:r>
      <w:r>
        <w:rPr>
          <w:color w:val="1D1D1D"/>
          <w:sz w:val="20"/>
        </w:rPr>
        <w:t>Leeds </w:t>
      </w:r>
      <w:r>
        <w:rPr>
          <w:color w:val="2A2A2A"/>
          <w:sz w:val="20"/>
        </w:rPr>
        <w:t>City </w:t>
      </w:r>
      <w:r>
        <w:rPr>
          <w:color w:val="262626"/>
          <w:sz w:val="20"/>
        </w:rPr>
        <w:t>Region </w:t>
      </w:r>
      <w:r>
        <w:rPr>
          <w:color w:val="232323"/>
          <w:sz w:val="20"/>
        </w:rPr>
        <w:t>Local </w:t>
      </w:r>
      <w:r>
        <w:rPr>
          <w:color w:val="242424"/>
          <w:sz w:val="20"/>
        </w:rPr>
        <w:t>Enterprise </w:t>
      </w:r>
      <w:r>
        <w:rPr>
          <w:color w:val="212121"/>
          <w:sz w:val="20"/>
        </w:rPr>
        <w:t>Partnership (LEP). </w:t>
      </w:r>
      <w:r>
        <w:rPr>
          <w:color w:val="232323"/>
          <w:sz w:val="20"/>
        </w:rPr>
        <w:t>£308 </w:t>
      </w:r>
      <w:r>
        <w:rPr>
          <w:color w:val="282828"/>
          <w:w w:val="95"/>
          <w:sz w:val="21"/>
        </w:rPr>
        <w:t>million </w:t>
      </w:r>
      <w:r>
        <w:rPr>
          <w:color w:val="232323"/>
          <w:w w:val="95"/>
          <w:sz w:val="21"/>
        </w:rPr>
        <w:t>programm </w:t>
      </w:r>
      <w:r>
        <w:rPr>
          <w:color w:val="1A1A1A"/>
          <w:w w:val="95"/>
          <w:sz w:val="21"/>
        </w:rPr>
        <w:t>e </w:t>
      </w:r>
      <w:r>
        <w:rPr>
          <w:color w:val="131313"/>
          <w:w w:val="95"/>
          <w:sz w:val="21"/>
        </w:rPr>
        <w:t>launched </w:t>
      </w:r>
      <w:r>
        <w:rPr>
          <w:color w:val="181818"/>
          <w:w w:val="95"/>
          <w:sz w:val="21"/>
        </w:rPr>
        <w:t>by the </w:t>
      </w:r>
      <w:r>
        <w:rPr>
          <w:color w:val="343434"/>
          <w:sz w:val="20"/>
        </w:rPr>
        <w:t>LEP </w:t>
      </w:r>
      <w:r>
        <w:rPr>
          <w:color w:val="2F2F2F"/>
          <w:sz w:val="20"/>
        </w:rPr>
        <w:t>in </w:t>
      </w:r>
      <w:r>
        <w:rPr>
          <w:color w:val="262626"/>
          <w:sz w:val="20"/>
        </w:rPr>
        <w:t>2014.</w:t>
      </w:r>
    </w:p>
    <w:p>
      <w:pPr>
        <w:pStyle w:val="BodyText"/>
        <w:spacing w:before="1"/>
        <w:rPr>
          <w:sz w:val="20"/>
        </w:rPr>
      </w:pPr>
    </w:p>
    <w:p>
      <w:pPr>
        <w:tabs>
          <w:tab w:pos="3611" w:val="left" w:leader="none"/>
        </w:tabs>
        <w:spacing w:line="241" w:lineRule="exact" w:before="0"/>
        <w:ind w:left="237" w:right="0" w:firstLine="0"/>
        <w:jc w:val="left"/>
        <w:rPr>
          <w:sz w:val="21"/>
        </w:rPr>
      </w:pPr>
      <w:r>
        <w:rPr>
          <w:color w:val="212121"/>
          <w:sz w:val="21"/>
        </w:rPr>
        <w:t>£19.7m</w:t>
      </w:r>
      <w:r>
        <w:rPr>
          <w:color w:val="212121"/>
          <w:spacing w:val="-28"/>
          <w:sz w:val="21"/>
        </w:rPr>
        <w:t> </w:t>
      </w:r>
      <w:r>
        <w:rPr>
          <w:color w:val="313131"/>
          <w:sz w:val="21"/>
        </w:rPr>
        <w:t>of</w:t>
      </w:r>
      <w:r>
        <w:rPr>
          <w:color w:val="313131"/>
          <w:spacing w:val="-37"/>
          <w:sz w:val="21"/>
        </w:rPr>
        <w:t> </w:t>
      </w:r>
      <w:r>
        <w:rPr>
          <w:color w:val="262626"/>
          <w:sz w:val="21"/>
        </w:rPr>
        <w:t>National</w:t>
      </w:r>
      <w:r>
        <w:rPr>
          <w:color w:val="262626"/>
          <w:spacing w:val="-26"/>
          <w:sz w:val="21"/>
        </w:rPr>
        <w:t> </w:t>
      </w:r>
      <w:r>
        <w:rPr>
          <w:color w:val="181818"/>
          <w:sz w:val="21"/>
        </w:rPr>
        <w:t>Lottery</w:t>
      </w:r>
      <w:r>
        <w:rPr>
          <w:color w:val="181818"/>
          <w:spacing w:val="-32"/>
          <w:sz w:val="21"/>
        </w:rPr>
        <w:t> </w:t>
      </w:r>
      <w:r>
        <w:rPr>
          <w:color w:val="242424"/>
          <w:sz w:val="21"/>
        </w:rPr>
        <w:t>funding</w:t>
        <w:tab/>
      </w:r>
      <w:r>
        <w:rPr>
          <w:color w:val="2A2A2A"/>
          <w:sz w:val="21"/>
        </w:rPr>
        <w:t>HLF</w:t>
      </w:r>
    </w:p>
    <w:p>
      <w:pPr>
        <w:spacing w:line="237" w:lineRule="auto" w:before="1"/>
        <w:ind w:left="235" w:right="592" w:firstLine="7"/>
        <w:jc w:val="left"/>
        <w:rPr>
          <w:sz w:val="20"/>
        </w:rPr>
      </w:pPr>
      <w:r>
        <w:rPr>
          <w:color w:val="262626"/>
          <w:sz w:val="20"/>
        </w:rPr>
        <w:t>since </w:t>
      </w:r>
      <w:r>
        <w:rPr>
          <w:color w:val="232323"/>
          <w:sz w:val="20"/>
        </w:rPr>
        <w:t>2017 </w:t>
      </w:r>
      <w:r>
        <w:rPr>
          <w:color w:val="2A2A2A"/>
          <w:sz w:val="20"/>
        </w:rPr>
        <w:t>to </w:t>
      </w:r>
      <w:r>
        <w:rPr>
          <w:color w:val="232323"/>
          <w:sz w:val="20"/>
        </w:rPr>
        <w:t>improve </w:t>
      </w:r>
      <w:r>
        <w:rPr>
          <w:color w:val="242424"/>
          <w:w w:val="95"/>
          <w:sz w:val="21"/>
        </w:rPr>
        <w:t>understanding </w:t>
      </w:r>
      <w:r>
        <w:rPr>
          <w:color w:val="2A2A2A"/>
          <w:w w:val="95"/>
          <w:sz w:val="21"/>
        </w:rPr>
        <w:t>and </w:t>
      </w:r>
      <w:r>
        <w:rPr>
          <w:color w:val="363636"/>
          <w:w w:val="95"/>
          <w:sz w:val="21"/>
        </w:rPr>
        <w:t>m </w:t>
      </w:r>
      <w:r>
        <w:rPr>
          <w:color w:val="181818"/>
          <w:w w:val="95"/>
          <w:sz w:val="21"/>
        </w:rPr>
        <w:t>anagement </w:t>
      </w:r>
      <w:r>
        <w:rPr>
          <w:color w:val="343434"/>
          <w:w w:val="95"/>
          <w:sz w:val="21"/>
        </w:rPr>
        <w:t>of </w:t>
      </w:r>
      <w:r>
        <w:rPr>
          <w:color w:val="2B2B2B"/>
          <w:sz w:val="20"/>
        </w:rPr>
        <w:t>water </w:t>
      </w:r>
      <w:r>
        <w:rPr>
          <w:color w:val="262626"/>
          <w:sz w:val="20"/>
        </w:rPr>
        <w:t>landscapes. </w:t>
      </w:r>
      <w:r>
        <w:rPr>
          <w:color w:val="2F2F2F"/>
          <w:sz w:val="20"/>
        </w:rPr>
        <w:t>£2-3 </w:t>
      </w:r>
      <w:r>
        <w:rPr>
          <w:color w:val="2D2D2D"/>
          <w:sz w:val="20"/>
        </w:rPr>
        <w:t>million per </w:t>
      </w:r>
      <w:r>
        <w:rPr>
          <w:color w:val="262626"/>
          <w:sz w:val="20"/>
        </w:rPr>
        <w:t>schem </w:t>
      </w:r>
      <w:r>
        <w:rPr>
          <w:color w:val="282828"/>
          <w:sz w:val="20"/>
        </w:rPr>
        <w:t>e.</w:t>
      </w:r>
    </w:p>
    <w:p>
      <w:pPr>
        <w:spacing w:line="235" w:lineRule="auto" w:before="117"/>
        <w:ind w:left="235" w:right="754" w:firstLine="8"/>
        <w:jc w:val="left"/>
        <w:rPr>
          <w:sz w:val="21"/>
        </w:rPr>
      </w:pPr>
      <w:r>
        <w:rPr>
          <w:color w:val="262626"/>
          <w:sz w:val="20"/>
        </w:rPr>
        <w:t>Landscape </w:t>
      </w:r>
      <w:r>
        <w:rPr>
          <w:color w:val="232323"/>
          <w:sz w:val="20"/>
        </w:rPr>
        <w:t>Partnership </w:t>
      </w:r>
      <w:r>
        <w:rPr>
          <w:color w:val="2B2B2B"/>
          <w:sz w:val="20"/>
        </w:rPr>
        <w:t>schem </w:t>
      </w:r>
      <w:r>
        <w:rPr>
          <w:color w:val="232323"/>
          <w:sz w:val="20"/>
        </w:rPr>
        <w:t>es </w:t>
      </w:r>
      <w:r>
        <w:rPr>
          <w:color w:val="2A2A2A"/>
          <w:sz w:val="20"/>
        </w:rPr>
        <w:t>work </w:t>
      </w:r>
      <w:r>
        <w:rPr>
          <w:color w:val="262626"/>
          <w:sz w:val="20"/>
        </w:rPr>
        <w:t>with </w:t>
      </w:r>
      <w:r>
        <w:rPr>
          <w:color w:val="232323"/>
          <w:sz w:val="20"/>
        </w:rPr>
        <w:t>local, regional </w:t>
      </w:r>
      <w:r>
        <w:rPr>
          <w:color w:val="2A2A2A"/>
          <w:sz w:val="20"/>
        </w:rPr>
        <w:t>and </w:t>
      </w:r>
      <w:r>
        <w:rPr>
          <w:color w:val="282828"/>
          <w:sz w:val="20"/>
        </w:rPr>
        <w:t>national </w:t>
      </w:r>
      <w:r>
        <w:rPr>
          <w:color w:val="2F2F2F"/>
          <w:sz w:val="20"/>
        </w:rPr>
        <w:t>partners </w:t>
      </w:r>
      <w:r>
        <w:rPr>
          <w:color w:val="2A2A2A"/>
          <w:sz w:val="20"/>
        </w:rPr>
        <w:t>to prom ote </w:t>
      </w:r>
      <w:r>
        <w:rPr>
          <w:color w:val="383838"/>
          <w:sz w:val="20"/>
        </w:rPr>
        <w:t>a </w:t>
      </w:r>
      <w:r>
        <w:rPr>
          <w:color w:val="1A1A1A"/>
          <w:sz w:val="20"/>
        </w:rPr>
        <w:t>catchment </w:t>
      </w:r>
      <w:r>
        <w:rPr>
          <w:color w:val="2A2A2A"/>
          <w:sz w:val="20"/>
        </w:rPr>
        <w:t>approach </w:t>
      </w:r>
      <w:r>
        <w:rPr>
          <w:color w:val="1F1F1F"/>
          <w:sz w:val="20"/>
        </w:rPr>
        <w:t>to </w:t>
      </w:r>
      <w:r>
        <w:rPr>
          <w:color w:val="2D2D2D"/>
          <w:sz w:val="20"/>
        </w:rPr>
        <w:t>water </w:t>
      </w:r>
      <w:r>
        <w:rPr>
          <w:color w:val="232323"/>
          <w:w w:val="95"/>
          <w:sz w:val="21"/>
        </w:rPr>
        <w:t>management </w:t>
      </w:r>
      <w:r>
        <w:rPr>
          <w:color w:val="2F2F2F"/>
          <w:w w:val="95"/>
          <w:sz w:val="21"/>
        </w:rPr>
        <w:t>by </w:t>
      </w:r>
      <w:r>
        <w:rPr>
          <w:color w:val="232323"/>
          <w:w w:val="95"/>
          <w:sz w:val="21"/>
        </w:rPr>
        <w:t>engaging </w:t>
      </w:r>
      <w:r>
        <w:rPr>
          <w:color w:val="2F2F2F"/>
          <w:w w:val="95"/>
          <w:sz w:val="21"/>
        </w:rPr>
        <w:t>people, </w:t>
      </w:r>
      <w:r>
        <w:rPr>
          <w:color w:val="262626"/>
          <w:sz w:val="21"/>
        </w:rPr>
        <w:t>communities </w:t>
      </w:r>
      <w:r>
        <w:rPr>
          <w:color w:val="2A2A2A"/>
          <w:sz w:val="21"/>
        </w:rPr>
        <w:t>and landowners </w:t>
      </w:r>
      <w:r>
        <w:rPr>
          <w:color w:val="1F1F1F"/>
          <w:sz w:val="21"/>
        </w:rPr>
        <w:t>to </w:t>
      </w:r>
      <w:r>
        <w:rPr>
          <w:color w:val="232323"/>
          <w:sz w:val="21"/>
        </w:rPr>
        <w:t>improve</w:t>
      </w:r>
      <w:r>
        <w:rPr>
          <w:color w:val="232323"/>
          <w:spacing w:val="-38"/>
          <w:sz w:val="21"/>
        </w:rPr>
        <w:t> </w:t>
      </w:r>
      <w:r>
        <w:rPr>
          <w:color w:val="1A1A1A"/>
          <w:sz w:val="21"/>
        </w:rPr>
        <w:t>water</w:t>
      </w:r>
      <w:r>
        <w:rPr>
          <w:color w:val="1A1A1A"/>
          <w:spacing w:val="-36"/>
          <w:sz w:val="21"/>
        </w:rPr>
        <w:t> </w:t>
      </w:r>
      <w:r>
        <w:rPr>
          <w:color w:val="262626"/>
          <w:sz w:val="21"/>
        </w:rPr>
        <w:t>management</w:t>
      </w:r>
      <w:r>
        <w:rPr>
          <w:color w:val="262626"/>
          <w:spacing w:val="-33"/>
          <w:sz w:val="21"/>
        </w:rPr>
        <w:t> </w:t>
      </w:r>
      <w:r>
        <w:rPr>
          <w:color w:val="383838"/>
          <w:sz w:val="21"/>
        </w:rPr>
        <w:t>in</w:t>
      </w:r>
      <w:r>
        <w:rPr>
          <w:color w:val="383838"/>
          <w:spacing w:val="-41"/>
          <w:sz w:val="21"/>
        </w:rPr>
        <w:t> </w:t>
      </w:r>
      <w:r>
        <w:rPr>
          <w:color w:val="1C1C1C"/>
          <w:sz w:val="21"/>
        </w:rPr>
        <w:t>the </w:t>
      </w:r>
      <w:r>
        <w:rPr>
          <w:color w:val="2F2F2F"/>
          <w:sz w:val="21"/>
        </w:rPr>
        <w:t>long</w:t>
      </w:r>
      <w:r>
        <w:rPr>
          <w:color w:val="2F2F2F"/>
          <w:spacing w:val="-2"/>
          <w:sz w:val="21"/>
        </w:rPr>
        <w:t> </w:t>
      </w:r>
      <w:r>
        <w:rPr>
          <w:color w:val="262626"/>
          <w:sz w:val="21"/>
        </w:rPr>
        <w:t>term.</w:t>
      </w:r>
    </w:p>
    <w:p>
      <w:pPr>
        <w:pStyle w:val="BodyText"/>
        <w:spacing w:before="1"/>
        <w:rPr>
          <w:sz w:val="20"/>
        </w:rPr>
      </w:pPr>
    </w:p>
    <w:p>
      <w:pPr>
        <w:tabs>
          <w:tab w:pos="3612" w:val="left" w:leader="none"/>
        </w:tabs>
        <w:spacing w:before="0"/>
        <w:ind w:left="237" w:right="352" w:hanging="5"/>
        <w:jc w:val="left"/>
        <w:rPr>
          <w:sz w:val="20"/>
        </w:rPr>
      </w:pPr>
      <w:r>
        <w:rPr>
          <w:color w:val="2F2F2F"/>
          <w:sz w:val="20"/>
        </w:rPr>
        <w:t>Has </w:t>
      </w:r>
      <w:r>
        <w:rPr>
          <w:color w:val="151515"/>
          <w:sz w:val="20"/>
        </w:rPr>
        <w:t>changed </w:t>
      </w:r>
      <w:r>
        <w:rPr>
          <w:color w:val="1F1F1F"/>
          <w:sz w:val="20"/>
        </w:rPr>
        <w:t>the</w:t>
      </w:r>
      <w:r>
        <w:rPr>
          <w:color w:val="1F1F1F"/>
          <w:spacing w:val="-7"/>
          <w:sz w:val="20"/>
        </w:rPr>
        <w:t> </w:t>
      </w:r>
      <w:r>
        <w:rPr>
          <w:color w:val="181818"/>
          <w:sz w:val="20"/>
        </w:rPr>
        <w:t>face</w:t>
      </w:r>
      <w:r>
        <w:rPr>
          <w:color w:val="181818"/>
          <w:spacing w:val="8"/>
          <w:sz w:val="20"/>
        </w:rPr>
        <w:t> </w:t>
      </w:r>
      <w:r>
        <w:rPr>
          <w:color w:val="1F1F1F"/>
          <w:sz w:val="20"/>
        </w:rPr>
        <w:t>of</w:t>
        <w:tab/>
      </w:r>
      <w:r>
        <w:rPr>
          <w:color w:val="343434"/>
          <w:sz w:val="20"/>
        </w:rPr>
        <w:t>- </w:t>
      </w:r>
      <w:r>
        <w:rPr>
          <w:color w:val="161616"/>
          <w:sz w:val="20"/>
        </w:rPr>
        <w:t>development </w:t>
      </w:r>
      <w:r>
        <w:rPr>
          <w:color w:val="363636"/>
          <w:sz w:val="20"/>
        </w:rPr>
        <w:t>in </w:t>
      </w:r>
      <w:r>
        <w:rPr>
          <w:color w:val="282828"/>
          <w:sz w:val="20"/>
        </w:rPr>
        <w:t>the </w:t>
      </w:r>
      <w:r>
        <w:rPr>
          <w:color w:val="1F1F1F"/>
          <w:sz w:val="20"/>
        </w:rPr>
        <w:t>area; </w:t>
      </w:r>
      <w:r>
        <w:rPr>
          <w:color w:val="212121"/>
          <w:sz w:val="20"/>
        </w:rPr>
        <w:t>facilitates </w:t>
      </w:r>
      <w:r>
        <w:rPr>
          <w:color w:val="313131"/>
          <w:sz w:val="20"/>
        </w:rPr>
        <w:t>flood </w:t>
      </w:r>
      <w:r>
        <w:rPr>
          <w:color w:val="1F1F1F"/>
          <w:sz w:val="20"/>
        </w:rPr>
        <w:t>scheme </w:t>
      </w:r>
      <w:r>
        <w:rPr>
          <w:color w:val="242424"/>
          <w:sz w:val="20"/>
        </w:rPr>
        <w:t>development </w:t>
      </w:r>
      <w:r>
        <w:rPr>
          <w:color w:val="1F1F1F"/>
          <w:sz w:val="20"/>
        </w:rPr>
        <w:t>that</w:t>
      </w:r>
      <w:r>
        <w:rPr>
          <w:color w:val="1F1F1F"/>
          <w:spacing w:val="25"/>
          <w:sz w:val="20"/>
        </w:rPr>
        <w:t> </w:t>
      </w:r>
      <w:r>
        <w:rPr>
          <w:color w:val="151515"/>
          <w:sz w:val="20"/>
        </w:rPr>
        <w:t>will</w:t>
      </w:r>
    </w:p>
    <w:p>
      <w:pPr>
        <w:spacing w:before="1"/>
        <w:ind w:left="242" w:right="634" w:hanging="7"/>
        <w:jc w:val="left"/>
        <w:rPr>
          <w:sz w:val="20"/>
        </w:rPr>
      </w:pPr>
      <w:r>
        <w:rPr>
          <w:color w:val="282828"/>
          <w:sz w:val="20"/>
        </w:rPr>
        <w:t>be </w:t>
      </w:r>
      <w:r>
        <w:rPr>
          <w:color w:val="212121"/>
          <w:sz w:val="20"/>
        </w:rPr>
        <w:t>managed </w:t>
      </w:r>
      <w:r>
        <w:rPr>
          <w:color w:val="2D2D2D"/>
          <w:sz w:val="20"/>
        </w:rPr>
        <w:t>by </w:t>
      </w:r>
      <w:r>
        <w:rPr>
          <w:color w:val="181818"/>
          <w:sz w:val="20"/>
        </w:rPr>
        <w:t>the </w:t>
      </w:r>
      <w:r>
        <w:rPr>
          <w:color w:val="2D2D2D"/>
          <w:sz w:val="20"/>
        </w:rPr>
        <w:t>LLFA </w:t>
      </w:r>
      <w:r>
        <w:rPr>
          <w:color w:val="181818"/>
          <w:sz w:val="20"/>
        </w:rPr>
        <w:t>after </w:t>
      </w:r>
      <w:r>
        <w:rPr>
          <w:color w:val="262626"/>
          <w:sz w:val="20"/>
        </w:rPr>
        <w:t>HS2 </w:t>
      </w:r>
      <w:r>
        <w:rPr>
          <w:color w:val="151515"/>
          <w:sz w:val="20"/>
        </w:rPr>
        <w:t>development.</w:t>
      </w:r>
    </w:p>
    <w:p>
      <w:pPr>
        <w:pStyle w:val="BodyText"/>
        <w:rPr>
          <w:sz w:val="22"/>
        </w:rPr>
      </w:pPr>
      <w:r>
        <w:rPr/>
        <w:br w:type="column"/>
      </w:r>
      <w:r>
        <w:rPr>
          <w:sz w:val="22"/>
        </w:rPr>
      </w:r>
    </w:p>
    <w:p>
      <w:pPr>
        <w:spacing w:line="237" w:lineRule="auto" w:before="0"/>
        <w:ind w:left="1089" w:right="438" w:firstLine="4"/>
        <w:jc w:val="left"/>
        <w:rPr>
          <w:sz w:val="20"/>
        </w:rPr>
      </w:pPr>
      <w:r>
        <w:rPr>
          <w:color w:val="212121"/>
          <w:sz w:val="20"/>
        </w:rPr>
        <w:t>Support </w:t>
      </w:r>
      <w:r>
        <w:rPr>
          <w:color w:val="2F2F2F"/>
          <w:sz w:val="20"/>
        </w:rPr>
        <w:t>for </w:t>
      </w:r>
      <w:r>
        <w:rPr>
          <w:color w:val="242424"/>
          <w:sz w:val="20"/>
        </w:rPr>
        <w:t>projects </w:t>
      </w:r>
      <w:r>
        <w:rPr>
          <w:color w:val="282828"/>
          <w:sz w:val="20"/>
        </w:rPr>
        <w:t>including </w:t>
      </w:r>
      <w:r>
        <w:rPr>
          <w:color w:val="232323"/>
          <w:sz w:val="20"/>
        </w:rPr>
        <w:t>site </w:t>
      </w:r>
      <w:r>
        <w:rPr>
          <w:color w:val="1C1C1C"/>
          <w:sz w:val="20"/>
        </w:rPr>
        <w:t>access </w:t>
      </w:r>
      <w:r>
        <w:rPr>
          <w:color w:val="282828"/>
          <w:sz w:val="20"/>
        </w:rPr>
        <w:t>and </w:t>
      </w:r>
      <w:r>
        <w:rPr>
          <w:color w:val="181818"/>
          <w:sz w:val="20"/>
        </w:rPr>
        <w:t>clearance, </w:t>
      </w:r>
      <w:r>
        <w:rPr>
          <w:color w:val="242424"/>
          <w:sz w:val="20"/>
        </w:rPr>
        <w:t>broadband </w:t>
      </w:r>
      <w:r>
        <w:rPr>
          <w:color w:val="282828"/>
          <w:sz w:val="20"/>
        </w:rPr>
        <w:t>and </w:t>
      </w:r>
      <w:r>
        <w:rPr>
          <w:color w:val="212121"/>
          <w:sz w:val="20"/>
        </w:rPr>
        <w:t>transport </w:t>
      </w:r>
      <w:r>
        <w:rPr>
          <w:color w:val="1C1C1C"/>
          <w:sz w:val="20"/>
        </w:rPr>
        <w:t>infrastructure, utilities,. refurbishment </w:t>
      </w:r>
      <w:r>
        <w:rPr>
          <w:color w:val="333333"/>
          <w:sz w:val="20"/>
        </w:rPr>
        <w:t>of </w:t>
      </w:r>
      <w:r>
        <w:rPr>
          <w:color w:val="282828"/>
          <w:sz w:val="20"/>
        </w:rPr>
        <w:t>buildings </w:t>
      </w:r>
      <w:r>
        <w:rPr>
          <w:color w:val="1F1F1F"/>
          <w:sz w:val="20"/>
        </w:rPr>
        <w:t>and </w:t>
      </w:r>
      <w:r>
        <w:rPr>
          <w:color w:val="2A2A2A"/>
          <w:sz w:val="20"/>
        </w:rPr>
        <w:t>flood </w:t>
      </w:r>
      <w:r>
        <w:rPr>
          <w:color w:val="282828"/>
          <w:sz w:val="20"/>
        </w:rPr>
        <w:t>defence </w:t>
      </w:r>
      <w:r>
        <w:rPr>
          <w:color w:val="212121"/>
          <w:sz w:val="20"/>
        </w:rPr>
        <w:t>barriers.</w:t>
      </w:r>
    </w:p>
    <w:p>
      <w:pPr>
        <w:pStyle w:val="BodyText"/>
        <w:rPr>
          <w:sz w:val="22"/>
        </w:rPr>
      </w:pPr>
    </w:p>
    <w:p>
      <w:pPr>
        <w:pStyle w:val="BodyText"/>
        <w:spacing w:before="2"/>
        <w:rPr>
          <w:sz w:val="20"/>
        </w:rPr>
      </w:pPr>
    </w:p>
    <w:p>
      <w:pPr>
        <w:spacing w:line="225" w:lineRule="exact" w:before="0"/>
        <w:ind w:left="1093" w:right="0" w:firstLine="0"/>
        <w:jc w:val="left"/>
        <w:rPr>
          <w:sz w:val="20"/>
        </w:rPr>
      </w:pPr>
      <w:r>
        <w:rPr>
          <w:color w:val="313131"/>
          <w:sz w:val="20"/>
        </w:rPr>
        <w:t>A </w:t>
      </w:r>
      <w:r>
        <w:rPr>
          <w:color w:val="181818"/>
          <w:sz w:val="20"/>
        </w:rPr>
        <w:t>focus </w:t>
      </w:r>
      <w:r>
        <w:rPr>
          <w:color w:val="2D2D2D"/>
          <w:sz w:val="20"/>
        </w:rPr>
        <w:t>on </w:t>
      </w:r>
      <w:r>
        <w:rPr>
          <w:color w:val="313131"/>
          <w:sz w:val="20"/>
        </w:rPr>
        <w:t>sm art, </w:t>
      </w:r>
      <w:r>
        <w:rPr>
          <w:color w:val="131313"/>
          <w:sz w:val="20"/>
        </w:rPr>
        <w:t>sustainable</w:t>
      </w:r>
    </w:p>
    <w:p>
      <w:pPr>
        <w:spacing w:line="237" w:lineRule="exact" w:before="0"/>
        <w:ind w:left="1094" w:right="0" w:firstLine="0"/>
        <w:jc w:val="left"/>
        <w:rPr>
          <w:sz w:val="21"/>
        </w:rPr>
      </w:pPr>
      <w:r>
        <w:rPr>
          <w:color w:val="212121"/>
          <w:sz w:val="21"/>
        </w:rPr>
        <w:t>and </w:t>
      </w:r>
      <w:r>
        <w:rPr>
          <w:color w:val="262626"/>
          <w:sz w:val="21"/>
        </w:rPr>
        <w:t>inclusive </w:t>
      </w:r>
      <w:r>
        <w:rPr>
          <w:color w:val="2D2D2D"/>
          <w:sz w:val="21"/>
        </w:rPr>
        <w:t>growth.</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0"/>
        </w:rPr>
      </w:pPr>
    </w:p>
    <w:p>
      <w:pPr>
        <w:spacing w:before="0"/>
        <w:ind w:left="1089" w:right="260" w:firstLine="4"/>
        <w:jc w:val="left"/>
        <w:rPr>
          <w:sz w:val="20"/>
        </w:rPr>
      </w:pPr>
      <w:r>
        <w:rPr>
          <w:color w:val="232323"/>
          <w:sz w:val="20"/>
        </w:rPr>
        <w:t>S.chemes </w:t>
      </w:r>
      <w:r>
        <w:rPr>
          <w:color w:val="282828"/>
          <w:sz w:val="20"/>
        </w:rPr>
        <w:t>awarded </w:t>
      </w:r>
      <w:r>
        <w:rPr>
          <w:color w:val="2A2A2A"/>
          <w:sz w:val="20"/>
        </w:rPr>
        <w:t>funding</w:t>
      </w:r>
      <w:r>
        <w:rPr>
          <w:color w:val="282828"/>
          <w:sz w:val="20"/>
        </w:rPr>
        <w:t> focus </w:t>
      </w:r>
      <w:r>
        <w:rPr>
          <w:color w:val="2A2A2A"/>
          <w:sz w:val="20"/>
        </w:rPr>
        <w:t>on </w:t>
      </w:r>
      <w:r>
        <w:rPr>
          <w:color w:val="212121"/>
          <w:sz w:val="20"/>
        </w:rPr>
        <w:t>using </w:t>
      </w:r>
      <w:r>
        <w:rPr>
          <w:color w:val="282828"/>
          <w:sz w:val="20"/>
        </w:rPr>
        <w:t>nature and</w:t>
      </w:r>
      <w:r>
        <w:rPr>
          <w:color w:val="1F1F1F"/>
          <w:sz w:val="20"/>
        </w:rPr>
        <w:t> heritage </w:t>
      </w:r>
      <w:r>
        <w:rPr>
          <w:color w:val="151515"/>
          <w:sz w:val="20"/>
        </w:rPr>
        <w:t>to </w:t>
      </w:r>
      <w:r>
        <w:rPr>
          <w:color w:val="2A2A2A"/>
          <w:sz w:val="20"/>
        </w:rPr>
        <w:t>provide </w:t>
      </w:r>
      <w:r>
        <w:rPr>
          <w:color w:val="151515"/>
          <w:sz w:val="20"/>
        </w:rPr>
        <w:t>opportunities</w:t>
      </w:r>
      <w:r>
        <w:rPr>
          <w:color w:val="333333"/>
          <w:sz w:val="20"/>
        </w:rPr>
        <w:t> for </w:t>
      </w:r>
      <w:r>
        <w:rPr>
          <w:color w:val="282828"/>
          <w:sz w:val="20"/>
        </w:rPr>
        <w:t>communities </w:t>
      </w:r>
      <w:r>
        <w:rPr>
          <w:color w:val="232323"/>
          <w:sz w:val="20"/>
        </w:rPr>
        <w:t>within </w:t>
      </w:r>
      <w:r>
        <w:rPr>
          <w:color w:val="2A2A2A"/>
          <w:sz w:val="20"/>
        </w:rPr>
        <w:t>post-</w:t>
      </w:r>
      <w:r>
        <w:rPr>
          <w:color w:val="1F1F1F"/>
          <w:sz w:val="20"/>
        </w:rPr>
        <w:t> indudrial </w:t>
      </w:r>
      <w:r>
        <w:rPr>
          <w:color w:val="282828"/>
          <w:sz w:val="20"/>
        </w:rPr>
        <w:t>landscapes, </w:t>
      </w:r>
      <w:r>
        <w:rPr>
          <w:color w:val="2D2D2D"/>
          <w:sz w:val="20"/>
        </w:rPr>
        <w:t>from </w:t>
      </w:r>
      <w:r>
        <w:rPr>
          <w:color w:val="262626"/>
          <w:sz w:val="20"/>
        </w:rPr>
        <w:t>new</w:t>
      </w:r>
      <w:r>
        <w:rPr>
          <w:color w:val="1F1F1F"/>
          <w:sz w:val="20"/>
        </w:rPr>
        <w:t> skills </w:t>
      </w:r>
      <w:r>
        <w:rPr>
          <w:color w:val="2A2A2A"/>
          <w:sz w:val="20"/>
        </w:rPr>
        <w:t>training </w:t>
      </w:r>
      <w:r>
        <w:rPr>
          <w:color w:val="282828"/>
          <w:sz w:val="20"/>
        </w:rPr>
        <w:t>and </w:t>
      </w:r>
      <w:r>
        <w:rPr>
          <w:color w:val="212121"/>
          <w:sz w:val="20"/>
        </w:rPr>
        <w:t>educational</w:t>
      </w:r>
      <w:r>
        <w:rPr>
          <w:color w:val="1C1C1C"/>
          <w:sz w:val="20"/>
        </w:rPr>
        <w:t> opportunities, </w:t>
      </w:r>
      <w:r>
        <w:rPr>
          <w:color w:val="282828"/>
          <w:sz w:val="20"/>
        </w:rPr>
        <w:t>to </w:t>
      </w:r>
      <w:r>
        <w:rPr>
          <w:color w:val="1F1F1F"/>
          <w:sz w:val="20"/>
        </w:rPr>
        <w:t>boosting</w:t>
      </w:r>
      <w:r>
        <w:rPr>
          <w:color w:val="232323"/>
          <w:sz w:val="20"/>
        </w:rPr>
        <w:t> tourism and </w:t>
      </w:r>
      <w:r>
        <w:rPr>
          <w:color w:val="282828"/>
          <w:sz w:val="20"/>
        </w:rPr>
        <w:t>local </w:t>
      </w:r>
      <w:r>
        <w:rPr>
          <w:color w:val="262626"/>
          <w:sz w:val="20"/>
        </w:rPr>
        <w:t>business</w:t>
      </w:r>
      <w:r>
        <w:rPr>
          <w:color w:val="282828"/>
          <w:sz w:val="20"/>
        </w:rPr>
        <w:t> promoting </w:t>
      </w:r>
      <w:r>
        <w:rPr>
          <w:color w:val="1C1C1C"/>
          <w:sz w:val="20"/>
        </w:rPr>
        <w:t>heritage-led</w:t>
      </w:r>
      <w:r>
        <w:rPr>
          <w:color w:val="282828"/>
          <w:sz w:val="20"/>
        </w:rPr>
        <w:t> regeneration.</w:t>
      </w:r>
    </w:p>
    <w:p>
      <w:pPr>
        <w:spacing w:after="0"/>
        <w:jc w:val="left"/>
        <w:rPr>
          <w:sz w:val="20"/>
        </w:rPr>
        <w:sectPr>
          <w:type w:val="continuous"/>
          <w:pgSz w:w="11920" w:h="16850"/>
          <w:pgMar w:top="1220" w:bottom="0" w:left="440" w:right="560"/>
          <w:cols w:num="3" w:equalWidth="0">
            <w:col w:w="2506" w:space="40"/>
            <w:col w:w="4036" w:space="111"/>
            <w:col w:w="4227"/>
          </w:cols>
        </w:sectPr>
      </w:pPr>
    </w:p>
    <w:p>
      <w:pPr>
        <w:pStyle w:val="BodyText"/>
        <w:rPr>
          <w:sz w:val="20"/>
        </w:rPr>
      </w:pPr>
    </w:p>
    <w:p>
      <w:pPr>
        <w:pStyle w:val="BodyText"/>
        <w:spacing w:before="1"/>
        <w:rPr>
          <w:sz w:val="24"/>
        </w:rPr>
      </w:pPr>
    </w:p>
    <w:p>
      <w:pPr>
        <w:pStyle w:val="ListParagraph"/>
        <w:numPr>
          <w:ilvl w:val="1"/>
          <w:numId w:val="11"/>
        </w:numPr>
        <w:tabs>
          <w:tab w:pos="976" w:val="left" w:leader="none"/>
          <w:tab w:pos="977" w:val="left" w:leader="none"/>
        </w:tabs>
        <w:spacing w:line="240" w:lineRule="auto" w:before="91" w:after="0"/>
        <w:ind w:left="976" w:right="0" w:hanging="853"/>
        <w:jc w:val="left"/>
        <w:rPr>
          <w:sz w:val="28"/>
        </w:rPr>
      </w:pPr>
      <w:r>
        <w:rPr>
          <w:sz w:val="28"/>
        </w:rPr>
        <w:t>CLIMATE CHANGE</w:t>
      </w:r>
      <w:r>
        <w:rPr>
          <w:spacing w:val="45"/>
          <w:sz w:val="28"/>
        </w:rPr>
        <w:t> </w:t>
      </w:r>
      <w:r>
        <w:rPr>
          <w:sz w:val="28"/>
        </w:rPr>
        <w:t>ADAPTATION</w:t>
      </w:r>
    </w:p>
    <w:p>
      <w:pPr>
        <w:pStyle w:val="Heading3"/>
        <w:numPr>
          <w:ilvl w:val="2"/>
          <w:numId w:val="13"/>
        </w:numPr>
        <w:tabs>
          <w:tab w:pos="977" w:val="left" w:leader="none"/>
          <w:tab w:pos="978" w:val="left" w:leader="none"/>
        </w:tabs>
        <w:spacing w:line="240" w:lineRule="auto" w:before="176" w:after="0"/>
        <w:ind w:left="977" w:right="0" w:hanging="854"/>
        <w:jc w:val="left"/>
      </w:pPr>
      <w:r>
        <w:rPr/>
        <w:t>INTRODUCTION</w:t>
      </w:r>
    </w:p>
    <w:p>
      <w:pPr>
        <w:pStyle w:val="BodyText"/>
        <w:spacing w:line="261" w:lineRule="auto" w:before="146"/>
        <w:ind w:left="981" w:right="221" w:hanging="1"/>
      </w:pPr>
      <w:r>
        <w:rPr/>
        <w:t>A</w:t>
      </w:r>
      <w:r>
        <w:rPr>
          <w:spacing w:val="-27"/>
        </w:rPr>
        <w:t> </w:t>
      </w:r>
      <w:r>
        <w:rPr/>
        <w:t>key</w:t>
      </w:r>
      <w:r>
        <w:rPr>
          <w:spacing w:val="-23"/>
        </w:rPr>
        <w:t> </w:t>
      </w:r>
      <w:r>
        <w:rPr/>
        <w:t>factor</w:t>
      </w:r>
      <w:r>
        <w:rPr>
          <w:spacing w:val="-25"/>
        </w:rPr>
        <w:t> </w:t>
      </w:r>
      <w:r>
        <w:rPr/>
        <w:t>impacting</w:t>
      </w:r>
      <w:r>
        <w:rPr>
          <w:spacing w:val="-17"/>
        </w:rPr>
        <w:t> </w:t>
      </w:r>
      <w:r>
        <w:rPr/>
        <w:t>on</w:t>
      </w:r>
      <w:r>
        <w:rPr>
          <w:spacing w:val="-27"/>
        </w:rPr>
        <w:t> </w:t>
      </w:r>
      <w:r>
        <w:rPr/>
        <w:t>the</w:t>
      </w:r>
      <w:r>
        <w:rPr>
          <w:spacing w:val="-25"/>
        </w:rPr>
        <w:t> </w:t>
      </w:r>
      <w:r>
        <w:rPr/>
        <w:t>ability</w:t>
      </w:r>
      <w:r>
        <w:rPr>
          <w:spacing w:val="-18"/>
        </w:rPr>
        <w:t> </w:t>
      </w:r>
      <w:r>
        <w:rPr/>
        <w:t>of</w:t>
      </w:r>
      <w:r>
        <w:rPr>
          <w:spacing w:val="-29"/>
        </w:rPr>
        <w:t> </w:t>
      </w:r>
      <w:r>
        <w:rPr/>
        <w:t>RMAs</w:t>
      </w:r>
      <w:r>
        <w:rPr>
          <w:spacing w:val="-25"/>
        </w:rPr>
        <w:t> </w:t>
      </w:r>
      <w:r>
        <w:rPr/>
        <w:t>to</w:t>
      </w:r>
      <w:r>
        <w:rPr>
          <w:spacing w:val="-31"/>
        </w:rPr>
        <w:t> </w:t>
      </w:r>
      <w:r>
        <w:rPr/>
        <w:t>manage</w:t>
      </w:r>
      <w:r>
        <w:rPr>
          <w:spacing w:val="-21"/>
        </w:rPr>
        <w:t> </w:t>
      </w:r>
      <w:r>
        <w:rPr/>
        <w:t>local</w:t>
      </w:r>
      <w:r>
        <w:rPr>
          <w:spacing w:val="-18"/>
        </w:rPr>
        <w:t> </w:t>
      </w:r>
      <w:r>
        <w:rPr/>
        <w:t>flood</w:t>
      </w:r>
      <w:r>
        <w:rPr>
          <w:spacing w:val="-25"/>
        </w:rPr>
        <w:t> </w:t>
      </w:r>
      <w:r>
        <w:rPr/>
        <w:t>risk</w:t>
      </w:r>
      <w:r>
        <w:rPr>
          <w:spacing w:val="-27"/>
        </w:rPr>
        <w:t> </w:t>
      </w:r>
      <w:r>
        <w:rPr/>
        <w:t>is</w:t>
      </w:r>
      <w:r>
        <w:rPr>
          <w:spacing w:val="-27"/>
        </w:rPr>
        <w:t> </w:t>
      </w:r>
      <w:r>
        <w:rPr/>
        <w:t>climate</w:t>
      </w:r>
      <w:r>
        <w:rPr>
          <w:spacing w:val="-21"/>
        </w:rPr>
        <w:t> </w:t>
      </w:r>
      <w:r>
        <w:rPr/>
        <w:t>change.</w:t>
      </w:r>
      <w:r>
        <w:rPr>
          <w:spacing w:val="-13"/>
        </w:rPr>
        <w:t> </w:t>
      </w:r>
      <w:r>
        <w:rPr/>
        <w:t>There</w:t>
      </w:r>
      <w:r>
        <w:rPr>
          <w:spacing w:val="-28"/>
        </w:rPr>
        <w:t> </w:t>
      </w:r>
      <w:r>
        <w:rPr/>
        <w:t>is clear</w:t>
      </w:r>
      <w:r>
        <w:rPr>
          <w:spacing w:val="-34"/>
        </w:rPr>
        <w:t> </w:t>
      </w:r>
      <w:r>
        <w:rPr/>
        <w:t>scientific</w:t>
      </w:r>
      <w:r>
        <w:rPr>
          <w:spacing w:val="-30"/>
        </w:rPr>
        <w:t> </w:t>
      </w:r>
      <w:r>
        <w:rPr/>
        <w:t>evidence</w:t>
      </w:r>
      <w:r>
        <w:rPr>
          <w:spacing w:val="-34"/>
        </w:rPr>
        <w:t> </w:t>
      </w:r>
      <w:r>
        <w:rPr/>
        <w:t>that</w:t>
      </w:r>
      <w:r>
        <w:rPr>
          <w:spacing w:val="-33"/>
        </w:rPr>
        <w:t> </w:t>
      </w:r>
      <w:r>
        <w:rPr/>
        <w:t>global</w:t>
      </w:r>
      <w:r>
        <w:rPr>
          <w:spacing w:val="-32"/>
        </w:rPr>
        <w:t> </w:t>
      </w:r>
      <w:r>
        <w:rPr/>
        <w:t>climate</w:t>
      </w:r>
      <w:r>
        <w:rPr>
          <w:spacing w:val="-28"/>
        </w:rPr>
        <w:t> </w:t>
      </w:r>
      <w:r>
        <w:rPr/>
        <w:t>change</w:t>
      </w:r>
      <w:r>
        <w:rPr>
          <w:spacing w:val="-36"/>
        </w:rPr>
        <w:t> </w:t>
      </w:r>
      <w:r>
        <w:rPr/>
        <w:t>is</w:t>
      </w:r>
      <w:r>
        <w:rPr>
          <w:spacing w:val="-40"/>
        </w:rPr>
        <w:t> </w:t>
      </w:r>
      <w:r>
        <w:rPr/>
        <w:t>happening</w:t>
      </w:r>
      <w:r>
        <w:rPr>
          <w:spacing w:val="-33"/>
        </w:rPr>
        <w:t> </w:t>
      </w:r>
      <w:r>
        <w:rPr/>
        <w:t>now.</w:t>
      </w:r>
      <w:r>
        <w:rPr>
          <w:spacing w:val="-29"/>
        </w:rPr>
        <w:t> </w:t>
      </w:r>
      <w:r>
        <w:rPr/>
        <w:t>The</w:t>
      </w:r>
      <w:r>
        <w:rPr>
          <w:spacing w:val="-37"/>
        </w:rPr>
        <w:t> </w:t>
      </w:r>
      <w:r>
        <w:rPr/>
        <w:t>effects</w:t>
      </w:r>
      <w:r>
        <w:rPr>
          <w:spacing w:val="-37"/>
        </w:rPr>
        <w:t> </w:t>
      </w:r>
      <w:r>
        <w:rPr/>
        <w:t>of</w:t>
      </w:r>
      <w:r>
        <w:rPr>
          <w:spacing w:val="-35"/>
        </w:rPr>
        <w:t> </w:t>
      </w:r>
      <w:r>
        <w:rPr/>
        <w:t>climate</w:t>
      </w:r>
      <w:r>
        <w:rPr>
          <w:spacing w:val="-33"/>
        </w:rPr>
        <w:t> </w:t>
      </w:r>
      <w:r>
        <w:rPr/>
        <w:t>change</w:t>
      </w:r>
    </w:p>
    <w:p>
      <w:pPr>
        <w:spacing w:after="0" w:line="261" w:lineRule="auto"/>
        <w:sectPr>
          <w:type w:val="continuous"/>
          <w:pgSz w:w="11920" w:h="16850"/>
          <w:pgMar w:top="1220" w:bottom="0" w:left="440" w:right="56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line="264" w:lineRule="auto" w:before="92"/>
        <w:ind w:left="982" w:right="221" w:hanging="2"/>
      </w:pPr>
      <w:r>
        <w:rPr/>
        <w:pict>
          <v:group style="position:absolute;margin-left:123.349602pt;margin-top:-50.127747pt;width:5.3pt;height:35.050pt;mso-position-horizontal-relative:page;mso-position-vertical-relative:paragraph;z-index:2824" coordorigin="2467,-1003" coordsize="106,701">
            <v:shape style="position:absolute;left:2467;top:-1003;width:106;height:48" type="#_x0000_t75" stroked="false">
              <v:imagedata r:id="rId14" o:title=""/>
            </v:shape>
            <v:shape style="position:absolute;left:2486;top:-341;width:87;height:39" type="#_x0000_t75" stroked="false">
              <v:imagedata r:id="rId15" o:title=""/>
            </v:shape>
            <v:line style="position:absolute" from="2515,-1003" to="2515,-311" stroked="true" strokeweight="4.799592pt" strokecolor="#ff6477">
              <v:stroke dashstyle="solid"/>
            </v:line>
            <w10:wrap type="none"/>
          </v:group>
        </w:pict>
      </w:r>
      <w:bookmarkStart w:name="Leeds LFRMS 2018 Update_Page_37" w:id="49"/>
      <w:bookmarkEnd w:id="49"/>
      <w:r>
        <w:rPr/>
      </w:r>
      <w:r>
        <w:rPr/>
        <w:t>can</w:t>
      </w:r>
      <w:r>
        <w:rPr>
          <w:spacing w:val="-28"/>
        </w:rPr>
        <w:t> </w:t>
      </w:r>
      <w:r>
        <w:rPr/>
        <w:t>be</w:t>
      </w:r>
      <w:r>
        <w:rPr>
          <w:spacing w:val="-25"/>
        </w:rPr>
        <w:t> </w:t>
      </w:r>
      <w:r>
        <w:rPr/>
        <w:t>seen</w:t>
      </w:r>
      <w:r>
        <w:rPr>
          <w:spacing w:val="-26"/>
        </w:rPr>
        <w:t> </w:t>
      </w:r>
      <w:r>
        <w:rPr/>
        <w:t>in</w:t>
      </w:r>
      <w:r>
        <w:rPr>
          <w:spacing w:val="-27"/>
        </w:rPr>
        <w:t> </w:t>
      </w:r>
      <w:r>
        <w:rPr/>
        <w:t>the</w:t>
      </w:r>
      <w:r>
        <w:rPr>
          <w:spacing w:val="-25"/>
        </w:rPr>
        <w:t> </w:t>
      </w:r>
      <w:r>
        <w:rPr/>
        <w:t>UK</w:t>
      </w:r>
      <w:r>
        <w:rPr>
          <w:spacing w:val="-25"/>
        </w:rPr>
        <w:t> </w:t>
      </w:r>
      <w:r>
        <w:rPr/>
        <w:t>and</w:t>
      </w:r>
      <w:r>
        <w:rPr>
          <w:spacing w:val="-16"/>
        </w:rPr>
        <w:t> </w:t>
      </w:r>
      <w:r>
        <w:rPr/>
        <w:t>around</w:t>
      </w:r>
      <w:r>
        <w:rPr>
          <w:spacing w:val="-20"/>
        </w:rPr>
        <w:t> </w:t>
      </w:r>
      <w:r>
        <w:rPr/>
        <w:t>the</w:t>
      </w:r>
      <w:r>
        <w:rPr>
          <w:spacing w:val="-20"/>
        </w:rPr>
        <w:t> </w:t>
      </w:r>
      <w:r>
        <w:rPr/>
        <w:t>world.</w:t>
      </w:r>
      <w:r>
        <w:rPr>
          <w:spacing w:val="-18"/>
        </w:rPr>
        <w:t> </w:t>
      </w:r>
      <w:r>
        <w:rPr/>
        <w:t>UK</w:t>
      </w:r>
      <w:r>
        <w:rPr>
          <w:spacing w:val="-34"/>
        </w:rPr>
        <w:t> </w:t>
      </w:r>
      <w:r>
        <w:rPr/>
        <w:t>temperatures</w:t>
      </w:r>
      <w:r>
        <w:rPr>
          <w:spacing w:val="-14"/>
        </w:rPr>
        <w:t> </w:t>
      </w:r>
      <w:r>
        <w:rPr/>
        <w:t>and</w:t>
      </w:r>
      <w:r>
        <w:rPr>
          <w:spacing w:val="-21"/>
        </w:rPr>
        <w:t> </w:t>
      </w:r>
      <w:r>
        <w:rPr/>
        <w:t>sea</w:t>
      </w:r>
      <w:r>
        <w:rPr>
          <w:spacing w:val="-28"/>
        </w:rPr>
        <w:t> </w:t>
      </w:r>
      <w:r>
        <w:rPr/>
        <w:t>levels,</w:t>
      </w:r>
      <w:r>
        <w:rPr>
          <w:spacing w:val="-27"/>
        </w:rPr>
        <w:t> </w:t>
      </w:r>
      <w:r>
        <w:rPr/>
        <w:t>including</w:t>
      </w:r>
      <w:r>
        <w:rPr>
          <w:spacing w:val="-17"/>
        </w:rPr>
        <w:t> </w:t>
      </w:r>
      <w:r>
        <w:rPr/>
        <w:t>those</w:t>
      </w:r>
      <w:r>
        <w:rPr>
          <w:spacing w:val="-21"/>
        </w:rPr>
        <w:t> </w:t>
      </w:r>
      <w:r>
        <w:rPr/>
        <w:t>of British</w:t>
      </w:r>
      <w:r>
        <w:rPr>
          <w:spacing w:val="-29"/>
        </w:rPr>
        <w:t> </w:t>
      </w:r>
      <w:r>
        <w:rPr/>
        <w:t>coastal</w:t>
      </w:r>
      <w:r>
        <w:rPr>
          <w:spacing w:val="-25"/>
        </w:rPr>
        <w:t> </w:t>
      </w:r>
      <w:r>
        <w:rPr/>
        <w:t>waters,</w:t>
      </w:r>
      <w:r>
        <w:rPr>
          <w:spacing w:val="-34"/>
        </w:rPr>
        <w:t> </w:t>
      </w:r>
      <w:r>
        <w:rPr/>
        <w:t>have</w:t>
      </w:r>
      <w:r>
        <w:rPr>
          <w:spacing w:val="-35"/>
        </w:rPr>
        <w:t> </w:t>
      </w:r>
      <w:r>
        <w:rPr/>
        <w:t>risen</w:t>
      </w:r>
      <w:r>
        <w:rPr>
          <w:spacing w:val="-29"/>
        </w:rPr>
        <w:t> </w:t>
      </w:r>
      <w:r>
        <w:rPr/>
        <w:t>over</w:t>
      </w:r>
      <w:r>
        <w:rPr>
          <w:spacing w:val="-34"/>
        </w:rPr>
        <w:t> </w:t>
      </w:r>
      <w:r>
        <w:rPr/>
        <w:t>the</w:t>
      </w:r>
      <w:r>
        <w:rPr>
          <w:spacing w:val="-37"/>
        </w:rPr>
        <w:t> </w:t>
      </w:r>
      <w:r>
        <w:rPr/>
        <w:t>past</w:t>
      </w:r>
      <w:r>
        <w:rPr>
          <w:spacing w:val="-32"/>
        </w:rPr>
        <w:t> </w:t>
      </w:r>
      <w:r>
        <w:rPr/>
        <w:t>three</w:t>
      </w:r>
      <w:r>
        <w:rPr>
          <w:spacing w:val="-32"/>
        </w:rPr>
        <w:t> </w:t>
      </w:r>
      <w:r>
        <w:rPr/>
        <w:t>decades.</w:t>
      </w:r>
      <w:r>
        <w:rPr>
          <w:spacing w:val="-26"/>
        </w:rPr>
        <w:t> </w:t>
      </w:r>
      <w:r>
        <w:rPr/>
        <w:t>There</w:t>
      </w:r>
      <w:r>
        <w:rPr>
          <w:spacing w:val="-35"/>
        </w:rPr>
        <w:t> </w:t>
      </w:r>
      <w:r>
        <w:rPr/>
        <w:t>has</w:t>
      </w:r>
      <w:r>
        <w:rPr>
          <w:spacing w:val="-33"/>
        </w:rPr>
        <w:t> </w:t>
      </w:r>
      <w:r>
        <w:rPr/>
        <w:t>also</w:t>
      </w:r>
      <w:r>
        <w:rPr>
          <w:spacing w:val="-32"/>
        </w:rPr>
        <w:t> </w:t>
      </w:r>
      <w:r>
        <w:rPr/>
        <w:t>been</w:t>
      </w:r>
      <w:r>
        <w:rPr>
          <w:spacing w:val="-31"/>
        </w:rPr>
        <w:t> </w:t>
      </w:r>
      <w:r>
        <w:rPr/>
        <w:t>a</w:t>
      </w:r>
      <w:r>
        <w:rPr>
          <w:spacing w:val="-35"/>
        </w:rPr>
        <w:t> </w:t>
      </w:r>
      <w:r>
        <w:rPr/>
        <w:t>documented global</w:t>
      </w:r>
      <w:r>
        <w:rPr>
          <w:spacing w:val="-30"/>
        </w:rPr>
        <w:t> </w:t>
      </w:r>
      <w:r>
        <w:rPr/>
        <w:t>increase</w:t>
      </w:r>
      <w:r>
        <w:rPr>
          <w:spacing w:val="-32"/>
        </w:rPr>
        <w:t> </w:t>
      </w:r>
      <w:r>
        <w:rPr/>
        <w:t>in</w:t>
      </w:r>
      <w:r>
        <w:rPr>
          <w:spacing w:val="-34"/>
        </w:rPr>
        <w:t> </w:t>
      </w:r>
      <w:r>
        <w:rPr/>
        <w:t>the</w:t>
      </w:r>
      <w:r>
        <w:rPr>
          <w:spacing w:val="-31"/>
        </w:rPr>
        <w:t> </w:t>
      </w:r>
      <w:r>
        <w:rPr/>
        <w:t>frequency</w:t>
      </w:r>
      <w:r>
        <w:rPr>
          <w:spacing w:val="-17"/>
        </w:rPr>
        <w:t> </w:t>
      </w:r>
      <w:r>
        <w:rPr/>
        <w:t>of</w:t>
      </w:r>
      <w:r>
        <w:rPr>
          <w:spacing w:val="-28"/>
        </w:rPr>
        <w:t> </w:t>
      </w:r>
      <w:r>
        <w:rPr/>
        <w:t>extreme</w:t>
      </w:r>
      <w:r>
        <w:rPr>
          <w:spacing w:val="-28"/>
        </w:rPr>
        <w:t> </w:t>
      </w:r>
      <w:r>
        <w:rPr/>
        <w:t>weather</w:t>
      </w:r>
      <w:r>
        <w:rPr>
          <w:spacing w:val="-24"/>
        </w:rPr>
        <w:t> </w:t>
      </w:r>
      <w:r>
        <w:rPr/>
        <w:t>events</w:t>
      </w:r>
      <w:r>
        <w:rPr>
          <w:spacing w:val="-26"/>
        </w:rPr>
        <w:t> </w:t>
      </w:r>
      <w:r>
        <w:rPr/>
        <w:t>such</w:t>
      </w:r>
      <w:r>
        <w:rPr>
          <w:spacing w:val="-27"/>
        </w:rPr>
        <w:t> </w:t>
      </w:r>
      <w:r>
        <w:rPr/>
        <w:t>as</w:t>
      </w:r>
      <w:r>
        <w:rPr>
          <w:spacing w:val="-38"/>
        </w:rPr>
        <w:t> </w:t>
      </w:r>
      <w:r>
        <w:rPr/>
        <w:t>floods,</w:t>
      </w:r>
      <w:r>
        <w:rPr>
          <w:spacing w:val="-21"/>
        </w:rPr>
        <w:t> </w:t>
      </w:r>
      <w:r>
        <w:rPr/>
        <w:t>droughts</w:t>
      </w:r>
      <w:r>
        <w:rPr>
          <w:spacing w:val="-23"/>
        </w:rPr>
        <w:t> </w:t>
      </w:r>
      <w:r>
        <w:rPr/>
        <w:t>and</w:t>
      </w:r>
      <w:r>
        <w:rPr>
          <w:spacing w:val="-32"/>
        </w:rPr>
        <w:t> </w:t>
      </w:r>
      <w:r>
        <w:rPr/>
        <w:t>tropical storms.</w:t>
      </w:r>
      <w:r>
        <w:rPr>
          <w:spacing w:val="-31"/>
        </w:rPr>
        <w:t> </w:t>
      </w:r>
      <w:r>
        <w:rPr/>
        <w:t>It</w:t>
      </w:r>
      <w:r>
        <w:rPr>
          <w:spacing w:val="-33"/>
        </w:rPr>
        <w:t> </w:t>
      </w:r>
      <w:r>
        <w:rPr/>
        <w:t>is</w:t>
      </w:r>
      <w:r>
        <w:rPr>
          <w:spacing w:val="-41"/>
        </w:rPr>
        <w:t> </w:t>
      </w:r>
      <w:r>
        <w:rPr/>
        <w:t>predicted</w:t>
      </w:r>
      <w:r>
        <w:rPr>
          <w:spacing w:val="-28"/>
        </w:rPr>
        <w:t> </w:t>
      </w:r>
      <w:r>
        <w:rPr/>
        <w:t>that</w:t>
      </w:r>
      <w:r>
        <w:rPr>
          <w:spacing w:val="-30"/>
        </w:rPr>
        <w:t> </w:t>
      </w:r>
      <w:r>
        <w:rPr/>
        <w:t>these</w:t>
      </w:r>
      <w:r>
        <w:rPr>
          <w:spacing w:val="-28"/>
        </w:rPr>
        <w:t> </w:t>
      </w:r>
      <w:r>
        <w:rPr/>
        <w:t>extreme</w:t>
      </w:r>
      <w:r>
        <w:rPr>
          <w:spacing w:val="-24"/>
        </w:rPr>
        <w:t> </w:t>
      </w:r>
      <w:r>
        <w:rPr/>
        <w:t>weather</w:t>
      </w:r>
      <w:r>
        <w:rPr>
          <w:spacing w:val="-27"/>
        </w:rPr>
        <w:t> </w:t>
      </w:r>
      <w:r>
        <w:rPr/>
        <w:t>events</w:t>
      </w:r>
      <w:r>
        <w:rPr>
          <w:spacing w:val="-32"/>
        </w:rPr>
        <w:t> </w:t>
      </w:r>
      <w:r>
        <w:rPr/>
        <w:t>will</w:t>
      </w:r>
      <w:r>
        <w:rPr>
          <w:spacing w:val="-28"/>
        </w:rPr>
        <w:t> </w:t>
      </w:r>
      <w:r>
        <w:rPr/>
        <w:t>become</w:t>
      </w:r>
      <w:r>
        <w:rPr>
          <w:spacing w:val="-26"/>
        </w:rPr>
        <w:t> </w:t>
      </w:r>
      <w:r>
        <w:rPr/>
        <w:t>more</w:t>
      </w:r>
      <w:r>
        <w:rPr>
          <w:spacing w:val="-29"/>
        </w:rPr>
        <w:t> </w:t>
      </w:r>
      <w:r>
        <w:rPr/>
        <w:t>severe</w:t>
      </w:r>
      <w:r>
        <w:rPr>
          <w:spacing w:val="-29"/>
        </w:rPr>
        <w:t> </w:t>
      </w:r>
      <w:r>
        <w:rPr/>
        <w:t>during</w:t>
      </w:r>
      <w:r>
        <w:rPr>
          <w:spacing w:val="-21"/>
        </w:rPr>
        <w:t> </w:t>
      </w:r>
      <w:r>
        <w:rPr/>
        <w:t>coming decades.</w:t>
      </w:r>
    </w:p>
    <w:p>
      <w:pPr>
        <w:spacing w:line="268" w:lineRule="auto" w:before="120"/>
        <w:ind w:left="975" w:right="221" w:firstLine="3"/>
        <w:jc w:val="left"/>
        <w:rPr>
          <w:sz w:val="22"/>
        </w:rPr>
      </w:pPr>
      <w:r>
        <w:rPr>
          <w:sz w:val="23"/>
        </w:rPr>
        <w:t>In</w:t>
      </w:r>
      <w:r>
        <w:rPr>
          <w:spacing w:val="-25"/>
          <w:sz w:val="23"/>
        </w:rPr>
        <w:t> </w:t>
      </w:r>
      <w:r>
        <w:rPr>
          <w:sz w:val="23"/>
        </w:rPr>
        <w:t>light</w:t>
      </w:r>
      <w:r>
        <w:rPr>
          <w:spacing w:val="-14"/>
          <w:sz w:val="23"/>
        </w:rPr>
        <w:t> </w:t>
      </w:r>
      <w:r>
        <w:rPr>
          <w:sz w:val="23"/>
        </w:rPr>
        <w:t>of</w:t>
      </w:r>
      <w:r>
        <w:rPr>
          <w:spacing w:val="-28"/>
          <w:sz w:val="23"/>
        </w:rPr>
        <w:t> </w:t>
      </w:r>
      <w:r>
        <w:rPr>
          <w:sz w:val="23"/>
        </w:rPr>
        <w:t>this,</w:t>
      </w:r>
      <w:r>
        <w:rPr>
          <w:spacing w:val="-20"/>
          <w:sz w:val="23"/>
        </w:rPr>
        <w:t> </w:t>
      </w:r>
      <w:r>
        <w:rPr>
          <w:sz w:val="23"/>
        </w:rPr>
        <w:t>it</w:t>
      </w:r>
      <w:r>
        <w:rPr>
          <w:spacing w:val="-24"/>
          <w:sz w:val="23"/>
        </w:rPr>
        <w:t> </w:t>
      </w:r>
      <w:r>
        <w:rPr>
          <w:sz w:val="23"/>
        </w:rPr>
        <w:t>is</w:t>
      </w:r>
      <w:r>
        <w:rPr>
          <w:spacing w:val="-28"/>
          <w:sz w:val="23"/>
        </w:rPr>
        <w:t> </w:t>
      </w:r>
      <w:r>
        <w:rPr>
          <w:sz w:val="23"/>
        </w:rPr>
        <w:t>imperative</w:t>
      </w:r>
      <w:r>
        <w:rPr>
          <w:spacing w:val="-11"/>
          <w:sz w:val="23"/>
        </w:rPr>
        <w:t> </w:t>
      </w:r>
      <w:r>
        <w:rPr>
          <w:sz w:val="23"/>
        </w:rPr>
        <w:t>that</w:t>
      </w:r>
      <w:r>
        <w:rPr>
          <w:spacing w:val="-20"/>
          <w:sz w:val="23"/>
        </w:rPr>
        <w:t> </w:t>
      </w:r>
      <w:r>
        <w:rPr>
          <w:sz w:val="23"/>
        </w:rPr>
        <w:t>the</w:t>
      </w:r>
      <w:r>
        <w:rPr>
          <w:spacing w:val="-20"/>
          <w:sz w:val="23"/>
        </w:rPr>
        <w:t> </w:t>
      </w:r>
      <w:r>
        <w:rPr>
          <w:sz w:val="23"/>
        </w:rPr>
        <w:t>effects</w:t>
      </w:r>
      <w:r>
        <w:rPr>
          <w:spacing w:val="-15"/>
          <w:sz w:val="23"/>
        </w:rPr>
        <w:t> </w:t>
      </w:r>
      <w:r>
        <w:rPr>
          <w:sz w:val="23"/>
        </w:rPr>
        <w:t>of</w:t>
      </w:r>
      <w:r>
        <w:rPr>
          <w:spacing w:val="-30"/>
          <w:sz w:val="23"/>
        </w:rPr>
        <w:t> </w:t>
      </w:r>
      <w:r>
        <w:rPr>
          <w:sz w:val="23"/>
        </w:rPr>
        <w:t>more</w:t>
      </w:r>
      <w:r>
        <w:rPr>
          <w:spacing w:val="-18"/>
          <w:sz w:val="23"/>
        </w:rPr>
        <w:t> </w:t>
      </w:r>
      <w:r>
        <w:rPr>
          <w:sz w:val="23"/>
        </w:rPr>
        <w:t>extreme</w:t>
      </w:r>
      <w:r>
        <w:rPr>
          <w:spacing w:val="-18"/>
          <w:sz w:val="23"/>
        </w:rPr>
        <w:t> </w:t>
      </w:r>
      <w:r>
        <w:rPr>
          <w:sz w:val="23"/>
        </w:rPr>
        <w:t>flooding</w:t>
      </w:r>
      <w:r>
        <w:rPr>
          <w:spacing w:val="-15"/>
          <w:sz w:val="23"/>
        </w:rPr>
        <w:t> </w:t>
      </w:r>
      <w:r>
        <w:rPr>
          <w:sz w:val="23"/>
        </w:rPr>
        <w:t>in</w:t>
      </w:r>
      <w:r>
        <w:rPr>
          <w:spacing w:val="-23"/>
          <w:sz w:val="23"/>
        </w:rPr>
        <w:t> </w:t>
      </w:r>
      <w:r>
        <w:rPr>
          <w:sz w:val="23"/>
        </w:rPr>
        <w:t>the</w:t>
      </w:r>
      <w:r>
        <w:rPr>
          <w:spacing w:val="-20"/>
          <w:sz w:val="23"/>
        </w:rPr>
        <w:t> </w:t>
      </w:r>
      <w:r>
        <w:rPr>
          <w:sz w:val="23"/>
        </w:rPr>
        <w:t>Leeds</w:t>
      </w:r>
      <w:r>
        <w:rPr>
          <w:spacing w:val="-16"/>
          <w:sz w:val="23"/>
        </w:rPr>
        <w:t> </w:t>
      </w:r>
      <w:r>
        <w:rPr>
          <w:sz w:val="23"/>
        </w:rPr>
        <w:t>district</w:t>
      </w:r>
      <w:r>
        <w:rPr>
          <w:spacing w:val="-10"/>
          <w:sz w:val="23"/>
        </w:rPr>
        <w:t> </w:t>
      </w:r>
      <w:r>
        <w:rPr>
          <w:sz w:val="23"/>
        </w:rPr>
        <w:t>are mitigated</w:t>
      </w:r>
      <w:r>
        <w:rPr>
          <w:spacing w:val="-22"/>
          <w:sz w:val="23"/>
        </w:rPr>
        <w:t> </w:t>
      </w:r>
      <w:r>
        <w:rPr>
          <w:sz w:val="23"/>
        </w:rPr>
        <w:t>against</w:t>
      </w:r>
      <w:r>
        <w:rPr>
          <w:spacing w:val="-21"/>
          <w:sz w:val="23"/>
        </w:rPr>
        <w:t> </w:t>
      </w:r>
      <w:r>
        <w:rPr>
          <w:sz w:val="23"/>
        </w:rPr>
        <w:t>and</w:t>
      </w:r>
      <w:r>
        <w:rPr>
          <w:spacing w:val="-31"/>
          <w:sz w:val="23"/>
        </w:rPr>
        <w:t> </w:t>
      </w:r>
      <w:r>
        <w:rPr>
          <w:sz w:val="23"/>
        </w:rPr>
        <w:t>that</w:t>
      </w:r>
      <w:r>
        <w:rPr>
          <w:spacing w:val="-28"/>
          <w:sz w:val="23"/>
        </w:rPr>
        <w:t> </w:t>
      </w:r>
      <w:r>
        <w:rPr>
          <w:sz w:val="23"/>
        </w:rPr>
        <w:t>plans</w:t>
      </w:r>
      <w:r>
        <w:rPr>
          <w:spacing w:val="-27"/>
          <w:sz w:val="23"/>
        </w:rPr>
        <w:t> </w:t>
      </w:r>
      <w:r>
        <w:rPr>
          <w:sz w:val="23"/>
        </w:rPr>
        <w:t>and</w:t>
      </w:r>
      <w:r>
        <w:rPr>
          <w:spacing w:val="-25"/>
          <w:sz w:val="23"/>
        </w:rPr>
        <w:t> </w:t>
      </w:r>
      <w:r>
        <w:rPr>
          <w:sz w:val="23"/>
        </w:rPr>
        <w:t>schemes</w:t>
      </w:r>
      <w:r>
        <w:rPr>
          <w:spacing w:val="-24"/>
          <w:sz w:val="23"/>
        </w:rPr>
        <w:t> </w:t>
      </w:r>
      <w:r>
        <w:rPr>
          <w:sz w:val="23"/>
        </w:rPr>
        <w:t>are</w:t>
      </w:r>
      <w:r>
        <w:rPr>
          <w:spacing w:val="-29"/>
          <w:sz w:val="23"/>
        </w:rPr>
        <w:t> </w:t>
      </w:r>
      <w:r>
        <w:rPr>
          <w:sz w:val="23"/>
        </w:rPr>
        <w:t>developed</w:t>
      </w:r>
      <w:r>
        <w:rPr>
          <w:spacing w:val="-23"/>
          <w:sz w:val="23"/>
        </w:rPr>
        <w:t> </w:t>
      </w:r>
      <w:r>
        <w:rPr>
          <w:sz w:val="23"/>
        </w:rPr>
        <w:t>to</w:t>
      </w:r>
      <w:r>
        <w:rPr>
          <w:spacing w:val="-34"/>
          <w:sz w:val="23"/>
        </w:rPr>
        <w:t> </w:t>
      </w:r>
      <w:r>
        <w:rPr>
          <w:sz w:val="23"/>
        </w:rPr>
        <w:t>better</w:t>
      </w:r>
      <w:r>
        <w:rPr>
          <w:spacing w:val="-29"/>
          <w:sz w:val="23"/>
        </w:rPr>
        <w:t> </w:t>
      </w:r>
      <w:r>
        <w:rPr>
          <w:sz w:val="23"/>
        </w:rPr>
        <w:t>manage</w:t>
      </w:r>
      <w:r>
        <w:rPr>
          <w:spacing w:val="-22"/>
          <w:sz w:val="23"/>
        </w:rPr>
        <w:t> </w:t>
      </w:r>
      <w:r>
        <w:rPr>
          <w:sz w:val="23"/>
        </w:rPr>
        <w:t>and</w:t>
      </w:r>
      <w:r>
        <w:rPr>
          <w:spacing w:val="-25"/>
          <w:sz w:val="23"/>
        </w:rPr>
        <w:t> </w:t>
      </w:r>
      <w:r>
        <w:rPr>
          <w:sz w:val="23"/>
        </w:rPr>
        <w:t>adapt</w:t>
      </w:r>
      <w:r>
        <w:rPr>
          <w:spacing w:val="-32"/>
          <w:sz w:val="23"/>
        </w:rPr>
        <w:t> </w:t>
      </w:r>
      <w:r>
        <w:rPr>
          <w:sz w:val="23"/>
        </w:rPr>
        <w:t>to</w:t>
      </w:r>
      <w:r>
        <w:rPr>
          <w:spacing w:val="-31"/>
          <w:sz w:val="23"/>
        </w:rPr>
        <w:t> </w:t>
      </w:r>
      <w:r>
        <w:rPr>
          <w:sz w:val="23"/>
        </w:rPr>
        <w:t>any </w:t>
      </w:r>
      <w:r>
        <w:rPr>
          <w:sz w:val="22"/>
        </w:rPr>
        <w:t>increased</w:t>
      </w:r>
      <w:r>
        <w:rPr>
          <w:spacing w:val="-4"/>
          <w:sz w:val="22"/>
        </w:rPr>
        <w:t> </w:t>
      </w:r>
      <w:r>
        <w:rPr>
          <w:sz w:val="22"/>
        </w:rPr>
        <w:t>risk</w:t>
      </w:r>
      <w:r>
        <w:rPr>
          <w:spacing w:val="-3"/>
          <w:sz w:val="22"/>
        </w:rPr>
        <w:t> </w:t>
      </w:r>
      <w:r>
        <w:rPr>
          <w:sz w:val="22"/>
        </w:rPr>
        <w:t>of</w:t>
      </w:r>
      <w:r>
        <w:rPr>
          <w:spacing w:val="-19"/>
          <w:sz w:val="22"/>
        </w:rPr>
        <w:t> </w:t>
      </w:r>
      <w:r>
        <w:rPr>
          <w:sz w:val="22"/>
        </w:rPr>
        <w:t>local flooding.</w:t>
      </w:r>
      <w:r>
        <w:rPr>
          <w:spacing w:val="5"/>
          <w:sz w:val="22"/>
        </w:rPr>
        <w:t> </w:t>
      </w:r>
      <w:r>
        <w:rPr>
          <w:sz w:val="22"/>
        </w:rPr>
        <w:t>This</w:t>
      </w:r>
      <w:r>
        <w:rPr>
          <w:spacing w:val="-6"/>
          <w:sz w:val="22"/>
        </w:rPr>
        <w:t> </w:t>
      </w:r>
      <w:r>
        <w:rPr>
          <w:sz w:val="22"/>
        </w:rPr>
        <w:t>affects</w:t>
      </w:r>
      <w:r>
        <w:rPr>
          <w:spacing w:val="-7"/>
          <w:sz w:val="22"/>
        </w:rPr>
        <w:t> </w:t>
      </w:r>
      <w:r>
        <w:rPr>
          <w:sz w:val="22"/>
        </w:rPr>
        <w:t>the</w:t>
      </w:r>
      <w:r>
        <w:rPr>
          <w:spacing w:val="-14"/>
          <w:sz w:val="22"/>
        </w:rPr>
        <w:t> </w:t>
      </w:r>
      <w:r>
        <w:rPr>
          <w:sz w:val="22"/>
        </w:rPr>
        <w:t>functions</w:t>
      </w:r>
      <w:r>
        <w:rPr>
          <w:spacing w:val="4"/>
          <w:sz w:val="22"/>
        </w:rPr>
        <w:t> </w:t>
      </w:r>
      <w:r>
        <w:rPr>
          <w:sz w:val="22"/>
        </w:rPr>
        <w:t>of</w:t>
      </w:r>
      <w:r>
        <w:rPr>
          <w:spacing w:val="-6"/>
          <w:sz w:val="22"/>
        </w:rPr>
        <w:t> </w:t>
      </w:r>
      <w:r>
        <w:rPr>
          <w:sz w:val="22"/>
        </w:rPr>
        <w:t>all</w:t>
      </w:r>
      <w:r>
        <w:rPr>
          <w:spacing w:val="-6"/>
          <w:sz w:val="22"/>
        </w:rPr>
        <w:t> </w:t>
      </w:r>
      <w:r>
        <w:rPr>
          <w:sz w:val="22"/>
        </w:rPr>
        <w:t>RMAs</w:t>
      </w:r>
      <w:r>
        <w:rPr>
          <w:spacing w:val="-6"/>
          <w:sz w:val="22"/>
        </w:rPr>
        <w:t> </w:t>
      </w:r>
      <w:r>
        <w:rPr>
          <w:sz w:val="22"/>
        </w:rPr>
        <w:t>and</w:t>
      </w:r>
      <w:r>
        <w:rPr>
          <w:spacing w:val="-7"/>
          <w:sz w:val="22"/>
        </w:rPr>
        <w:t> </w:t>
      </w:r>
      <w:r>
        <w:rPr>
          <w:sz w:val="22"/>
        </w:rPr>
        <w:t>all</w:t>
      </w:r>
      <w:r>
        <w:rPr>
          <w:spacing w:val="-3"/>
          <w:sz w:val="22"/>
        </w:rPr>
        <w:t> </w:t>
      </w:r>
      <w:r>
        <w:rPr>
          <w:sz w:val="22"/>
        </w:rPr>
        <w:t>council</w:t>
      </w:r>
      <w:r>
        <w:rPr>
          <w:spacing w:val="-2"/>
          <w:sz w:val="22"/>
        </w:rPr>
        <w:t> </w:t>
      </w:r>
      <w:r>
        <w:rPr>
          <w:sz w:val="22"/>
        </w:rPr>
        <w:t>departments.</w:t>
      </w:r>
    </w:p>
    <w:p>
      <w:pPr>
        <w:pStyle w:val="ListParagraph"/>
        <w:numPr>
          <w:ilvl w:val="2"/>
          <w:numId w:val="13"/>
        </w:numPr>
        <w:tabs>
          <w:tab w:pos="982" w:val="left" w:leader="none"/>
          <w:tab w:pos="984" w:val="left" w:leader="none"/>
        </w:tabs>
        <w:spacing w:line="240" w:lineRule="auto" w:before="76" w:after="0"/>
        <w:ind w:left="983" w:right="0" w:hanging="863"/>
        <w:jc w:val="left"/>
        <w:rPr>
          <w:sz w:val="29"/>
        </w:rPr>
      </w:pPr>
      <w:r>
        <w:rPr>
          <w:w w:val="105"/>
          <w:sz w:val="23"/>
        </w:rPr>
        <w:t>LEEDS CLIMATE</w:t>
      </w:r>
      <w:r>
        <w:rPr>
          <w:spacing w:val="-22"/>
          <w:w w:val="105"/>
          <w:sz w:val="23"/>
        </w:rPr>
        <w:t> </w:t>
      </w:r>
      <w:r>
        <w:rPr>
          <w:w w:val="105"/>
          <w:sz w:val="23"/>
        </w:rPr>
        <w:t>COMMISSION</w:t>
      </w:r>
    </w:p>
    <w:p>
      <w:pPr>
        <w:pStyle w:val="BodyText"/>
        <w:spacing w:line="266" w:lineRule="auto" w:before="145"/>
        <w:ind w:left="975" w:right="588" w:firstLine="9"/>
        <w:jc w:val="both"/>
      </w:pPr>
      <w:r>
        <w:rPr/>
        <w:t>The</w:t>
      </w:r>
      <w:r>
        <w:rPr>
          <w:spacing w:val="-35"/>
        </w:rPr>
        <w:t> </w:t>
      </w:r>
      <w:r>
        <w:rPr/>
        <w:t>Leeds</w:t>
      </w:r>
      <w:r>
        <w:rPr>
          <w:spacing w:val="-39"/>
        </w:rPr>
        <w:t> </w:t>
      </w:r>
      <w:r>
        <w:rPr/>
        <w:t>Climate</w:t>
      </w:r>
      <w:r>
        <w:rPr>
          <w:spacing w:val="-28"/>
        </w:rPr>
        <w:t> </w:t>
      </w:r>
      <w:r>
        <w:rPr/>
        <w:t>Commission</w:t>
      </w:r>
      <w:r>
        <w:rPr>
          <w:spacing w:val="-25"/>
        </w:rPr>
        <w:t> </w:t>
      </w:r>
      <w:r>
        <w:rPr/>
        <w:t>was</w:t>
      </w:r>
      <w:r>
        <w:rPr>
          <w:spacing w:val="-38"/>
        </w:rPr>
        <w:t> </w:t>
      </w:r>
      <w:r>
        <w:rPr/>
        <w:t>established</w:t>
      </w:r>
      <w:r>
        <w:rPr>
          <w:spacing w:val="-30"/>
        </w:rPr>
        <w:t> </w:t>
      </w:r>
      <w:r>
        <w:rPr/>
        <w:t>in</w:t>
      </w:r>
      <w:r>
        <w:rPr>
          <w:spacing w:val="-34"/>
        </w:rPr>
        <w:t> </w:t>
      </w:r>
      <w:r>
        <w:rPr/>
        <w:t>2017</w:t>
      </w:r>
      <w:r>
        <w:rPr>
          <w:spacing w:val="-38"/>
        </w:rPr>
        <w:t> </w:t>
      </w:r>
      <w:r>
        <w:rPr/>
        <w:t>to</w:t>
      </w:r>
      <w:r>
        <w:rPr>
          <w:spacing w:val="-40"/>
        </w:rPr>
        <w:t> </w:t>
      </w:r>
      <w:r>
        <w:rPr/>
        <w:t>influence</w:t>
      </w:r>
      <w:r>
        <w:rPr>
          <w:spacing w:val="-32"/>
        </w:rPr>
        <w:t> </w:t>
      </w:r>
      <w:r>
        <w:rPr/>
        <w:t>positive</w:t>
      </w:r>
      <w:r>
        <w:rPr>
          <w:spacing w:val="-33"/>
        </w:rPr>
        <w:t> </w:t>
      </w:r>
      <w:r>
        <w:rPr/>
        <w:t>choices</w:t>
      </w:r>
      <w:r>
        <w:rPr>
          <w:spacing w:val="-31"/>
        </w:rPr>
        <w:t> </w:t>
      </w:r>
      <w:r>
        <w:rPr/>
        <w:t>on</w:t>
      </w:r>
      <w:r>
        <w:rPr>
          <w:spacing w:val="-39"/>
        </w:rPr>
        <w:t> </w:t>
      </w:r>
      <w:r>
        <w:rPr/>
        <w:t>issues relating</w:t>
      </w:r>
      <w:r>
        <w:rPr>
          <w:spacing w:val="-33"/>
        </w:rPr>
        <w:t> </w:t>
      </w:r>
      <w:r>
        <w:rPr/>
        <w:t>to</w:t>
      </w:r>
      <w:r>
        <w:rPr>
          <w:spacing w:val="-38"/>
        </w:rPr>
        <w:t> </w:t>
      </w:r>
      <w:r>
        <w:rPr/>
        <w:t>energy,</w:t>
      </w:r>
      <w:r>
        <w:rPr>
          <w:spacing w:val="-31"/>
        </w:rPr>
        <w:t> </w:t>
      </w:r>
      <w:r>
        <w:rPr/>
        <w:t>carbon,</w:t>
      </w:r>
      <w:r>
        <w:rPr>
          <w:spacing w:val="-32"/>
        </w:rPr>
        <w:t> </w:t>
      </w:r>
      <w:r>
        <w:rPr/>
        <w:t>weather</w:t>
      </w:r>
      <w:r>
        <w:rPr>
          <w:spacing w:val="-33"/>
        </w:rPr>
        <w:t> </w:t>
      </w:r>
      <w:r>
        <w:rPr/>
        <w:t>and</w:t>
      </w:r>
      <w:r>
        <w:rPr>
          <w:spacing w:val="-37"/>
        </w:rPr>
        <w:t> </w:t>
      </w:r>
      <w:r>
        <w:rPr/>
        <w:t>climate.</w:t>
      </w:r>
      <w:r>
        <w:rPr>
          <w:spacing w:val="-33"/>
        </w:rPr>
        <w:t> </w:t>
      </w:r>
      <w:r>
        <w:rPr/>
        <w:t>It</w:t>
      </w:r>
      <w:r>
        <w:rPr>
          <w:spacing w:val="-41"/>
        </w:rPr>
        <w:t> </w:t>
      </w:r>
      <w:r>
        <w:rPr/>
        <w:t>is</w:t>
      </w:r>
      <w:r>
        <w:rPr>
          <w:spacing w:val="-39"/>
        </w:rPr>
        <w:t> </w:t>
      </w:r>
      <w:r>
        <w:rPr/>
        <w:t>a</w:t>
      </w:r>
      <w:r>
        <w:rPr>
          <w:spacing w:val="-39"/>
        </w:rPr>
        <w:t> </w:t>
      </w:r>
      <w:r>
        <w:rPr/>
        <w:t>collaborative</w:t>
      </w:r>
      <w:r>
        <w:rPr>
          <w:spacing w:val="-31"/>
        </w:rPr>
        <w:t> </w:t>
      </w:r>
      <w:r>
        <w:rPr/>
        <w:t>effort</w:t>
      </w:r>
      <w:r>
        <w:rPr>
          <w:spacing w:val="-35"/>
        </w:rPr>
        <w:t> </w:t>
      </w:r>
      <w:r>
        <w:rPr/>
        <w:t>between</w:t>
      </w:r>
      <w:r>
        <w:rPr>
          <w:spacing w:val="-28"/>
        </w:rPr>
        <w:t> </w:t>
      </w:r>
      <w:r>
        <w:rPr/>
        <w:t>organisations and</w:t>
      </w:r>
      <w:r>
        <w:rPr>
          <w:spacing w:val="-9"/>
        </w:rPr>
        <w:t> </w:t>
      </w:r>
      <w:r>
        <w:rPr/>
        <w:t>actors</w:t>
      </w:r>
      <w:r>
        <w:rPr>
          <w:spacing w:val="-15"/>
        </w:rPr>
        <w:t> </w:t>
      </w:r>
      <w:r>
        <w:rPr/>
        <w:t>from</w:t>
      </w:r>
      <w:r>
        <w:rPr>
          <w:spacing w:val="-3"/>
        </w:rPr>
        <w:t> </w:t>
      </w:r>
      <w:r>
        <w:rPr/>
        <w:t>across</w:t>
      </w:r>
      <w:r>
        <w:rPr>
          <w:spacing w:val="-12"/>
        </w:rPr>
        <w:t> </w:t>
      </w:r>
      <w:r>
        <w:rPr/>
        <w:t>the</w:t>
      </w:r>
      <w:r>
        <w:rPr>
          <w:spacing w:val="-1"/>
        </w:rPr>
        <w:t> </w:t>
      </w:r>
      <w:r>
        <w:rPr/>
        <w:t>city</w:t>
      </w:r>
      <w:r>
        <w:rPr>
          <w:spacing w:val="-11"/>
        </w:rPr>
        <w:t> </w:t>
      </w:r>
      <w:r>
        <w:rPr/>
        <w:t>and</w:t>
      </w:r>
      <w:r>
        <w:rPr>
          <w:spacing w:val="-7"/>
        </w:rPr>
        <w:t> </w:t>
      </w:r>
      <w:r>
        <w:rPr/>
        <w:t>from</w:t>
      </w:r>
      <w:r>
        <w:rPr>
          <w:spacing w:val="-7"/>
        </w:rPr>
        <w:t> </w:t>
      </w:r>
      <w:r>
        <w:rPr/>
        <w:t>the</w:t>
      </w:r>
      <w:r>
        <w:rPr>
          <w:spacing w:val="-6"/>
        </w:rPr>
        <w:t> </w:t>
      </w:r>
      <w:r>
        <w:rPr/>
        <w:t>public,</w:t>
      </w:r>
      <w:r>
        <w:rPr>
          <w:spacing w:val="-5"/>
        </w:rPr>
        <w:t> </w:t>
      </w:r>
      <w:r>
        <w:rPr/>
        <w:t>private</w:t>
      </w:r>
      <w:r>
        <w:rPr>
          <w:spacing w:val="-4"/>
        </w:rPr>
        <w:t> </w:t>
      </w:r>
      <w:r>
        <w:rPr/>
        <w:t>and</w:t>
      </w:r>
      <w:r>
        <w:rPr>
          <w:spacing w:val="-9"/>
        </w:rPr>
        <w:t> </w:t>
      </w:r>
      <w:r>
        <w:rPr/>
        <w:t>third</w:t>
      </w:r>
      <w:r>
        <w:rPr>
          <w:spacing w:val="-5"/>
        </w:rPr>
        <w:t> </w:t>
      </w:r>
      <w:r>
        <w:rPr/>
        <w:t>sectors.</w:t>
      </w:r>
    </w:p>
    <w:p>
      <w:pPr>
        <w:pStyle w:val="BodyText"/>
        <w:spacing w:line="271" w:lineRule="auto" w:before="108"/>
        <w:ind w:left="983" w:right="221" w:hanging="3"/>
      </w:pPr>
      <w:r>
        <w:rPr/>
        <w:t>A</w:t>
      </w:r>
      <w:r>
        <w:rPr>
          <w:spacing w:val="-35"/>
        </w:rPr>
        <w:t> </w:t>
      </w:r>
      <w:r>
        <w:rPr/>
        <w:t>strategy</w:t>
      </w:r>
      <w:r>
        <w:rPr>
          <w:spacing w:val="-29"/>
        </w:rPr>
        <w:t> </w:t>
      </w:r>
      <w:r>
        <w:rPr/>
        <w:t>group</w:t>
      </w:r>
      <w:r>
        <w:rPr>
          <w:spacing w:val="-30"/>
        </w:rPr>
        <w:t> </w:t>
      </w:r>
      <w:r>
        <w:rPr/>
        <w:t>leads</w:t>
      </w:r>
      <w:r>
        <w:rPr>
          <w:spacing w:val="-37"/>
        </w:rPr>
        <w:t> </w:t>
      </w:r>
      <w:r>
        <w:rPr/>
        <w:t>the</w:t>
      </w:r>
      <w:r>
        <w:rPr>
          <w:spacing w:val="-37"/>
        </w:rPr>
        <w:t> </w:t>
      </w:r>
      <w:r>
        <w:rPr/>
        <w:t>commission,</w:t>
      </w:r>
      <w:r>
        <w:rPr>
          <w:spacing w:val="-25"/>
        </w:rPr>
        <w:t> </w:t>
      </w:r>
      <w:r>
        <w:rPr/>
        <w:t>which</w:t>
      </w:r>
      <w:r>
        <w:rPr>
          <w:spacing w:val="-38"/>
        </w:rPr>
        <w:t> </w:t>
      </w:r>
      <w:r>
        <w:rPr/>
        <w:t>is</w:t>
      </w:r>
      <w:r>
        <w:rPr>
          <w:spacing w:val="-38"/>
        </w:rPr>
        <w:t> </w:t>
      </w:r>
      <w:r>
        <w:rPr/>
        <w:t>chaired</w:t>
      </w:r>
      <w:r>
        <w:rPr>
          <w:spacing w:val="-36"/>
        </w:rPr>
        <w:t> </w:t>
      </w:r>
      <w:r>
        <w:rPr/>
        <w:t>by</w:t>
      </w:r>
      <w:r>
        <w:rPr>
          <w:spacing w:val="-34"/>
        </w:rPr>
        <w:t> </w:t>
      </w:r>
      <w:r>
        <w:rPr/>
        <w:t>Professor</w:t>
      </w:r>
      <w:r>
        <w:rPr>
          <w:spacing w:val="-30"/>
        </w:rPr>
        <w:t> </w:t>
      </w:r>
      <w:r>
        <w:rPr/>
        <w:t>Andy</w:t>
      </w:r>
      <w:r>
        <w:rPr>
          <w:spacing w:val="-35"/>
        </w:rPr>
        <w:t> </w:t>
      </w:r>
      <w:r>
        <w:rPr/>
        <w:t>Gouldson</w:t>
      </w:r>
      <w:r>
        <w:rPr>
          <w:spacing w:val="-30"/>
        </w:rPr>
        <w:t> </w:t>
      </w:r>
      <w:r>
        <w:rPr/>
        <w:t>(University</w:t>
      </w:r>
      <w:r>
        <w:rPr>
          <w:spacing w:val="-27"/>
        </w:rPr>
        <w:t> </w:t>
      </w:r>
      <w:r>
        <w:rPr/>
        <w:t>of Leeds), with the vice chair from Leeds City Council (Councillor James</w:t>
      </w:r>
      <w:r>
        <w:rPr>
          <w:spacing w:val="-46"/>
        </w:rPr>
        <w:t> </w:t>
      </w:r>
      <w:r>
        <w:rPr/>
        <w:t>Lewis).</w:t>
      </w:r>
    </w:p>
    <w:p>
      <w:pPr>
        <w:pStyle w:val="BodyText"/>
        <w:spacing w:before="113"/>
        <w:ind w:left="984"/>
      </w:pPr>
      <w:r>
        <w:rPr/>
        <w:t>The purpose of the Leeds Climate Commission is to:</w:t>
      </w:r>
    </w:p>
    <w:p>
      <w:pPr>
        <w:pStyle w:val="ListParagraph"/>
        <w:numPr>
          <w:ilvl w:val="3"/>
          <w:numId w:val="13"/>
        </w:numPr>
        <w:tabs>
          <w:tab w:pos="1405" w:val="left" w:leader="none"/>
        </w:tabs>
        <w:spacing w:line="240" w:lineRule="auto" w:before="138" w:after="0"/>
        <w:ind w:left="1398" w:right="0" w:hanging="267"/>
        <w:jc w:val="left"/>
        <w:rPr>
          <w:color w:val="FF5644"/>
          <w:sz w:val="23"/>
        </w:rPr>
      </w:pPr>
      <w:r>
        <w:rPr>
          <w:sz w:val="23"/>
        </w:rPr>
        <w:t>Promote</w:t>
      </w:r>
      <w:r>
        <w:rPr>
          <w:spacing w:val="-21"/>
          <w:sz w:val="23"/>
        </w:rPr>
        <w:t> </w:t>
      </w:r>
      <w:r>
        <w:rPr>
          <w:sz w:val="23"/>
        </w:rPr>
        <w:t>leadership</w:t>
      </w:r>
      <w:r>
        <w:rPr>
          <w:spacing w:val="-11"/>
          <w:sz w:val="23"/>
        </w:rPr>
        <w:t> </w:t>
      </w:r>
      <w:r>
        <w:rPr>
          <w:sz w:val="23"/>
        </w:rPr>
        <w:t>in</w:t>
      </w:r>
      <w:r>
        <w:rPr>
          <w:spacing w:val="-27"/>
          <w:sz w:val="23"/>
        </w:rPr>
        <w:t> </w:t>
      </w:r>
      <w:r>
        <w:rPr>
          <w:sz w:val="23"/>
        </w:rPr>
        <w:t>the</w:t>
      </w:r>
      <w:r>
        <w:rPr>
          <w:spacing w:val="-24"/>
          <w:sz w:val="23"/>
        </w:rPr>
        <w:t> </w:t>
      </w:r>
      <w:r>
        <w:rPr>
          <w:sz w:val="23"/>
        </w:rPr>
        <w:t>city</w:t>
      </w:r>
      <w:r>
        <w:rPr>
          <w:spacing w:val="-24"/>
          <w:sz w:val="23"/>
        </w:rPr>
        <w:t> </w:t>
      </w:r>
      <w:r>
        <w:rPr>
          <w:sz w:val="23"/>
        </w:rPr>
        <w:t>on</w:t>
      </w:r>
      <w:r>
        <w:rPr>
          <w:spacing w:val="-23"/>
          <w:sz w:val="23"/>
        </w:rPr>
        <w:t> </w:t>
      </w:r>
      <w:r>
        <w:rPr>
          <w:sz w:val="23"/>
        </w:rPr>
        <w:t>climate</w:t>
      </w:r>
      <w:r>
        <w:rPr>
          <w:spacing w:val="-19"/>
          <w:sz w:val="23"/>
        </w:rPr>
        <w:t> </w:t>
      </w:r>
      <w:r>
        <w:rPr>
          <w:sz w:val="23"/>
        </w:rPr>
        <w:t>change,</w:t>
      </w:r>
      <w:r>
        <w:rPr>
          <w:spacing w:val="-17"/>
          <w:sz w:val="23"/>
        </w:rPr>
        <w:t> </w:t>
      </w:r>
      <w:r>
        <w:rPr>
          <w:sz w:val="23"/>
        </w:rPr>
        <w:t>encouraging</w:t>
      </w:r>
      <w:r>
        <w:rPr>
          <w:spacing w:val="-10"/>
          <w:sz w:val="23"/>
        </w:rPr>
        <w:t> </w:t>
      </w:r>
      <w:r>
        <w:rPr>
          <w:sz w:val="23"/>
        </w:rPr>
        <w:t>stakeholders</w:t>
      </w:r>
      <w:r>
        <w:rPr>
          <w:spacing w:val="-21"/>
          <w:sz w:val="23"/>
        </w:rPr>
        <w:t> </w:t>
      </w:r>
      <w:r>
        <w:rPr>
          <w:sz w:val="23"/>
        </w:rPr>
        <w:t>to</w:t>
      </w:r>
      <w:r>
        <w:rPr>
          <w:spacing w:val="-28"/>
          <w:sz w:val="23"/>
        </w:rPr>
        <w:t> </w:t>
      </w:r>
      <w:r>
        <w:rPr>
          <w:sz w:val="23"/>
        </w:rPr>
        <w:t>take</w:t>
      </w:r>
      <w:r>
        <w:rPr>
          <w:spacing w:val="-22"/>
          <w:sz w:val="23"/>
        </w:rPr>
        <w:t> </w:t>
      </w:r>
      <w:r>
        <w:rPr>
          <w:sz w:val="23"/>
        </w:rPr>
        <w:t>effective</w:t>
      </w:r>
    </w:p>
    <w:p>
      <w:pPr>
        <w:spacing w:before="43"/>
        <w:ind w:left="1404" w:right="0" w:firstLine="0"/>
        <w:jc w:val="left"/>
        <w:rPr>
          <w:sz w:val="22"/>
        </w:rPr>
      </w:pPr>
      <w:r>
        <w:rPr>
          <w:sz w:val="22"/>
        </w:rPr>
        <w:t>action now, while maintaining a long-term perspective;</w:t>
      </w:r>
    </w:p>
    <w:p>
      <w:pPr>
        <w:pStyle w:val="ListParagraph"/>
        <w:numPr>
          <w:ilvl w:val="3"/>
          <w:numId w:val="13"/>
        </w:numPr>
        <w:tabs>
          <w:tab w:pos="1405" w:val="left" w:leader="none"/>
        </w:tabs>
        <w:spacing w:line="276" w:lineRule="auto" w:before="25" w:after="0"/>
        <w:ind w:left="1398" w:right="276" w:hanging="267"/>
        <w:jc w:val="left"/>
        <w:rPr>
          <w:color w:val="FF2626"/>
          <w:sz w:val="23"/>
        </w:rPr>
      </w:pPr>
      <w:r>
        <w:rPr>
          <w:sz w:val="23"/>
        </w:rPr>
        <w:t>Provide</w:t>
      </w:r>
      <w:r>
        <w:rPr>
          <w:spacing w:val="-34"/>
          <w:sz w:val="23"/>
        </w:rPr>
        <w:t> </w:t>
      </w:r>
      <w:r>
        <w:rPr>
          <w:sz w:val="23"/>
        </w:rPr>
        <w:t>authoritative</w:t>
      </w:r>
      <w:r>
        <w:rPr>
          <w:spacing w:val="-30"/>
          <w:sz w:val="23"/>
        </w:rPr>
        <w:t> </w:t>
      </w:r>
      <w:r>
        <w:rPr>
          <w:sz w:val="23"/>
        </w:rPr>
        <w:t>independent</w:t>
      </w:r>
      <w:r>
        <w:rPr>
          <w:spacing w:val="-24"/>
          <w:sz w:val="23"/>
        </w:rPr>
        <w:t> </w:t>
      </w:r>
      <w:r>
        <w:rPr>
          <w:sz w:val="23"/>
        </w:rPr>
        <w:t>advice</w:t>
      </w:r>
      <w:r>
        <w:rPr>
          <w:spacing w:val="-30"/>
          <w:sz w:val="23"/>
        </w:rPr>
        <w:t> </w:t>
      </w:r>
      <w:r>
        <w:rPr>
          <w:sz w:val="23"/>
        </w:rPr>
        <w:t>on</w:t>
      </w:r>
      <w:r>
        <w:rPr>
          <w:spacing w:val="-40"/>
          <w:sz w:val="23"/>
        </w:rPr>
        <w:t> </w:t>
      </w:r>
      <w:r>
        <w:rPr>
          <w:sz w:val="23"/>
        </w:rPr>
        <w:t>the</w:t>
      </w:r>
      <w:r>
        <w:rPr>
          <w:spacing w:val="-39"/>
          <w:sz w:val="23"/>
        </w:rPr>
        <w:t> </w:t>
      </w:r>
      <w:r>
        <w:rPr>
          <w:sz w:val="23"/>
        </w:rPr>
        <w:t>most</w:t>
      </w:r>
      <w:r>
        <w:rPr>
          <w:spacing w:val="-33"/>
          <w:sz w:val="23"/>
        </w:rPr>
        <w:t> </w:t>
      </w:r>
      <w:r>
        <w:rPr>
          <w:sz w:val="23"/>
        </w:rPr>
        <w:t>effective</w:t>
      </w:r>
      <w:r>
        <w:rPr>
          <w:spacing w:val="-28"/>
          <w:sz w:val="23"/>
        </w:rPr>
        <w:t> </w:t>
      </w:r>
      <w:r>
        <w:rPr>
          <w:sz w:val="23"/>
        </w:rPr>
        <w:t>steps</w:t>
      </w:r>
      <w:r>
        <w:rPr>
          <w:spacing w:val="-37"/>
          <w:sz w:val="23"/>
        </w:rPr>
        <w:t> </w:t>
      </w:r>
      <w:r>
        <w:rPr>
          <w:sz w:val="23"/>
        </w:rPr>
        <w:t>required</w:t>
      </w:r>
      <w:r>
        <w:rPr>
          <w:spacing w:val="-36"/>
          <w:sz w:val="23"/>
        </w:rPr>
        <w:t> </w:t>
      </w:r>
      <w:r>
        <w:rPr>
          <w:sz w:val="23"/>
        </w:rPr>
        <w:t>to</w:t>
      </w:r>
      <w:r>
        <w:rPr>
          <w:spacing w:val="-41"/>
          <w:sz w:val="23"/>
        </w:rPr>
        <w:t> </w:t>
      </w:r>
      <w:r>
        <w:rPr>
          <w:sz w:val="23"/>
        </w:rPr>
        <w:t>meet</w:t>
      </w:r>
      <w:r>
        <w:rPr>
          <w:spacing w:val="-34"/>
          <w:sz w:val="23"/>
        </w:rPr>
        <w:t> </w:t>
      </w:r>
      <w:r>
        <w:rPr>
          <w:sz w:val="23"/>
        </w:rPr>
        <w:t>the</w:t>
      </w:r>
      <w:r>
        <w:rPr>
          <w:spacing w:val="-37"/>
          <w:sz w:val="23"/>
        </w:rPr>
        <w:t> </w:t>
      </w:r>
      <w:r>
        <w:rPr>
          <w:sz w:val="23"/>
        </w:rPr>
        <w:t>city’s </w:t>
      </w:r>
      <w:r>
        <w:rPr>
          <w:sz w:val="22"/>
        </w:rPr>
        <w:t>carbon reduction target so as to inform policies and actions of local stakeholders and decision makers;</w:t>
      </w:r>
    </w:p>
    <w:p>
      <w:pPr>
        <w:pStyle w:val="ListParagraph"/>
        <w:numPr>
          <w:ilvl w:val="3"/>
          <w:numId w:val="13"/>
        </w:numPr>
        <w:tabs>
          <w:tab w:pos="1405" w:val="left" w:leader="none"/>
        </w:tabs>
        <w:spacing w:line="261" w:lineRule="auto" w:before="0" w:after="0"/>
        <w:ind w:left="1399" w:right="302" w:hanging="268"/>
        <w:jc w:val="left"/>
        <w:rPr>
          <w:color w:val="F26038"/>
          <w:sz w:val="23"/>
        </w:rPr>
      </w:pPr>
      <w:r>
        <w:rPr>
          <w:sz w:val="23"/>
        </w:rPr>
        <w:t>Monitor</w:t>
      </w:r>
      <w:r>
        <w:rPr>
          <w:spacing w:val="-36"/>
          <w:sz w:val="23"/>
        </w:rPr>
        <w:t> </w:t>
      </w:r>
      <w:r>
        <w:rPr>
          <w:sz w:val="23"/>
        </w:rPr>
        <w:t>progress</w:t>
      </w:r>
      <w:r>
        <w:rPr>
          <w:spacing w:val="-33"/>
          <w:sz w:val="23"/>
        </w:rPr>
        <w:t> </w:t>
      </w:r>
      <w:r>
        <w:rPr>
          <w:sz w:val="23"/>
        </w:rPr>
        <w:t>towards</w:t>
      </w:r>
      <w:r>
        <w:rPr>
          <w:spacing w:val="-35"/>
          <w:sz w:val="23"/>
        </w:rPr>
        <w:t> </w:t>
      </w:r>
      <w:r>
        <w:rPr>
          <w:sz w:val="23"/>
        </w:rPr>
        <w:t>meeting</w:t>
      </w:r>
      <w:r>
        <w:rPr>
          <w:spacing w:val="-32"/>
          <w:sz w:val="23"/>
        </w:rPr>
        <w:t> </w:t>
      </w:r>
      <w:r>
        <w:rPr>
          <w:sz w:val="23"/>
        </w:rPr>
        <w:t>the</w:t>
      </w:r>
      <w:r>
        <w:rPr>
          <w:spacing w:val="-32"/>
          <w:sz w:val="23"/>
        </w:rPr>
        <w:t> </w:t>
      </w:r>
      <w:r>
        <w:rPr>
          <w:sz w:val="23"/>
        </w:rPr>
        <w:t>city’s</w:t>
      </w:r>
      <w:r>
        <w:rPr>
          <w:spacing w:val="-34"/>
          <w:sz w:val="23"/>
        </w:rPr>
        <w:t> </w:t>
      </w:r>
      <w:r>
        <w:rPr>
          <w:sz w:val="23"/>
        </w:rPr>
        <w:t>carbon</w:t>
      </w:r>
      <w:r>
        <w:rPr>
          <w:spacing w:val="-34"/>
          <w:sz w:val="23"/>
        </w:rPr>
        <w:t> </w:t>
      </w:r>
      <w:r>
        <w:rPr>
          <w:sz w:val="23"/>
        </w:rPr>
        <w:t>targets</w:t>
      </w:r>
      <w:r>
        <w:rPr>
          <w:spacing w:val="-32"/>
          <w:sz w:val="23"/>
        </w:rPr>
        <w:t> </w:t>
      </w:r>
      <w:r>
        <w:rPr>
          <w:sz w:val="23"/>
        </w:rPr>
        <w:t>and</w:t>
      </w:r>
      <w:r>
        <w:rPr>
          <w:spacing w:val="-38"/>
          <w:sz w:val="23"/>
        </w:rPr>
        <w:t> </w:t>
      </w:r>
      <w:r>
        <w:rPr>
          <w:sz w:val="23"/>
        </w:rPr>
        <w:t>recommend</w:t>
      </w:r>
      <w:r>
        <w:rPr>
          <w:spacing w:val="-30"/>
          <w:sz w:val="23"/>
        </w:rPr>
        <w:t> </w:t>
      </w:r>
      <w:r>
        <w:rPr>
          <w:sz w:val="23"/>
        </w:rPr>
        <w:t>actions</w:t>
      </w:r>
      <w:r>
        <w:rPr>
          <w:spacing w:val="-35"/>
          <w:sz w:val="23"/>
        </w:rPr>
        <w:t> </w:t>
      </w:r>
      <w:r>
        <w:rPr>
          <w:sz w:val="23"/>
        </w:rPr>
        <w:t>to</w:t>
      </w:r>
      <w:r>
        <w:rPr>
          <w:spacing w:val="-40"/>
          <w:sz w:val="23"/>
        </w:rPr>
        <w:t> </w:t>
      </w:r>
      <w:r>
        <w:rPr>
          <w:sz w:val="23"/>
        </w:rPr>
        <w:t>keep</w:t>
      </w:r>
      <w:r>
        <w:rPr>
          <w:spacing w:val="-25"/>
          <w:sz w:val="23"/>
        </w:rPr>
        <w:t> </w:t>
      </w:r>
      <w:r>
        <w:rPr>
          <w:sz w:val="23"/>
        </w:rPr>
        <w:t>on track;</w:t>
      </w:r>
    </w:p>
    <w:p>
      <w:pPr>
        <w:pStyle w:val="ListParagraph"/>
        <w:numPr>
          <w:ilvl w:val="3"/>
          <w:numId w:val="13"/>
        </w:numPr>
        <w:tabs>
          <w:tab w:pos="1404" w:val="left" w:leader="none"/>
        </w:tabs>
        <w:spacing w:line="240" w:lineRule="auto" w:before="0" w:after="0"/>
        <w:ind w:left="1403" w:right="0" w:hanging="272"/>
        <w:jc w:val="left"/>
        <w:rPr>
          <w:color w:val="EF2F26"/>
          <w:sz w:val="23"/>
        </w:rPr>
      </w:pPr>
      <w:r>
        <w:rPr>
          <w:sz w:val="23"/>
        </w:rPr>
        <w:t>Advise</w:t>
      </w:r>
      <w:r>
        <w:rPr>
          <w:spacing w:val="-19"/>
          <w:sz w:val="23"/>
        </w:rPr>
        <w:t> </w:t>
      </w:r>
      <w:r>
        <w:rPr>
          <w:sz w:val="23"/>
        </w:rPr>
        <w:t>on</w:t>
      </w:r>
      <w:r>
        <w:rPr>
          <w:spacing w:val="-25"/>
          <w:sz w:val="23"/>
        </w:rPr>
        <w:t> </w:t>
      </w:r>
      <w:r>
        <w:rPr>
          <w:sz w:val="23"/>
        </w:rPr>
        <w:t>the</w:t>
      </w:r>
      <w:r>
        <w:rPr>
          <w:spacing w:val="-23"/>
          <w:sz w:val="23"/>
        </w:rPr>
        <w:t> </w:t>
      </w:r>
      <w:r>
        <w:rPr>
          <w:sz w:val="23"/>
        </w:rPr>
        <w:t>assessment</w:t>
      </w:r>
      <w:r>
        <w:rPr>
          <w:spacing w:val="-3"/>
          <w:sz w:val="23"/>
        </w:rPr>
        <w:t> </w:t>
      </w:r>
      <w:r>
        <w:rPr>
          <w:sz w:val="23"/>
        </w:rPr>
        <w:t>of</w:t>
      </w:r>
      <w:r>
        <w:rPr>
          <w:spacing w:val="-24"/>
          <w:sz w:val="23"/>
        </w:rPr>
        <w:t> </w:t>
      </w:r>
      <w:r>
        <w:rPr>
          <w:sz w:val="23"/>
        </w:rPr>
        <w:t>the</w:t>
      </w:r>
      <w:r>
        <w:rPr>
          <w:spacing w:val="-24"/>
          <w:sz w:val="23"/>
        </w:rPr>
        <w:t> </w:t>
      </w:r>
      <w:r>
        <w:rPr>
          <w:sz w:val="23"/>
        </w:rPr>
        <w:t>climate-related</w:t>
      </w:r>
      <w:r>
        <w:rPr>
          <w:spacing w:val="-31"/>
          <w:sz w:val="23"/>
        </w:rPr>
        <w:t> </w:t>
      </w:r>
      <w:r>
        <w:rPr>
          <w:sz w:val="23"/>
        </w:rPr>
        <w:t>risks</w:t>
      </w:r>
      <w:r>
        <w:rPr>
          <w:spacing w:val="-20"/>
          <w:sz w:val="23"/>
        </w:rPr>
        <w:t> </w:t>
      </w:r>
      <w:r>
        <w:rPr>
          <w:sz w:val="23"/>
        </w:rPr>
        <w:t>and</w:t>
      </w:r>
      <w:r>
        <w:rPr>
          <w:spacing w:val="-20"/>
          <w:sz w:val="23"/>
        </w:rPr>
        <w:t> </w:t>
      </w:r>
      <w:r>
        <w:rPr>
          <w:sz w:val="23"/>
        </w:rPr>
        <w:t>adaptation</w:t>
      </w:r>
      <w:r>
        <w:rPr>
          <w:spacing w:val="-11"/>
          <w:sz w:val="23"/>
        </w:rPr>
        <w:t> </w:t>
      </w:r>
      <w:r>
        <w:rPr>
          <w:sz w:val="23"/>
        </w:rPr>
        <w:t>opportunities</w:t>
      </w:r>
      <w:r>
        <w:rPr>
          <w:spacing w:val="-15"/>
          <w:sz w:val="23"/>
        </w:rPr>
        <w:t> </w:t>
      </w:r>
      <w:r>
        <w:rPr>
          <w:sz w:val="23"/>
        </w:rPr>
        <w:t>in</w:t>
      </w:r>
      <w:r>
        <w:rPr>
          <w:spacing w:val="-25"/>
          <w:sz w:val="23"/>
        </w:rPr>
        <w:t> </w:t>
      </w:r>
      <w:r>
        <w:rPr>
          <w:sz w:val="23"/>
        </w:rPr>
        <w:t>the</w:t>
      </w:r>
      <w:r>
        <w:rPr>
          <w:spacing w:val="-24"/>
          <w:sz w:val="23"/>
        </w:rPr>
        <w:t> </w:t>
      </w:r>
      <w:r>
        <w:rPr>
          <w:sz w:val="23"/>
        </w:rPr>
        <w:t>city</w:t>
      </w:r>
    </w:p>
    <w:p>
      <w:pPr>
        <w:spacing w:before="30"/>
        <w:ind w:left="1404" w:right="0" w:firstLine="0"/>
        <w:jc w:val="left"/>
        <w:rPr>
          <w:sz w:val="22"/>
        </w:rPr>
      </w:pPr>
      <w:r>
        <w:rPr>
          <w:sz w:val="22"/>
        </w:rPr>
        <w:t>and on progress towards climate resilience;</w:t>
      </w:r>
    </w:p>
    <w:p>
      <w:pPr>
        <w:pStyle w:val="ListParagraph"/>
        <w:numPr>
          <w:ilvl w:val="3"/>
          <w:numId w:val="13"/>
        </w:numPr>
        <w:tabs>
          <w:tab w:pos="1407" w:val="left" w:leader="none"/>
        </w:tabs>
        <w:spacing w:line="271" w:lineRule="auto" w:before="35" w:after="0"/>
        <w:ind w:left="1397" w:right="388" w:hanging="265"/>
        <w:jc w:val="left"/>
        <w:rPr>
          <w:color w:val="F93834"/>
          <w:sz w:val="22"/>
        </w:rPr>
      </w:pPr>
      <w:r>
        <w:rPr>
          <w:sz w:val="22"/>
        </w:rPr>
        <w:t>Bring together major organisations and key groups in Leeds to collaborate on projects that </w:t>
      </w:r>
      <w:r>
        <w:rPr>
          <w:sz w:val="23"/>
        </w:rPr>
        <w:t>result</w:t>
      </w:r>
      <w:r>
        <w:rPr>
          <w:spacing w:val="-36"/>
          <w:sz w:val="23"/>
        </w:rPr>
        <w:t> </w:t>
      </w:r>
      <w:r>
        <w:rPr>
          <w:sz w:val="23"/>
        </w:rPr>
        <w:t>in</w:t>
      </w:r>
      <w:r>
        <w:rPr>
          <w:spacing w:val="-40"/>
          <w:sz w:val="23"/>
        </w:rPr>
        <w:t> </w:t>
      </w:r>
      <w:r>
        <w:rPr>
          <w:sz w:val="23"/>
        </w:rPr>
        <w:t>measurable</w:t>
      </w:r>
      <w:r>
        <w:rPr>
          <w:spacing w:val="-29"/>
          <w:sz w:val="23"/>
        </w:rPr>
        <w:t> </w:t>
      </w:r>
      <w:r>
        <w:rPr>
          <w:sz w:val="23"/>
        </w:rPr>
        <w:t>contributions</w:t>
      </w:r>
      <w:r>
        <w:rPr>
          <w:spacing w:val="-34"/>
          <w:sz w:val="23"/>
        </w:rPr>
        <w:t> </w:t>
      </w:r>
      <w:r>
        <w:rPr>
          <w:sz w:val="23"/>
        </w:rPr>
        <w:t>towards</w:t>
      </w:r>
      <w:r>
        <w:rPr>
          <w:spacing w:val="-36"/>
          <w:sz w:val="23"/>
        </w:rPr>
        <w:t> </w:t>
      </w:r>
      <w:r>
        <w:rPr>
          <w:sz w:val="23"/>
        </w:rPr>
        <w:t>meeting</w:t>
      </w:r>
      <w:r>
        <w:rPr>
          <w:spacing w:val="-33"/>
          <w:sz w:val="23"/>
        </w:rPr>
        <w:t> </w:t>
      </w:r>
      <w:r>
        <w:rPr>
          <w:sz w:val="23"/>
        </w:rPr>
        <w:t>the</w:t>
      </w:r>
      <w:r>
        <w:rPr>
          <w:spacing w:val="-38"/>
          <w:sz w:val="23"/>
        </w:rPr>
        <w:t> </w:t>
      </w:r>
      <w:r>
        <w:rPr>
          <w:sz w:val="23"/>
        </w:rPr>
        <w:t>city’s</w:t>
      </w:r>
      <w:r>
        <w:rPr>
          <w:spacing w:val="-35"/>
          <w:sz w:val="23"/>
        </w:rPr>
        <w:t> </w:t>
      </w:r>
      <w:r>
        <w:rPr>
          <w:sz w:val="23"/>
        </w:rPr>
        <w:t>climate</w:t>
      </w:r>
      <w:r>
        <w:rPr>
          <w:spacing w:val="-37"/>
          <w:sz w:val="23"/>
        </w:rPr>
        <w:t> </w:t>
      </w:r>
      <w:r>
        <w:rPr>
          <w:sz w:val="23"/>
        </w:rPr>
        <w:t>reduction</w:t>
      </w:r>
      <w:r>
        <w:rPr>
          <w:spacing w:val="-31"/>
          <w:sz w:val="23"/>
        </w:rPr>
        <w:t> </w:t>
      </w:r>
      <w:r>
        <w:rPr>
          <w:sz w:val="23"/>
        </w:rPr>
        <w:t>target</w:t>
      </w:r>
      <w:r>
        <w:rPr>
          <w:spacing w:val="-33"/>
          <w:sz w:val="23"/>
        </w:rPr>
        <w:t> </w:t>
      </w:r>
      <w:r>
        <w:rPr>
          <w:sz w:val="23"/>
        </w:rPr>
        <w:t>and</w:t>
      </w:r>
      <w:r>
        <w:rPr>
          <w:spacing w:val="-35"/>
          <w:sz w:val="23"/>
        </w:rPr>
        <w:t> </w:t>
      </w:r>
      <w:r>
        <w:rPr>
          <w:sz w:val="23"/>
        </w:rPr>
        <w:t>also</w:t>
      </w:r>
      <w:r>
        <w:rPr>
          <w:sz w:val="23"/>
          <w:u w:val="thick"/>
        </w:rPr>
        <w:t> </w:t>
      </w:r>
      <w:r>
        <w:rPr>
          <w:sz w:val="22"/>
          <w:u w:val="thick"/>
        </w:rPr>
        <w:t>to deliver enhanced climate resilience, particularly in the area of flood</w:t>
      </w:r>
      <w:r>
        <w:rPr>
          <w:spacing w:val="8"/>
          <w:sz w:val="22"/>
          <w:u w:val="thick"/>
        </w:rPr>
        <w:t> </w:t>
      </w:r>
      <w:r>
        <w:rPr>
          <w:sz w:val="22"/>
          <w:u w:val="thick"/>
        </w:rPr>
        <w:t>risk</w:t>
      </w:r>
      <w:r>
        <w:rPr>
          <w:sz w:val="22"/>
        </w:rPr>
        <w:t>;</w:t>
      </w:r>
    </w:p>
    <w:p>
      <w:pPr>
        <w:pStyle w:val="ListParagraph"/>
        <w:numPr>
          <w:ilvl w:val="3"/>
          <w:numId w:val="13"/>
        </w:numPr>
        <w:tabs>
          <w:tab w:pos="1405" w:val="left" w:leader="none"/>
        </w:tabs>
        <w:spacing w:line="258" w:lineRule="exact" w:before="0" w:after="0"/>
        <w:ind w:left="1398" w:right="0" w:hanging="267"/>
        <w:jc w:val="left"/>
        <w:rPr>
          <w:color w:val="FF413A"/>
          <w:sz w:val="23"/>
        </w:rPr>
      </w:pPr>
      <w:r>
        <w:rPr>
          <w:sz w:val="23"/>
        </w:rPr>
        <w:t>Promote</w:t>
      </w:r>
      <w:r>
        <w:rPr>
          <w:spacing w:val="-16"/>
          <w:sz w:val="23"/>
        </w:rPr>
        <w:t> </w:t>
      </w:r>
      <w:r>
        <w:rPr>
          <w:sz w:val="23"/>
        </w:rPr>
        <w:t>best</w:t>
      </w:r>
      <w:r>
        <w:rPr>
          <w:spacing w:val="-18"/>
          <w:sz w:val="23"/>
        </w:rPr>
        <w:t> </w:t>
      </w:r>
      <w:r>
        <w:rPr>
          <w:sz w:val="23"/>
        </w:rPr>
        <w:t>practice</w:t>
      </w:r>
      <w:r>
        <w:rPr>
          <w:spacing w:val="-10"/>
          <w:sz w:val="23"/>
        </w:rPr>
        <w:t> </w:t>
      </w:r>
      <w:r>
        <w:rPr>
          <w:sz w:val="23"/>
        </w:rPr>
        <w:t>in</w:t>
      </w:r>
      <w:r>
        <w:rPr>
          <w:spacing w:val="-22"/>
          <w:sz w:val="23"/>
        </w:rPr>
        <w:t> </w:t>
      </w:r>
      <w:r>
        <w:rPr>
          <w:sz w:val="23"/>
        </w:rPr>
        <w:t>public</w:t>
      </w:r>
      <w:r>
        <w:rPr>
          <w:spacing w:val="-7"/>
          <w:sz w:val="23"/>
        </w:rPr>
        <w:t> </w:t>
      </w:r>
      <w:r>
        <w:rPr>
          <w:sz w:val="23"/>
        </w:rPr>
        <w:t>engagement</w:t>
      </w:r>
      <w:r>
        <w:rPr>
          <w:spacing w:val="5"/>
          <w:sz w:val="23"/>
        </w:rPr>
        <w:t> </w:t>
      </w:r>
      <w:r>
        <w:rPr>
          <w:sz w:val="23"/>
        </w:rPr>
        <w:t>on</w:t>
      </w:r>
      <w:r>
        <w:rPr>
          <w:spacing w:val="-17"/>
          <w:sz w:val="23"/>
        </w:rPr>
        <w:t> </w:t>
      </w:r>
      <w:r>
        <w:rPr>
          <w:sz w:val="23"/>
        </w:rPr>
        <w:t>climate</w:t>
      </w:r>
      <w:r>
        <w:rPr>
          <w:spacing w:val="-13"/>
          <w:sz w:val="23"/>
        </w:rPr>
        <w:t> </w:t>
      </w:r>
      <w:r>
        <w:rPr>
          <w:sz w:val="23"/>
        </w:rPr>
        <w:t>change</w:t>
      </w:r>
      <w:r>
        <w:rPr>
          <w:spacing w:val="-10"/>
          <w:sz w:val="23"/>
        </w:rPr>
        <w:t> </w:t>
      </w:r>
      <w:r>
        <w:rPr>
          <w:sz w:val="23"/>
        </w:rPr>
        <w:t>and</w:t>
      </w:r>
      <w:r>
        <w:rPr>
          <w:spacing w:val="-20"/>
          <w:sz w:val="23"/>
        </w:rPr>
        <w:t> </w:t>
      </w:r>
      <w:r>
        <w:rPr>
          <w:sz w:val="23"/>
        </w:rPr>
        <w:t>its</w:t>
      </w:r>
      <w:r>
        <w:rPr>
          <w:spacing w:val="-24"/>
          <w:sz w:val="23"/>
        </w:rPr>
        <w:t> </w:t>
      </w:r>
      <w:r>
        <w:rPr>
          <w:sz w:val="23"/>
        </w:rPr>
        <w:t>impacts</w:t>
      </w:r>
      <w:r>
        <w:rPr>
          <w:spacing w:val="-13"/>
          <w:sz w:val="23"/>
        </w:rPr>
        <w:t> </w:t>
      </w:r>
      <w:r>
        <w:rPr>
          <w:sz w:val="23"/>
        </w:rPr>
        <w:t>in</w:t>
      </w:r>
      <w:r>
        <w:rPr>
          <w:spacing w:val="-16"/>
          <w:sz w:val="23"/>
        </w:rPr>
        <w:t> </w:t>
      </w:r>
      <w:r>
        <w:rPr>
          <w:sz w:val="23"/>
        </w:rPr>
        <w:t>order</w:t>
      </w:r>
      <w:r>
        <w:rPr>
          <w:spacing w:val="-18"/>
          <w:sz w:val="23"/>
        </w:rPr>
        <w:t> </w:t>
      </w:r>
      <w:r>
        <w:rPr>
          <w:sz w:val="23"/>
        </w:rPr>
        <w:t>to</w:t>
      </w:r>
    </w:p>
    <w:p>
      <w:pPr>
        <w:spacing w:before="42"/>
        <w:ind w:left="1405" w:right="0" w:firstLine="0"/>
        <w:jc w:val="left"/>
        <w:rPr>
          <w:sz w:val="22"/>
        </w:rPr>
      </w:pPr>
      <w:r>
        <w:rPr>
          <w:sz w:val="22"/>
        </w:rPr>
        <w:t>support robust decision-making;</w:t>
      </w:r>
    </w:p>
    <w:p>
      <w:pPr>
        <w:pStyle w:val="ListParagraph"/>
        <w:numPr>
          <w:ilvl w:val="3"/>
          <w:numId w:val="13"/>
        </w:numPr>
        <w:tabs>
          <w:tab w:pos="1404" w:val="left" w:leader="none"/>
        </w:tabs>
        <w:spacing w:line="273" w:lineRule="auto" w:before="35" w:after="0"/>
        <w:ind w:left="1398" w:right="610" w:hanging="266"/>
        <w:jc w:val="left"/>
        <w:rPr>
          <w:color w:val="DD4B26"/>
          <w:sz w:val="22"/>
        </w:rPr>
      </w:pPr>
      <w:r>
        <w:rPr>
          <w:sz w:val="22"/>
        </w:rPr>
        <w:t>Act as a forum where organisations can exchange ideas, research findings, information and best practice on carbon reduction and climate</w:t>
      </w:r>
      <w:r>
        <w:rPr>
          <w:spacing w:val="53"/>
          <w:sz w:val="22"/>
        </w:rPr>
        <w:t> </w:t>
      </w:r>
      <w:r>
        <w:rPr>
          <w:sz w:val="22"/>
        </w:rPr>
        <w:t>resilience.</w:t>
      </w:r>
    </w:p>
    <w:p>
      <w:pPr>
        <w:pStyle w:val="BodyText"/>
        <w:spacing w:line="264" w:lineRule="auto" w:before="115"/>
        <w:ind w:left="975" w:right="105" w:firstLine="9"/>
      </w:pPr>
      <w:r>
        <w:rPr/>
        <w:t>The</w:t>
      </w:r>
      <w:r>
        <w:rPr>
          <w:spacing w:val="-28"/>
        </w:rPr>
        <w:t> </w:t>
      </w:r>
      <w:r>
        <w:rPr/>
        <w:t>Leeds</w:t>
      </w:r>
      <w:r>
        <w:rPr>
          <w:spacing w:val="-26"/>
        </w:rPr>
        <w:t> </w:t>
      </w:r>
      <w:r>
        <w:rPr/>
        <w:t>Climate</w:t>
      </w:r>
      <w:r>
        <w:rPr>
          <w:spacing w:val="-23"/>
        </w:rPr>
        <w:t> </w:t>
      </w:r>
      <w:r>
        <w:rPr/>
        <w:t>Commission’s</w:t>
      </w:r>
      <w:r>
        <w:rPr>
          <w:spacing w:val="-19"/>
        </w:rPr>
        <w:t> </w:t>
      </w:r>
      <w:r>
        <w:rPr/>
        <w:t>Implementation</w:t>
      </w:r>
      <w:r>
        <w:rPr>
          <w:spacing w:val="-30"/>
        </w:rPr>
        <w:t> </w:t>
      </w:r>
      <w:r>
        <w:rPr/>
        <w:t>Plan</w:t>
      </w:r>
      <w:r>
        <w:rPr>
          <w:spacing w:val="-30"/>
        </w:rPr>
        <w:t> </w:t>
      </w:r>
      <w:r>
        <w:rPr/>
        <w:t>provides</w:t>
      </w:r>
      <w:r>
        <w:rPr>
          <w:spacing w:val="-28"/>
        </w:rPr>
        <w:t> </w:t>
      </w:r>
      <w:r>
        <w:rPr/>
        <w:t>an</w:t>
      </w:r>
      <w:r>
        <w:rPr>
          <w:spacing w:val="-26"/>
        </w:rPr>
        <w:t> </w:t>
      </w:r>
      <w:r>
        <w:rPr/>
        <w:t>ongoing</w:t>
      </w:r>
      <w:r>
        <w:rPr>
          <w:spacing w:val="-23"/>
        </w:rPr>
        <w:t> </w:t>
      </w:r>
      <w:r>
        <w:rPr/>
        <w:t>update</w:t>
      </w:r>
      <w:r>
        <w:rPr>
          <w:spacing w:val="-25"/>
        </w:rPr>
        <w:t> </w:t>
      </w:r>
      <w:r>
        <w:rPr/>
        <w:t>on</w:t>
      </w:r>
      <w:r>
        <w:rPr>
          <w:spacing w:val="-30"/>
        </w:rPr>
        <w:t> </w:t>
      </w:r>
      <w:r>
        <w:rPr/>
        <w:t>progress with</w:t>
      </w:r>
      <w:r>
        <w:rPr>
          <w:spacing w:val="-29"/>
        </w:rPr>
        <w:t> </w:t>
      </w:r>
      <w:r>
        <w:rPr/>
        <w:t>these</w:t>
      </w:r>
      <w:r>
        <w:rPr>
          <w:spacing w:val="-22"/>
        </w:rPr>
        <w:t> </w:t>
      </w:r>
      <w:r>
        <w:rPr/>
        <w:t>areas</w:t>
      </w:r>
      <w:r>
        <w:rPr>
          <w:spacing w:val="-27"/>
        </w:rPr>
        <w:t> </w:t>
      </w:r>
      <w:r>
        <w:rPr/>
        <w:t>of</w:t>
      </w:r>
      <w:r>
        <w:rPr>
          <w:spacing w:val="-27"/>
        </w:rPr>
        <w:t> </w:t>
      </w:r>
      <w:r>
        <w:rPr/>
        <w:t>activity</w:t>
      </w:r>
      <w:r>
        <w:rPr>
          <w:spacing w:val="-22"/>
        </w:rPr>
        <w:t> </w:t>
      </w:r>
      <w:r>
        <w:rPr/>
        <w:t>which</w:t>
      </w:r>
      <w:r>
        <w:rPr>
          <w:spacing w:val="-27"/>
        </w:rPr>
        <w:t> </w:t>
      </w:r>
      <w:r>
        <w:rPr/>
        <w:t>are</w:t>
      </w:r>
      <w:r>
        <w:rPr>
          <w:spacing w:val="-29"/>
        </w:rPr>
        <w:t> </w:t>
      </w:r>
      <w:r>
        <w:rPr/>
        <w:t>summarised</w:t>
      </w:r>
      <w:r>
        <w:rPr>
          <w:spacing w:val="-21"/>
        </w:rPr>
        <w:t> </w:t>
      </w:r>
      <w:r>
        <w:rPr/>
        <w:t>in</w:t>
      </w:r>
      <w:r>
        <w:rPr>
          <w:spacing w:val="-32"/>
        </w:rPr>
        <w:t> </w:t>
      </w:r>
      <w:r>
        <w:rPr/>
        <w:t>monthly</w:t>
      </w:r>
      <w:r>
        <w:rPr>
          <w:spacing w:val="-23"/>
        </w:rPr>
        <w:t> </w:t>
      </w:r>
      <w:r>
        <w:rPr/>
        <w:t>bulletins</w:t>
      </w:r>
      <w:r>
        <w:rPr>
          <w:spacing w:val="-28"/>
        </w:rPr>
        <w:t> </w:t>
      </w:r>
      <w:r>
        <w:rPr/>
        <w:t>and</w:t>
      </w:r>
      <w:r>
        <w:rPr>
          <w:spacing w:val="-30"/>
        </w:rPr>
        <w:t> </w:t>
      </w:r>
      <w:r>
        <w:rPr/>
        <w:t>newsletters.</w:t>
      </w:r>
      <w:r>
        <w:rPr>
          <w:spacing w:val="-16"/>
        </w:rPr>
        <w:t> </w:t>
      </w:r>
      <w:r>
        <w:rPr/>
        <w:t>Additional information</w:t>
      </w:r>
      <w:r>
        <w:rPr>
          <w:spacing w:val="-22"/>
        </w:rPr>
        <w:t> </w:t>
      </w:r>
      <w:r>
        <w:rPr/>
        <w:t>on</w:t>
      </w:r>
      <w:r>
        <w:rPr>
          <w:spacing w:val="-31"/>
        </w:rPr>
        <w:t> </w:t>
      </w:r>
      <w:r>
        <w:rPr/>
        <w:t>the</w:t>
      </w:r>
      <w:r>
        <w:rPr>
          <w:spacing w:val="-33"/>
        </w:rPr>
        <w:t> </w:t>
      </w:r>
      <w:r>
        <w:rPr/>
        <w:t>commission,</w:t>
      </w:r>
      <w:r>
        <w:rPr>
          <w:spacing w:val="-21"/>
        </w:rPr>
        <w:t> </w:t>
      </w:r>
      <w:r>
        <w:rPr/>
        <w:t>including</w:t>
      </w:r>
      <w:r>
        <w:rPr>
          <w:spacing w:val="-26"/>
        </w:rPr>
        <w:t> </w:t>
      </w:r>
      <w:r>
        <w:rPr/>
        <w:t>the</w:t>
      </w:r>
      <w:r>
        <w:rPr>
          <w:spacing w:val="-36"/>
        </w:rPr>
        <w:t> </w:t>
      </w:r>
      <w:r>
        <w:rPr/>
        <w:t>implementation</w:t>
      </w:r>
      <w:r>
        <w:rPr>
          <w:spacing w:val="-32"/>
        </w:rPr>
        <w:t> </w:t>
      </w:r>
      <w:r>
        <w:rPr/>
        <w:t>of</w:t>
      </w:r>
      <w:r>
        <w:rPr>
          <w:spacing w:val="-38"/>
        </w:rPr>
        <w:t> </w:t>
      </w:r>
      <w:r>
        <w:rPr/>
        <w:t>their</w:t>
      </w:r>
      <w:r>
        <w:rPr>
          <w:spacing w:val="-35"/>
        </w:rPr>
        <w:t> </w:t>
      </w:r>
      <w:r>
        <w:rPr/>
        <w:t>plans</w:t>
      </w:r>
      <w:r>
        <w:rPr>
          <w:spacing w:val="-36"/>
        </w:rPr>
        <w:t> </w:t>
      </w:r>
      <w:r>
        <w:rPr/>
        <w:t>can</w:t>
      </w:r>
      <w:r>
        <w:rPr>
          <w:spacing w:val="-34"/>
        </w:rPr>
        <w:t> </w:t>
      </w:r>
      <w:r>
        <w:rPr/>
        <w:t>be</w:t>
      </w:r>
      <w:r>
        <w:rPr>
          <w:spacing w:val="-36"/>
        </w:rPr>
        <w:t> </w:t>
      </w:r>
      <w:r>
        <w:rPr/>
        <w:t>found</w:t>
      </w:r>
      <w:r>
        <w:rPr>
          <w:spacing w:val="-29"/>
        </w:rPr>
        <w:t> </w:t>
      </w:r>
      <w:r>
        <w:rPr/>
        <w:t>on</w:t>
      </w:r>
      <w:r>
        <w:rPr>
          <w:spacing w:val="-34"/>
        </w:rPr>
        <w:t> </w:t>
      </w:r>
      <w:r>
        <w:rPr/>
        <w:t>the</w:t>
      </w:r>
      <w:r>
        <w:rPr>
          <w:spacing w:val="-34"/>
        </w:rPr>
        <w:t> </w:t>
      </w:r>
      <w:r>
        <w:rPr/>
        <w:t>Can- do Cities website</w:t>
      </w:r>
      <w:r>
        <w:rPr>
          <w:spacing w:val="-2"/>
        </w:rPr>
        <w:t> </w:t>
      </w:r>
      <w:r>
        <w:rPr/>
        <w:t>(www.leeds.candocities.org).</w:t>
      </w:r>
    </w:p>
    <w:p>
      <w:pPr>
        <w:pStyle w:val="ListParagraph"/>
        <w:numPr>
          <w:ilvl w:val="2"/>
          <w:numId w:val="13"/>
        </w:numPr>
        <w:tabs>
          <w:tab w:pos="989" w:val="left" w:leader="none"/>
          <w:tab w:pos="990" w:val="left" w:leader="none"/>
        </w:tabs>
        <w:spacing w:line="240" w:lineRule="auto" w:before="142" w:after="0"/>
        <w:ind w:left="989" w:right="0" w:hanging="866"/>
        <w:jc w:val="left"/>
        <w:rPr>
          <w:sz w:val="23"/>
        </w:rPr>
      </w:pPr>
      <w:r>
        <w:rPr>
          <w:w w:val="105"/>
          <w:sz w:val="23"/>
        </w:rPr>
        <w:t>YORKSHIRE INTEG RATED CATCHMENT SOLUTIONS</w:t>
      </w:r>
      <w:r>
        <w:rPr>
          <w:spacing w:val="-32"/>
          <w:w w:val="105"/>
          <w:sz w:val="23"/>
        </w:rPr>
        <w:t> </w:t>
      </w:r>
      <w:r>
        <w:rPr>
          <w:w w:val="105"/>
          <w:sz w:val="23"/>
        </w:rPr>
        <w:t>PROGRAMME</w:t>
      </w:r>
    </w:p>
    <w:p>
      <w:pPr>
        <w:pStyle w:val="BodyText"/>
        <w:spacing w:line="266" w:lineRule="auto" w:before="148"/>
        <w:ind w:left="975" w:right="221" w:firstLine="4"/>
      </w:pPr>
      <w:r>
        <w:rPr/>
        <w:t>Yorkshire</w:t>
      </w:r>
      <w:r>
        <w:rPr>
          <w:spacing w:val="-30"/>
        </w:rPr>
        <w:t> </w:t>
      </w:r>
      <w:r>
        <w:rPr/>
        <w:t>Integrated</w:t>
      </w:r>
      <w:r>
        <w:rPr>
          <w:spacing w:val="-25"/>
        </w:rPr>
        <w:t> </w:t>
      </w:r>
      <w:r>
        <w:rPr/>
        <w:t>Catchment</w:t>
      </w:r>
      <w:r>
        <w:rPr>
          <w:spacing w:val="-23"/>
        </w:rPr>
        <w:t> </w:t>
      </w:r>
      <w:r>
        <w:rPr/>
        <w:t>Solutions</w:t>
      </w:r>
      <w:r>
        <w:rPr>
          <w:spacing w:val="-26"/>
        </w:rPr>
        <w:t> </w:t>
      </w:r>
      <w:r>
        <w:rPr/>
        <w:t>Programme</w:t>
      </w:r>
      <w:r>
        <w:rPr>
          <w:spacing w:val="-29"/>
        </w:rPr>
        <w:t> </w:t>
      </w:r>
      <w:r>
        <w:rPr/>
        <w:t>(iCASP)</w:t>
      </w:r>
      <w:r>
        <w:rPr>
          <w:spacing w:val="-32"/>
        </w:rPr>
        <w:t> </w:t>
      </w:r>
      <w:r>
        <w:rPr/>
        <w:t>is</w:t>
      </w:r>
      <w:r>
        <w:rPr>
          <w:spacing w:val="-35"/>
        </w:rPr>
        <w:t> </w:t>
      </w:r>
      <w:r>
        <w:rPr/>
        <w:t>an</w:t>
      </w:r>
      <w:r>
        <w:rPr>
          <w:spacing w:val="-33"/>
        </w:rPr>
        <w:t> </w:t>
      </w:r>
      <w:r>
        <w:rPr/>
        <w:t>ambitious</w:t>
      </w:r>
      <w:r>
        <w:rPr>
          <w:spacing w:val="-30"/>
        </w:rPr>
        <w:t> </w:t>
      </w:r>
      <w:r>
        <w:rPr/>
        <w:t>and</w:t>
      </w:r>
      <w:r>
        <w:rPr>
          <w:spacing w:val="-31"/>
        </w:rPr>
        <w:t> </w:t>
      </w:r>
      <w:r>
        <w:rPr/>
        <w:t>exciting </w:t>
      </w:r>
      <w:r>
        <w:rPr>
          <w:w w:val="95"/>
        </w:rPr>
        <w:t>programme to generate benefits for Yorkshire by applying environmental science to catchment </w:t>
      </w:r>
      <w:r>
        <w:rPr/>
        <w:t>challenges.</w:t>
      </w:r>
    </w:p>
    <w:p>
      <w:pPr>
        <w:spacing w:line="266" w:lineRule="auto" w:before="127"/>
        <w:ind w:left="983" w:right="105" w:firstLine="2"/>
        <w:jc w:val="left"/>
        <w:rPr>
          <w:sz w:val="22"/>
        </w:rPr>
      </w:pPr>
      <w:r>
        <w:rPr>
          <w:sz w:val="22"/>
        </w:rPr>
        <w:t>The</w:t>
      </w:r>
      <w:r>
        <w:rPr>
          <w:spacing w:val="-15"/>
          <w:sz w:val="22"/>
        </w:rPr>
        <w:t> </w:t>
      </w:r>
      <w:r>
        <w:rPr>
          <w:sz w:val="22"/>
        </w:rPr>
        <w:t>iCASP</w:t>
      </w:r>
      <w:r>
        <w:rPr>
          <w:spacing w:val="-3"/>
          <w:sz w:val="22"/>
        </w:rPr>
        <w:t> </w:t>
      </w:r>
      <w:r>
        <w:rPr>
          <w:sz w:val="22"/>
        </w:rPr>
        <w:t>programme</w:t>
      </w:r>
      <w:r>
        <w:rPr>
          <w:spacing w:val="-1"/>
          <w:sz w:val="22"/>
        </w:rPr>
        <w:t> </w:t>
      </w:r>
      <w:r>
        <w:rPr>
          <w:sz w:val="22"/>
        </w:rPr>
        <w:t>looks</w:t>
      </w:r>
      <w:r>
        <w:rPr>
          <w:spacing w:val="-14"/>
          <w:sz w:val="22"/>
        </w:rPr>
        <w:t> </w:t>
      </w:r>
      <w:r>
        <w:rPr>
          <w:sz w:val="22"/>
        </w:rPr>
        <w:t>to</w:t>
      </w:r>
      <w:r>
        <w:rPr>
          <w:spacing w:val="-11"/>
          <w:sz w:val="22"/>
        </w:rPr>
        <w:t> </w:t>
      </w:r>
      <w:r>
        <w:rPr>
          <w:sz w:val="22"/>
        </w:rPr>
        <w:t>support</w:t>
      </w:r>
      <w:r>
        <w:rPr>
          <w:spacing w:val="4"/>
          <w:sz w:val="22"/>
        </w:rPr>
        <w:t> </w:t>
      </w:r>
      <w:r>
        <w:rPr>
          <w:sz w:val="22"/>
        </w:rPr>
        <w:t>and</w:t>
      </w:r>
      <w:r>
        <w:rPr>
          <w:spacing w:val="-14"/>
          <w:sz w:val="22"/>
        </w:rPr>
        <w:t> </w:t>
      </w:r>
      <w:r>
        <w:rPr>
          <w:sz w:val="22"/>
        </w:rPr>
        <w:t>undertake</w:t>
      </w:r>
      <w:r>
        <w:rPr>
          <w:spacing w:val="-2"/>
          <w:sz w:val="22"/>
        </w:rPr>
        <w:t> </w:t>
      </w:r>
      <w:r>
        <w:rPr>
          <w:sz w:val="22"/>
        </w:rPr>
        <w:t>projects</w:t>
      </w:r>
      <w:r>
        <w:rPr>
          <w:spacing w:val="-17"/>
          <w:sz w:val="22"/>
        </w:rPr>
        <w:t> </w:t>
      </w:r>
      <w:r>
        <w:rPr>
          <w:sz w:val="22"/>
        </w:rPr>
        <w:t>that</w:t>
      </w:r>
      <w:r>
        <w:rPr>
          <w:spacing w:val="-7"/>
          <w:sz w:val="22"/>
        </w:rPr>
        <w:t> </w:t>
      </w:r>
      <w:r>
        <w:rPr>
          <w:sz w:val="22"/>
        </w:rPr>
        <w:t>translate</w:t>
      </w:r>
      <w:r>
        <w:rPr>
          <w:spacing w:val="-5"/>
          <w:sz w:val="22"/>
        </w:rPr>
        <w:t> </w:t>
      </w:r>
      <w:r>
        <w:rPr>
          <w:sz w:val="22"/>
        </w:rPr>
        <w:t>existing</w:t>
      </w:r>
      <w:r>
        <w:rPr>
          <w:spacing w:val="-2"/>
          <w:sz w:val="22"/>
        </w:rPr>
        <w:t> </w:t>
      </w:r>
      <w:r>
        <w:rPr>
          <w:sz w:val="22"/>
        </w:rPr>
        <w:t>environmental </w:t>
      </w:r>
      <w:r>
        <w:rPr>
          <w:sz w:val="23"/>
        </w:rPr>
        <w:t>science</w:t>
      </w:r>
      <w:r>
        <w:rPr>
          <w:spacing w:val="-23"/>
          <w:sz w:val="23"/>
        </w:rPr>
        <w:t> </w:t>
      </w:r>
      <w:r>
        <w:rPr>
          <w:sz w:val="23"/>
        </w:rPr>
        <w:t>so</w:t>
      </w:r>
      <w:r>
        <w:rPr>
          <w:spacing w:val="-25"/>
          <w:sz w:val="23"/>
        </w:rPr>
        <w:t> </w:t>
      </w:r>
      <w:r>
        <w:rPr>
          <w:sz w:val="23"/>
        </w:rPr>
        <w:t>that</w:t>
      </w:r>
      <w:r>
        <w:rPr>
          <w:spacing w:val="-27"/>
          <w:sz w:val="23"/>
        </w:rPr>
        <w:t> </w:t>
      </w:r>
      <w:r>
        <w:rPr>
          <w:sz w:val="23"/>
        </w:rPr>
        <w:t>it</w:t>
      </w:r>
      <w:r>
        <w:rPr>
          <w:spacing w:val="-25"/>
          <w:sz w:val="23"/>
        </w:rPr>
        <w:t> </w:t>
      </w:r>
      <w:r>
        <w:rPr>
          <w:sz w:val="23"/>
        </w:rPr>
        <w:t>can</w:t>
      </w:r>
      <w:r>
        <w:rPr>
          <w:spacing w:val="-29"/>
          <w:sz w:val="23"/>
        </w:rPr>
        <w:t> </w:t>
      </w:r>
      <w:r>
        <w:rPr>
          <w:sz w:val="23"/>
        </w:rPr>
        <w:t>be</w:t>
      </w:r>
      <w:r>
        <w:rPr>
          <w:spacing w:val="-32"/>
          <w:sz w:val="23"/>
        </w:rPr>
        <w:t> </w:t>
      </w:r>
      <w:r>
        <w:rPr>
          <w:sz w:val="23"/>
        </w:rPr>
        <w:t>used</w:t>
      </w:r>
      <w:r>
        <w:rPr>
          <w:spacing w:val="-29"/>
          <w:sz w:val="23"/>
        </w:rPr>
        <w:t> </w:t>
      </w:r>
      <w:r>
        <w:rPr>
          <w:sz w:val="23"/>
        </w:rPr>
        <w:t>to</w:t>
      </w:r>
      <w:r>
        <w:rPr>
          <w:spacing w:val="-30"/>
          <w:sz w:val="23"/>
        </w:rPr>
        <w:t> </w:t>
      </w:r>
      <w:r>
        <w:rPr>
          <w:sz w:val="23"/>
        </w:rPr>
        <w:t>further</w:t>
      </w:r>
      <w:r>
        <w:rPr>
          <w:spacing w:val="-25"/>
          <w:sz w:val="23"/>
        </w:rPr>
        <w:t> </w:t>
      </w:r>
      <w:r>
        <w:rPr>
          <w:sz w:val="23"/>
        </w:rPr>
        <w:t>integrated</w:t>
      </w:r>
      <w:r>
        <w:rPr>
          <w:spacing w:val="-18"/>
          <w:sz w:val="23"/>
        </w:rPr>
        <w:t> </w:t>
      </w:r>
      <w:r>
        <w:rPr>
          <w:sz w:val="23"/>
        </w:rPr>
        <w:t>catchment</w:t>
      </w:r>
      <w:r>
        <w:rPr>
          <w:spacing w:val="-18"/>
          <w:sz w:val="23"/>
        </w:rPr>
        <w:t> </w:t>
      </w:r>
      <w:r>
        <w:rPr>
          <w:sz w:val="23"/>
        </w:rPr>
        <w:t>management.</w:t>
      </w:r>
      <w:r>
        <w:rPr>
          <w:spacing w:val="-8"/>
          <w:sz w:val="23"/>
        </w:rPr>
        <w:t> </w:t>
      </w:r>
      <w:r>
        <w:rPr>
          <w:sz w:val="23"/>
        </w:rPr>
        <w:t>These</w:t>
      </w:r>
      <w:r>
        <w:rPr>
          <w:spacing w:val="-26"/>
          <w:sz w:val="23"/>
        </w:rPr>
        <w:t> </w:t>
      </w:r>
      <w:r>
        <w:rPr>
          <w:sz w:val="23"/>
        </w:rPr>
        <w:t>projects</w:t>
      </w:r>
      <w:r>
        <w:rPr>
          <w:spacing w:val="-22"/>
          <w:sz w:val="23"/>
        </w:rPr>
        <w:t> </w:t>
      </w:r>
      <w:r>
        <w:rPr>
          <w:sz w:val="23"/>
        </w:rPr>
        <w:t>focus </w:t>
      </w:r>
      <w:r>
        <w:rPr>
          <w:sz w:val="22"/>
        </w:rPr>
        <w:t>on:</w:t>
      </w:r>
    </w:p>
    <w:p>
      <w:pPr>
        <w:spacing w:after="0" w:line="266" w:lineRule="auto"/>
        <w:jc w:val="left"/>
        <w:rPr>
          <w:sz w:val="22"/>
        </w:rPr>
        <w:sectPr>
          <w:pgSz w:w="11920" w:h="16850"/>
          <w:pgMar w:header="0" w:footer="1246" w:top="580" w:bottom="1440" w:left="440" w:right="56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ListParagraph"/>
        <w:numPr>
          <w:ilvl w:val="3"/>
          <w:numId w:val="13"/>
        </w:numPr>
        <w:tabs>
          <w:tab w:pos="1386" w:val="left" w:leader="none"/>
        </w:tabs>
        <w:spacing w:line="240" w:lineRule="auto" w:before="92" w:after="0"/>
        <w:ind w:left="1405" w:right="0" w:hanging="274"/>
        <w:jc w:val="left"/>
        <w:rPr>
          <w:color w:val="FF362F"/>
          <w:sz w:val="23"/>
        </w:rPr>
      </w:pPr>
      <w:r>
        <w:rPr/>
        <w:pict>
          <v:group style="position:absolute;margin-left:537.554504pt;margin-top:-50.127747pt;width:5.8pt;height:34.6pt;mso-position-horizontal-relative:page;mso-position-vertical-relative:paragraph;z-index:2872" coordorigin="10751,-1003" coordsize="116,692">
            <v:shape style="position:absolute;left:10751;top:-1003;width:116;height:39" type="#_x0000_t75" stroked="false">
              <v:imagedata r:id="rId27" o:title=""/>
            </v:shape>
            <v:shape style="position:absolute;left:10827;top:-389;width:39;height:77" type="#_x0000_t75" stroked="false">
              <v:imagedata r:id="rId28" o:title=""/>
            </v:shape>
            <v:line style="position:absolute" from="10804,-1003" to="10804,-321" stroked="true" strokeweight="5.279551pt" strokecolor="#d85970">
              <v:stroke dashstyle="solid"/>
            </v:line>
            <w10:wrap type="none"/>
          </v:group>
        </w:pict>
      </w:r>
      <w:bookmarkStart w:name="Leeds LFRMS 2018 Update_Page_38" w:id="50"/>
      <w:bookmarkEnd w:id="50"/>
      <w:r>
        <w:rPr/>
      </w:r>
      <w:bookmarkStart w:name="Leeds LFRMS 2018 Update_Page_38" w:id="51"/>
      <w:bookmarkEnd w:id="51"/>
      <w:r>
        <w:rPr>
          <w:sz w:val="23"/>
        </w:rPr>
        <w:t>Promotin</w:t>
      </w:r>
      <w:r>
        <w:rPr>
          <w:sz w:val="23"/>
        </w:rPr>
        <w:t>g the resilience of the region’s</w:t>
      </w:r>
      <w:r>
        <w:rPr>
          <w:spacing w:val="17"/>
          <w:sz w:val="23"/>
        </w:rPr>
        <w:t> </w:t>
      </w:r>
      <w:r>
        <w:rPr>
          <w:sz w:val="23"/>
        </w:rPr>
        <w:t>cities;</w:t>
      </w:r>
    </w:p>
    <w:p>
      <w:pPr>
        <w:pStyle w:val="ListParagraph"/>
        <w:numPr>
          <w:ilvl w:val="3"/>
          <w:numId w:val="13"/>
        </w:numPr>
        <w:tabs>
          <w:tab w:pos="1386" w:val="left" w:leader="none"/>
        </w:tabs>
        <w:spacing w:line="240" w:lineRule="auto" w:before="24" w:after="0"/>
        <w:ind w:left="1385" w:right="0" w:hanging="254"/>
        <w:jc w:val="left"/>
        <w:rPr>
          <w:color w:val="F93834"/>
          <w:sz w:val="23"/>
        </w:rPr>
      </w:pPr>
      <w:r>
        <w:rPr>
          <w:sz w:val="23"/>
        </w:rPr>
        <w:t>Mitigating drought and flood risk in the context of climate</w:t>
      </w:r>
      <w:r>
        <w:rPr>
          <w:spacing w:val="1"/>
          <w:sz w:val="23"/>
        </w:rPr>
        <w:t> </w:t>
      </w:r>
      <w:r>
        <w:rPr>
          <w:sz w:val="23"/>
        </w:rPr>
        <w:t>change;</w:t>
      </w:r>
    </w:p>
    <w:p>
      <w:pPr>
        <w:pStyle w:val="ListParagraph"/>
        <w:numPr>
          <w:ilvl w:val="3"/>
          <w:numId w:val="13"/>
        </w:numPr>
        <w:tabs>
          <w:tab w:pos="1382" w:val="left" w:leader="none"/>
        </w:tabs>
        <w:spacing w:line="240" w:lineRule="auto" w:before="23" w:after="0"/>
        <w:ind w:left="1381" w:right="0" w:hanging="250"/>
        <w:jc w:val="left"/>
        <w:rPr>
          <w:color w:val="F0522A"/>
          <w:sz w:val="23"/>
        </w:rPr>
      </w:pPr>
      <w:r>
        <w:rPr>
          <w:sz w:val="23"/>
        </w:rPr>
        <w:t>Improving the delivery of flood</w:t>
      </w:r>
      <w:r>
        <w:rPr>
          <w:spacing w:val="36"/>
          <w:sz w:val="23"/>
        </w:rPr>
        <w:t> </w:t>
      </w:r>
      <w:r>
        <w:rPr>
          <w:sz w:val="23"/>
        </w:rPr>
        <w:t>forecasts;</w:t>
      </w:r>
    </w:p>
    <w:p>
      <w:pPr>
        <w:pStyle w:val="ListParagraph"/>
        <w:numPr>
          <w:ilvl w:val="3"/>
          <w:numId w:val="13"/>
        </w:numPr>
        <w:tabs>
          <w:tab w:pos="1405" w:val="left" w:leader="none"/>
        </w:tabs>
        <w:spacing w:line="261" w:lineRule="auto" w:before="33" w:after="0"/>
        <w:ind w:left="1405" w:right="1610" w:hanging="274"/>
        <w:jc w:val="left"/>
        <w:rPr>
          <w:color w:val="FF3B41"/>
          <w:sz w:val="23"/>
        </w:rPr>
      </w:pPr>
      <w:r>
        <w:rPr>
          <w:sz w:val="23"/>
        </w:rPr>
        <w:t>Developing</w:t>
      </w:r>
      <w:r>
        <w:rPr>
          <w:spacing w:val="-33"/>
          <w:sz w:val="23"/>
        </w:rPr>
        <w:t> </w:t>
      </w:r>
      <w:r>
        <w:rPr>
          <w:sz w:val="23"/>
        </w:rPr>
        <w:t>approaches</w:t>
      </w:r>
      <w:r>
        <w:rPr>
          <w:spacing w:val="-39"/>
          <w:sz w:val="23"/>
        </w:rPr>
        <w:t> </w:t>
      </w:r>
      <w:r>
        <w:rPr>
          <w:sz w:val="23"/>
        </w:rPr>
        <w:t>to</w:t>
      </w:r>
      <w:r>
        <w:rPr>
          <w:spacing w:val="-44"/>
          <w:sz w:val="23"/>
        </w:rPr>
        <w:t> </w:t>
      </w:r>
      <w:r>
        <w:rPr>
          <w:sz w:val="23"/>
        </w:rPr>
        <w:t>improve</w:t>
      </w:r>
      <w:r>
        <w:rPr>
          <w:spacing w:val="-38"/>
          <w:sz w:val="23"/>
        </w:rPr>
        <w:t> </w:t>
      </w:r>
      <w:r>
        <w:rPr>
          <w:sz w:val="23"/>
        </w:rPr>
        <w:t>ecological</w:t>
      </w:r>
      <w:r>
        <w:rPr>
          <w:spacing w:val="-34"/>
          <w:sz w:val="23"/>
        </w:rPr>
        <w:t> </w:t>
      </w:r>
      <w:r>
        <w:rPr>
          <w:sz w:val="23"/>
        </w:rPr>
        <w:t>and</w:t>
      </w:r>
      <w:r>
        <w:rPr>
          <w:spacing w:val="-39"/>
          <w:sz w:val="23"/>
        </w:rPr>
        <w:t> </w:t>
      </w:r>
      <w:r>
        <w:rPr>
          <w:sz w:val="23"/>
        </w:rPr>
        <w:t>chemical</w:t>
      </w:r>
      <w:r>
        <w:rPr>
          <w:spacing w:val="-33"/>
          <w:sz w:val="23"/>
        </w:rPr>
        <w:t> </w:t>
      </w:r>
      <w:r>
        <w:rPr>
          <w:sz w:val="23"/>
        </w:rPr>
        <w:t>status</w:t>
      </w:r>
      <w:r>
        <w:rPr>
          <w:spacing w:val="-38"/>
          <w:sz w:val="23"/>
        </w:rPr>
        <w:t> </w:t>
      </w:r>
      <w:r>
        <w:rPr>
          <w:sz w:val="23"/>
        </w:rPr>
        <w:t>of</w:t>
      </w:r>
      <w:r>
        <w:rPr>
          <w:spacing w:val="-39"/>
          <w:sz w:val="23"/>
        </w:rPr>
        <w:t> </w:t>
      </w:r>
      <w:r>
        <w:rPr>
          <w:sz w:val="23"/>
        </w:rPr>
        <w:t>surface</w:t>
      </w:r>
      <w:r>
        <w:rPr>
          <w:spacing w:val="-38"/>
          <w:sz w:val="23"/>
        </w:rPr>
        <w:t> </w:t>
      </w:r>
      <w:r>
        <w:rPr>
          <w:sz w:val="23"/>
        </w:rPr>
        <w:t>and groundwaters, and water quality entering treatment</w:t>
      </w:r>
      <w:r>
        <w:rPr>
          <w:spacing w:val="-35"/>
          <w:sz w:val="23"/>
        </w:rPr>
        <w:t> </w:t>
      </w:r>
      <w:r>
        <w:rPr>
          <w:sz w:val="23"/>
        </w:rPr>
        <w:t>works;</w:t>
      </w:r>
    </w:p>
    <w:p>
      <w:pPr>
        <w:pStyle w:val="ListParagraph"/>
        <w:numPr>
          <w:ilvl w:val="3"/>
          <w:numId w:val="13"/>
        </w:numPr>
        <w:tabs>
          <w:tab w:pos="1405" w:val="left" w:leader="none"/>
        </w:tabs>
        <w:spacing w:line="264" w:lineRule="exact" w:before="0" w:after="0"/>
        <w:ind w:left="1404" w:right="0" w:hanging="273"/>
        <w:jc w:val="left"/>
        <w:rPr>
          <w:color w:val="E2421C"/>
          <w:sz w:val="23"/>
        </w:rPr>
      </w:pPr>
      <w:r>
        <w:rPr>
          <w:sz w:val="23"/>
        </w:rPr>
        <w:t>Enhancing carbon sequestration in soils and woodlands,</w:t>
      </w:r>
      <w:r>
        <w:rPr>
          <w:spacing w:val="41"/>
          <w:sz w:val="23"/>
        </w:rPr>
        <w:t> </w:t>
      </w:r>
      <w:r>
        <w:rPr>
          <w:sz w:val="23"/>
        </w:rPr>
        <w:t>and</w:t>
      </w:r>
    </w:p>
    <w:p>
      <w:pPr>
        <w:pStyle w:val="ListParagraph"/>
        <w:numPr>
          <w:ilvl w:val="3"/>
          <w:numId w:val="13"/>
        </w:numPr>
        <w:tabs>
          <w:tab w:pos="1403" w:val="left" w:leader="none"/>
        </w:tabs>
        <w:spacing w:line="240" w:lineRule="auto" w:before="34" w:after="0"/>
        <w:ind w:left="1402" w:right="0" w:hanging="271"/>
        <w:jc w:val="left"/>
        <w:rPr>
          <w:color w:val="DD4B26"/>
          <w:sz w:val="23"/>
        </w:rPr>
      </w:pPr>
      <w:r>
        <w:rPr>
          <w:sz w:val="23"/>
        </w:rPr>
        <w:t>Supporting sustainable</w:t>
      </w:r>
      <w:r>
        <w:rPr>
          <w:spacing w:val="-21"/>
          <w:sz w:val="23"/>
        </w:rPr>
        <w:t> </w:t>
      </w:r>
      <w:r>
        <w:rPr>
          <w:sz w:val="23"/>
        </w:rPr>
        <w:t>agriculture.</w:t>
      </w:r>
    </w:p>
    <w:p>
      <w:pPr>
        <w:pStyle w:val="BodyText"/>
        <w:spacing w:line="261" w:lineRule="auto" w:before="148"/>
        <w:ind w:left="975" w:right="221"/>
      </w:pPr>
      <w:r>
        <w:rPr/>
        <w:t>iCASP’s</w:t>
      </w:r>
      <w:r>
        <w:rPr>
          <w:spacing w:val="-35"/>
        </w:rPr>
        <w:t> </w:t>
      </w:r>
      <w:r>
        <w:rPr/>
        <w:t>first</w:t>
      </w:r>
      <w:r>
        <w:rPr>
          <w:spacing w:val="-33"/>
        </w:rPr>
        <w:t> </w:t>
      </w:r>
      <w:r>
        <w:rPr/>
        <w:t>project</w:t>
      </w:r>
      <w:r>
        <w:rPr>
          <w:spacing w:val="-32"/>
        </w:rPr>
        <w:t> </w:t>
      </w:r>
      <w:r>
        <w:rPr/>
        <w:t>helped</w:t>
      </w:r>
      <w:r>
        <w:rPr>
          <w:spacing w:val="-29"/>
        </w:rPr>
        <w:t> </w:t>
      </w:r>
      <w:r>
        <w:rPr/>
        <w:t>organisations</w:t>
      </w:r>
      <w:r>
        <w:rPr>
          <w:spacing w:val="-29"/>
        </w:rPr>
        <w:t> </w:t>
      </w:r>
      <w:r>
        <w:rPr/>
        <w:t>in</w:t>
      </w:r>
      <w:r>
        <w:rPr>
          <w:spacing w:val="-34"/>
        </w:rPr>
        <w:t> </w:t>
      </w:r>
      <w:r>
        <w:rPr/>
        <w:t>Yorkshire</w:t>
      </w:r>
      <w:r>
        <w:rPr>
          <w:spacing w:val="-26"/>
        </w:rPr>
        <w:t> </w:t>
      </w:r>
      <w:r>
        <w:rPr/>
        <w:t>to</w:t>
      </w:r>
      <w:r>
        <w:rPr>
          <w:spacing w:val="-38"/>
        </w:rPr>
        <w:t> </w:t>
      </w:r>
      <w:r>
        <w:rPr/>
        <w:t>prepare</w:t>
      </w:r>
      <w:r>
        <w:rPr>
          <w:spacing w:val="-35"/>
        </w:rPr>
        <w:t> </w:t>
      </w:r>
      <w:r>
        <w:rPr/>
        <w:t>in</w:t>
      </w:r>
      <w:r>
        <w:rPr>
          <w:spacing w:val="-35"/>
        </w:rPr>
        <w:t> </w:t>
      </w:r>
      <w:r>
        <w:rPr/>
        <w:t>advance</w:t>
      </w:r>
      <w:r>
        <w:rPr>
          <w:spacing w:val="-31"/>
        </w:rPr>
        <w:t> </w:t>
      </w:r>
      <w:r>
        <w:rPr/>
        <w:t>for</w:t>
      </w:r>
      <w:r>
        <w:rPr>
          <w:spacing w:val="-36"/>
        </w:rPr>
        <w:t> </w:t>
      </w:r>
      <w:r>
        <w:rPr/>
        <w:t>the</w:t>
      </w:r>
      <w:r>
        <w:rPr>
          <w:spacing w:val="-37"/>
        </w:rPr>
        <w:t> </w:t>
      </w:r>
      <w:r>
        <w:rPr/>
        <w:t>publication</w:t>
      </w:r>
      <w:r>
        <w:rPr>
          <w:spacing w:val="-25"/>
        </w:rPr>
        <w:t> </w:t>
      </w:r>
      <w:r>
        <w:rPr/>
        <w:t>of new</w:t>
      </w:r>
      <w:r>
        <w:rPr>
          <w:spacing w:val="-13"/>
        </w:rPr>
        <w:t> </w:t>
      </w:r>
      <w:r>
        <w:rPr/>
        <w:t>UK</w:t>
      </w:r>
      <w:r>
        <w:rPr>
          <w:spacing w:val="-25"/>
        </w:rPr>
        <w:t> </w:t>
      </w:r>
      <w:r>
        <w:rPr/>
        <w:t>climate</w:t>
      </w:r>
      <w:r>
        <w:rPr>
          <w:spacing w:val="-13"/>
        </w:rPr>
        <w:t> </w:t>
      </w:r>
      <w:r>
        <w:rPr/>
        <w:t>change</w:t>
      </w:r>
      <w:r>
        <w:rPr>
          <w:spacing w:val="-21"/>
        </w:rPr>
        <w:t> </w:t>
      </w:r>
      <w:r>
        <w:rPr/>
        <w:t>projections</w:t>
      </w:r>
      <w:r>
        <w:rPr>
          <w:spacing w:val="-18"/>
        </w:rPr>
        <w:t> </w:t>
      </w:r>
      <w:r>
        <w:rPr/>
        <w:t>due</w:t>
      </w:r>
      <w:r>
        <w:rPr>
          <w:spacing w:val="-24"/>
        </w:rPr>
        <w:t> </w:t>
      </w:r>
      <w:r>
        <w:rPr/>
        <w:t>for</w:t>
      </w:r>
      <w:r>
        <w:rPr>
          <w:spacing w:val="-25"/>
        </w:rPr>
        <w:t> </w:t>
      </w:r>
      <w:r>
        <w:rPr/>
        <w:t>release</w:t>
      </w:r>
      <w:r>
        <w:rPr>
          <w:spacing w:val="-16"/>
        </w:rPr>
        <w:t> </w:t>
      </w:r>
      <w:r>
        <w:rPr/>
        <w:t>in</w:t>
      </w:r>
      <w:r>
        <w:rPr>
          <w:spacing w:val="-22"/>
        </w:rPr>
        <w:t> </w:t>
      </w:r>
      <w:r>
        <w:rPr/>
        <w:t>November</w:t>
      </w:r>
      <w:r>
        <w:rPr>
          <w:spacing w:val="-7"/>
        </w:rPr>
        <w:t> </w:t>
      </w:r>
      <w:r>
        <w:rPr/>
        <w:t>2018</w:t>
      </w:r>
      <w:r>
        <w:rPr>
          <w:spacing w:val="-24"/>
        </w:rPr>
        <w:t> </w:t>
      </w:r>
      <w:r>
        <w:rPr/>
        <w:t>(known</w:t>
      </w:r>
      <w:r>
        <w:rPr>
          <w:spacing w:val="-10"/>
        </w:rPr>
        <w:t> </w:t>
      </w:r>
      <w:r>
        <w:rPr/>
        <w:t>as</w:t>
      </w:r>
      <w:r>
        <w:rPr>
          <w:spacing w:val="-24"/>
        </w:rPr>
        <w:t> </w:t>
      </w:r>
      <w:r>
        <w:rPr/>
        <w:t>UKCP18).</w:t>
      </w:r>
    </w:p>
    <w:p>
      <w:pPr>
        <w:pStyle w:val="BodyText"/>
        <w:spacing w:line="264" w:lineRule="auto" w:before="124"/>
        <w:ind w:left="975" w:right="221" w:firstLine="3"/>
      </w:pPr>
      <w:r>
        <w:rPr/>
        <w:t>In</w:t>
      </w:r>
      <w:r>
        <w:rPr>
          <w:spacing w:val="-30"/>
        </w:rPr>
        <w:t> </w:t>
      </w:r>
      <w:r>
        <w:rPr/>
        <w:t>collaboration</w:t>
      </w:r>
      <w:r>
        <w:rPr>
          <w:spacing w:val="-19"/>
        </w:rPr>
        <w:t> </w:t>
      </w:r>
      <w:r>
        <w:rPr/>
        <w:t>with</w:t>
      </w:r>
      <w:r>
        <w:rPr>
          <w:spacing w:val="-30"/>
        </w:rPr>
        <w:t> </w:t>
      </w:r>
      <w:r>
        <w:rPr/>
        <w:t>the</w:t>
      </w:r>
      <w:r>
        <w:rPr>
          <w:spacing w:val="-31"/>
        </w:rPr>
        <w:t> </w:t>
      </w:r>
      <w:r>
        <w:rPr/>
        <w:t>UK</w:t>
      </w:r>
      <w:r>
        <w:rPr>
          <w:spacing w:val="-36"/>
        </w:rPr>
        <w:t> </w:t>
      </w:r>
      <w:r>
        <w:rPr/>
        <w:t>Met</w:t>
      </w:r>
      <w:r>
        <w:rPr>
          <w:spacing w:val="-27"/>
        </w:rPr>
        <w:t> </w:t>
      </w:r>
      <w:r>
        <w:rPr/>
        <w:t>Office,</w:t>
      </w:r>
      <w:r>
        <w:rPr>
          <w:spacing w:val="-24"/>
        </w:rPr>
        <w:t> </w:t>
      </w:r>
      <w:r>
        <w:rPr/>
        <w:t>which</w:t>
      </w:r>
      <w:r>
        <w:rPr>
          <w:spacing w:val="-32"/>
        </w:rPr>
        <w:t> </w:t>
      </w:r>
      <w:r>
        <w:rPr/>
        <w:t>is</w:t>
      </w:r>
      <w:r>
        <w:rPr>
          <w:spacing w:val="-35"/>
        </w:rPr>
        <w:t> </w:t>
      </w:r>
      <w:r>
        <w:rPr/>
        <w:t>responsible</w:t>
      </w:r>
      <w:r>
        <w:rPr>
          <w:spacing w:val="-24"/>
        </w:rPr>
        <w:t> </w:t>
      </w:r>
      <w:r>
        <w:rPr/>
        <w:t>for</w:t>
      </w:r>
      <w:r>
        <w:rPr>
          <w:spacing w:val="-32"/>
        </w:rPr>
        <w:t> </w:t>
      </w:r>
      <w:r>
        <w:rPr/>
        <w:t>producing</w:t>
      </w:r>
      <w:r>
        <w:rPr>
          <w:spacing w:val="-24"/>
        </w:rPr>
        <w:t> </w:t>
      </w:r>
      <w:r>
        <w:rPr/>
        <w:t>the</w:t>
      </w:r>
      <w:r>
        <w:rPr>
          <w:spacing w:val="-28"/>
        </w:rPr>
        <w:t> </w:t>
      </w:r>
      <w:r>
        <w:rPr/>
        <w:t>projections,</w:t>
      </w:r>
      <w:r>
        <w:rPr>
          <w:spacing w:val="-19"/>
        </w:rPr>
        <w:t> </w:t>
      </w:r>
      <w:r>
        <w:rPr/>
        <w:t>the iCASP</w:t>
      </w:r>
      <w:r>
        <w:rPr>
          <w:spacing w:val="-25"/>
        </w:rPr>
        <w:t> </w:t>
      </w:r>
      <w:r>
        <w:rPr/>
        <w:t>project</w:t>
      </w:r>
      <w:r>
        <w:rPr>
          <w:spacing w:val="-27"/>
        </w:rPr>
        <w:t> </w:t>
      </w:r>
      <w:r>
        <w:rPr/>
        <w:t>has</w:t>
      </w:r>
      <w:r>
        <w:rPr>
          <w:spacing w:val="-31"/>
        </w:rPr>
        <w:t> </w:t>
      </w:r>
      <w:r>
        <w:rPr/>
        <w:t>been</w:t>
      </w:r>
      <w:r>
        <w:rPr>
          <w:spacing w:val="-24"/>
        </w:rPr>
        <w:t> </w:t>
      </w:r>
      <w:r>
        <w:rPr/>
        <w:t>giving</w:t>
      </w:r>
      <w:r>
        <w:rPr>
          <w:spacing w:val="-24"/>
        </w:rPr>
        <w:t> </w:t>
      </w:r>
      <w:r>
        <w:rPr/>
        <w:t>organisations</w:t>
      </w:r>
      <w:r>
        <w:rPr>
          <w:spacing w:val="-21"/>
        </w:rPr>
        <w:t> </w:t>
      </w:r>
      <w:r>
        <w:rPr/>
        <w:t>including</w:t>
      </w:r>
      <w:r>
        <w:rPr>
          <w:spacing w:val="-17"/>
        </w:rPr>
        <w:t> </w:t>
      </w:r>
      <w:r>
        <w:rPr/>
        <w:t>Leeds</w:t>
      </w:r>
      <w:r>
        <w:rPr>
          <w:spacing w:val="-27"/>
        </w:rPr>
        <w:t> </w:t>
      </w:r>
      <w:r>
        <w:rPr/>
        <w:t>City</w:t>
      </w:r>
      <w:r>
        <w:rPr>
          <w:spacing w:val="-24"/>
        </w:rPr>
        <w:t> </w:t>
      </w:r>
      <w:r>
        <w:rPr/>
        <w:t>Council</w:t>
      </w:r>
      <w:r>
        <w:rPr>
          <w:spacing w:val="-22"/>
        </w:rPr>
        <w:t> </w:t>
      </w:r>
      <w:r>
        <w:rPr/>
        <w:t>an</w:t>
      </w:r>
      <w:r>
        <w:rPr>
          <w:spacing w:val="-26"/>
        </w:rPr>
        <w:t> </w:t>
      </w:r>
      <w:r>
        <w:rPr/>
        <w:t>opportunity</w:t>
      </w:r>
      <w:r>
        <w:rPr>
          <w:spacing w:val="-16"/>
        </w:rPr>
        <w:t> </w:t>
      </w:r>
      <w:r>
        <w:rPr/>
        <w:t>to rehearse</w:t>
      </w:r>
      <w:r>
        <w:rPr>
          <w:spacing w:val="-33"/>
        </w:rPr>
        <w:t> </w:t>
      </w:r>
      <w:r>
        <w:rPr/>
        <w:t>ways</w:t>
      </w:r>
      <w:r>
        <w:rPr>
          <w:spacing w:val="-38"/>
        </w:rPr>
        <w:t> </w:t>
      </w:r>
      <w:r>
        <w:rPr/>
        <w:t>of</w:t>
      </w:r>
      <w:r>
        <w:rPr>
          <w:spacing w:val="-38"/>
        </w:rPr>
        <w:t> </w:t>
      </w:r>
      <w:r>
        <w:rPr/>
        <w:t>using</w:t>
      </w:r>
      <w:r>
        <w:rPr>
          <w:spacing w:val="-34"/>
        </w:rPr>
        <w:t> </w:t>
      </w:r>
      <w:r>
        <w:rPr/>
        <w:t>the</w:t>
      </w:r>
      <w:r>
        <w:rPr>
          <w:spacing w:val="-39"/>
        </w:rPr>
        <w:t> </w:t>
      </w:r>
      <w:r>
        <w:rPr/>
        <w:t>updated</w:t>
      </w:r>
      <w:r>
        <w:rPr>
          <w:spacing w:val="-29"/>
        </w:rPr>
        <w:t> </w:t>
      </w:r>
      <w:r>
        <w:rPr/>
        <w:t>information</w:t>
      </w:r>
      <w:r>
        <w:rPr>
          <w:spacing w:val="-31"/>
        </w:rPr>
        <w:t> </w:t>
      </w:r>
      <w:r>
        <w:rPr/>
        <w:t>in</w:t>
      </w:r>
      <w:r>
        <w:rPr>
          <w:spacing w:val="-39"/>
        </w:rPr>
        <w:t> </w:t>
      </w:r>
      <w:r>
        <w:rPr/>
        <w:t>their</w:t>
      </w:r>
      <w:r>
        <w:rPr>
          <w:spacing w:val="-33"/>
        </w:rPr>
        <w:t> </w:t>
      </w:r>
      <w:r>
        <w:rPr/>
        <w:t>operations</w:t>
      </w:r>
      <w:r>
        <w:rPr>
          <w:spacing w:val="-29"/>
        </w:rPr>
        <w:t> </w:t>
      </w:r>
      <w:r>
        <w:rPr/>
        <w:t>and</w:t>
      </w:r>
      <w:r>
        <w:rPr>
          <w:spacing w:val="-33"/>
        </w:rPr>
        <w:t> </w:t>
      </w:r>
      <w:r>
        <w:rPr/>
        <w:t>strategies;</w:t>
      </w:r>
      <w:r>
        <w:rPr>
          <w:spacing w:val="-30"/>
        </w:rPr>
        <w:t> </w:t>
      </w:r>
      <w:r>
        <w:rPr/>
        <w:t>including</w:t>
      </w:r>
      <w:r>
        <w:rPr>
          <w:spacing w:val="-30"/>
        </w:rPr>
        <w:t> </w:t>
      </w:r>
      <w:r>
        <w:rPr/>
        <w:t>for surface water flood risk management</w:t>
      </w:r>
      <w:r>
        <w:rPr>
          <w:spacing w:val="41"/>
        </w:rPr>
        <w:t> </w:t>
      </w:r>
      <w:r>
        <w:rPr/>
        <w:t>.</w:t>
      </w:r>
    </w:p>
    <w:p>
      <w:pPr>
        <w:pStyle w:val="BodyText"/>
        <w:spacing w:line="266" w:lineRule="auto" w:before="113"/>
        <w:ind w:left="975" w:right="221" w:firstLine="9"/>
      </w:pPr>
      <w:r>
        <w:rPr/>
        <w:t>The</w:t>
      </w:r>
      <w:r>
        <w:rPr>
          <w:spacing w:val="-34"/>
        </w:rPr>
        <w:t> </w:t>
      </w:r>
      <w:r>
        <w:rPr/>
        <w:t>project</w:t>
      </w:r>
      <w:r>
        <w:rPr>
          <w:spacing w:val="-24"/>
        </w:rPr>
        <w:t> </w:t>
      </w:r>
      <w:r>
        <w:rPr/>
        <w:t>was</w:t>
      </w:r>
      <w:r>
        <w:rPr>
          <w:spacing w:val="-28"/>
        </w:rPr>
        <w:t> </w:t>
      </w:r>
      <w:r>
        <w:rPr/>
        <w:t>selected</w:t>
      </w:r>
      <w:r>
        <w:rPr>
          <w:spacing w:val="-24"/>
        </w:rPr>
        <w:t> </w:t>
      </w:r>
      <w:r>
        <w:rPr/>
        <w:t>as</w:t>
      </w:r>
      <w:r>
        <w:rPr>
          <w:spacing w:val="-36"/>
        </w:rPr>
        <w:t> </w:t>
      </w:r>
      <w:r>
        <w:rPr/>
        <w:t>a</w:t>
      </w:r>
      <w:r>
        <w:rPr>
          <w:spacing w:val="-27"/>
        </w:rPr>
        <w:t> </w:t>
      </w:r>
      <w:r>
        <w:rPr/>
        <w:t>demonstrator</w:t>
      </w:r>
      <w:r>
        <w:rPr>
          <w:spacing w:val="-20"/>
        </w:rPr>
        <w:t> </w:t>
      </w:r>
      <w:r>
        <w:rPr/>
        <w:t>by</w:t>
      </w:r>
      <w:r>
        <w:rPr>
          <w:spacing w:val="-30"/>
        </w:rPr>
        <w:t> </w:t>
      </w:r>
      <w:r>
        <w:rPr/>
        <w:t>the</w:t>
      </w:r>
      <w:r>
        <w:rPr>
          <w:spacing w:val="-28"/>
        </w:rPr>
        <w:t> </w:t>
      </w:r>
      <w:r>
        <w:rPr/>
        <w:t>Met</w:t>
      </w:r>
      <w:r>
        <w:rPr>
          <w:spacing w:val="-27"/>
        </w:rPr>
        <w:t> </w:t>
      </w:r>
      <w:r>
        <w:rPr/>
        <w:t>Office,</w:t>
      </w:r>
      <w:r>
        <w:rPr>
          <w:spacing w:val="-32"/>
        </w:rPr>
        <w:t> </w:t>
      </w:r>
      <w:r>
        <w:rPr/>
        <w:t>to</w:t>
      </w:r>
      <w:r>
        <w:rPr>
          <w:spacing w:val="-35"/>
        </w:rPr>
        <w:t> </w:t>
      </w:r>
      <w:r>
        <w:rPr/>
        <w:t>be</w:t>
      </w:r>
      <w:r>
        <w:rPr>
          <w:spacing w:val="-35"/>
        </w:rPr>
        <w:t> </w:t>
      </w:r>
      <w:r>
        <w:rPr/>
        <w:t>made</w:t>
      </w:r>
      <w:r>
        <w:rPr>
          <w:spacing w:val="-27"/>
        </w:rPr>
        <w:t> </w:t>
      </w:r>
      <w:r>
        <w:rPr/>
        <w:t>available</w:t>
      </w:r>
      <w:r>
        <w:rPr>
          <w:spacing w:val="-27"/>
        </w:rPr>
        <w:t> </w:t>
      </w:r>
      <w:r>
        <w:rPr/>
        <w:t>nationally</w:t>
      </w:r>
      <w:r>
        <w:rPr>
          <w:spacing w:val="-27"/>
        </w:rPr>
        <w:t> </w:t>
      </w:r>
      <w:r>
        <w:rPr/>
        <w:t>as part</w:t>
      </w:r>
      <w:r>
        <w:rPr>
          <w:spacing w:val="-22"/>
        </w:rPr>
        <w:t> </w:t>
      </w:r>
      <w:r>
        <w:rPr/>
        <w:t>of</w:t>
      </w:r>
      <w:r>
        <w:rPr>
          <w:spacing w:val="-34"/>
        </w:rPr>
        <w:t> </w:t>
      </w:r>
      <w:r>
        <w:rPr/>
        <w:t>the</w:t>
      </w:r>
      <w:r>
        <w:rPr>
          <w:spacing w:val="-25"/>
        </w:rPr>
        <w:t> </w:t>
      </w:r>
      <w:r>
        <w:rPr/>
        <w:t>release</w:t>
      </w:r>
      <w:r>
        <w:rPr>
          <w:spacing w:val="-22"/>
        </w:rPr>
        <w:t> </w:t>
      </w:r>
      <w:r>
        <w:rPr/>
        <w:t>guidance</w:t>
      </w:r>
      <w:r>
        <w:rPr>
          <w:spacing w:val="-17"/>
        </w:rPr>
        <w:t> </w:t>
      </w:r>
      <w:r>
        <w:rPr/>
        <w:t>material*.</w:t>
      </w:r>
      <w:r>
        <w:rPr>
          <w:spacing w:val="-18"/>
        </w:rPr>
        <w:t> </w:t>
      </w:r>
      <w:r>
        <w:rPr/>
        <w:t>iCASP</w:t>
      </w:r>
      <w:r>
        <w:rPr>
          <w:spacing w:val="-20"/>
        </w:rPr>
        <w:t> </w:t>
      </w:r>
      <w:r>
        <w:rPr/>
        <w:t>will</w:t>
      </w:r>
      <w:r>
        <w:rPr>
          <w:spacing w:val="-26"/>
        </w:rPr>
        <w:t> </w:t>
      </w:r>
      <w:r>
        <w:rPr/>
        <w:t>continue</w:t>
      </w:r>
      <w:r>
        <w:rPr>
          <w:spacing w:val="-26"/>
        </w:rPr>
        <w:t> </w:t>
      </w:r>
      <w:r>
        <w:rPr/>
        <w:t>this</w:t>
      </w:r>
      <w:r>
        <w:rPr>
          <w:spacing w:val="-31"/>
        </w:rPr>
        <w:t> </w:t>
      </w:r>
      <w:r>
        <w:rPr/>
        <w:t>support</w:t>
      </w:r>
      <w:r>
        <w:rPr>
          <w:spacing w:val="-24"/>
        </w:rPr>
        <w:t> </w:t>
      </w:r>
      <w:r>
        <w:rPr/>
        <w:t>following</w:t>
      </w:r>
      <w:r>
        <w:rPr>
          <w:spacing w:val="-20"/>
        </w:rPr>
        <w:t> </w:t>
      </w:r>
      <w:r>
        <w:rPr/>
        <w:t>the</w:t>
      </w:r>
      <w:r>
        <w:rPr>
          <w:spacing w:val="-31"/>
        </w:rPr>
        <w:t> </w:t>
      </w:r>
      <w:r>
        <w:rPr/>
        <w:t>release</w:t>
      </w:r>
      <w:r>
        <w:rPr>
          <w:spacing w:val="-21"/>
        </w:rPr>
        <w:t> </w:t>
      </w:r>
      <w:r>
        <w:rPr/>
        <w:t>of UKCP18 by organising a regional forum in 2019. This will be a one day event in designed for organisations</w:t>
      </w:r>
      <w:r>
        <w:rPr>
          <w:spacing w:val="-27"/>
        </w:rPr>
        <w:t> </w:t>
      </w:r>
      <w:r>
        <w:rPr/>
        <w:t>who</w:t>
      </w:r>
      <w:r>
        <w:rPr>
          <w:spacing w:val="-36"/>
        </w:rPr>
        <w:t> </w:t>
      </w:r>
      <w:r>
        <w:rPr/>
        <w:t>need</w:t>
      </w:r>
      <w:r>
        <w:rPr>
          <w:spacing w:val="-35"/>
        </w:rPr>
        <w:t> </w:t>
      </w:r>
      <w:r>
        <w:rPr/>
        <w:t>to</w:t>
      </w:r>
      <w:r>
        <w:rPr>
          <w:spacing w:val="-38"/>
        </w:rPr>
        <w:t> </w:t>
      </w:r>
      <w:r>
        <w:rPr/>
        <w:t>use</w:t>
      </w:r>
      <w:r>
        <w:rPr>
          <w:spacing w:val="-35"/>
        </w:rPr>
        <w:t> </w:t>
      </w:r>
      <w:r>
        <w:rPr/>
        <w:t>UK</w:t>
      </w:r>
      <w:r>
        <w:rPr>
          <w:spacing w:val="-40"/>
        </w:rPr>
        <w:t> </w:t>
      </w:r>
      <w:r>
        <w:rPr/>
        <w:t>climate</w:t>
      </w:r>
      <w:r>
        <w:rPr>
          <w:spacing w:val="-29"/>
        </w:rPr>
        <w:t> </w:t>
      </w:r>
      <w:r>
        <w:rPr/>
        <w:t>projections</w:t>
      </w:r>
      <w:r>
        <w:rPr>
          <w:spacing w:val="-27"/>
        </w:rPr>
        <w:t> </w:t>
      </w:r>
      <w:r>
        <w:rPr/>
        <w:t>for</w:t>
      </w:r>
      <w:r>
        <w:rPr>
          <w:spacing w:val="-37"/>
        </w:rPr>
        <w:t> </w:t>
      </w:r>
      <w:r>
        <w:rPr/>
        <w:t>resilience</w:t>
      </w:r>
      <w:r>
        <w:rPr>
          <w:spacing w:val="-30"/>
        </w:rPr>
        <w:t> </w:t>
      </w:r>
      <w:r>
        <w:rPr/>
        <w:t>planning,</w:t>
      </w:r>
      <w:r>
        <w:rPr>
          <w:spacing w:val="-27"/>
        </w:rPr>
        <w:t> </w:t>
      </w:r>
      <w:r>
        <w:rPr/>
        <w:t>including</w:t>
      </w:r>
      <w:r>
        <w:rPr>
          <w:spacing w:val="-23"/>
        </w:rPr>
        <w:t> </w:t>
      </w:r>
      <w:r>
        <w:rPr/>
        <w:t>flood</w:t>
      </w:r>
      <w:r>
        <w:rPr>
          <w:spacing w:val="-31"/>
        </w:rPr>
        <w:t> </w:t>
      </w:r>
      <w:r>
        <w:rPr/>
        <w:t>risk management.</w:t>
      </w:r>
    </w:p>
    <w:p>
      <w:pPr>
        <w:pStyle w:val="ListParagraph"/>
        <w:numPr>
          <w:ilvl w:val="1"/>
          <w:numId w:val="13"/>
        </w:numPr>
        <w:tabs>
          <w:tab w:pos="977" w:val="left" w:leader="none"/>
          <w:tab w:pos="978" w:val="left" w:leader="none"/>
        </w:tabs>
        <w:spacing w:line="240" w:lineRule="auto" w:before="127" w:after="0"/>
        <w:ind w:left="977" w:right="0" w:hanging="854"/>
        <w:jc w:val="left"/>
        <w:rPr>
          <w:sz w:val="28"/>
        </w:rPr>
      </w:pPr>
      <w:r>
        <w:rPr>
          <w:sz w:val="28"/>
        </w:rPr>
        <w:t>SUSTAINABLE</w:t>
      </w:r>
      <w:r>
        <w:rPr>
          <w:spacing w:val="20"/>
          <w:sz w:val="28"/>
        </w:rPr>
        <w:t> </w:t>
      </w:r>
      <w:r>
        <w:rPr>
          <w:sz w:val="28"/>
        </w:rPr>
        <w:t>DEVELOPMENT</w:t>
      </w:r>
    </w:p>
    <w:p>
      <w:pPr>
        <w:pStyle w:val="BodyText"/>
        <w:spacing w:line="264" w:lineRule="auto" w:before="157"/>
        <w:ind w:left="976" w:right="221" w:firstLine="6"/>
      </w:pPr>
      <w:r>
        <w:rPr/>
        <w:t>Defined by the United Nations (Brundtland Commission, 1987), sustainable development is ‘development that meets the needs of the present without compromising the ability of future generations</w:t>
      </w:r>
      <w:r>
        <w:rPr>
          <w:spacing w:val="-21"/>
        </w:rPr>
        <w:t> </w:t>
      </w:r>
      <w:r>
        <w:rPr/>
        <w:t>to</w:t>
      </w:r>
      <w:r>
        <w:rPr>
          <w:spacing w:val="-30"/>
        </w:rPr>
        <w:t> </w:t>
      </w:r>
      <w:r>
        <w:rPr/>
        <w:t>meet</w:t>
      </w:r>
      <w:r>
        <w:rPr>
          <w:spacing w:val="-20"/>
        </w:rPr>
        <w:t> </w:t>
      </w:r>
      <w:r>
        <w:rPr/>
        <w:t>their</w:t>
      </w:r>
      <w:r>
        <w:rPr>
          <w:spacing w:val="-22"/>
        </w:rPr>
        <w:t> </w:t>
      </w:r>
      <w:r>
        <w:rPr/>
        <w:t>own</w:t>
      </w:r>
      <w:r>
        <w:rPr>
          <w:spacing w:val="-27"/>
        </w:rPr>
        <w:t> </w:t>
      </w:r>
      <w:r>
        <w:rPr/>
        <w:t>needs’.</w:t>
      </w:r>
      <w:r>
        <w:rPr>
          <w:spacing w:val="-10"/>
        </w:rPr>
        <w:t> </w:t>
      </w:r>
      <w:r>
        <w:rPr/>
        <w:t>The</w:t>
      </w:r>
      <w:r>
        <w:rPr>
          <w:spacing w:val="-23"/>
        </w:rPr>
        <w:t> </w:t>
      </w:r>
      <w:r>
        <w:rPr/>
        <w:t>promotion</w:t>
      </w:r>
      <w:r>
        <w:rPr>
          <w:spacing w:val="-15"/>
        </w:rPr>
        <w:t> </w:t>
      </w:r>
      <w:r>
        <w:rPr/>
        <w:t>of</w:t>
      </w:r>
      <w:r>
        <w:rPr>
          <w:spacing w:val="-28"/>
        </w:rPr>
        <w:t> </w:t>
      </w:r>
      <w:r>
        <w:rPr/>
        <w:t>sustainable</w:t>
      </w:r>
      <w:r>
        <w:rPr>
          <w:spacing w:val="-13"/>
        </w:rPr>
        <w:t> </w:t>
      </w:r>
      <w:r>
        <w:rPr/>
        <w:t>development</w:t>
      </w:r>
      <w:r>
        <w:rPr>
          <w:spacing w:val="-17"/>
        </w:rPr>
        <w:t> </w:t>
      </w:r>
      <w:r>
        <w:rPr/>
        <w:t>is</w:t>
      </w:r>
      <w:r>
        <w:rPr>
          <w:spacing w:val="-27"/>
        </w:rPr>
        <w:t> </w:t>
      </w:r>
      <w:r>
        <w:rPr/>
        <w:t>a</w:t>
      </w:r>
      <w:r>
        <w:rPr>
          <w:spacing w:val="-32"/>
        </w:rPr>
        <w:t> </w:t>
      </w:r>
      <w:r>
        <w:rPr/>
        <w:t>key</w:t>
      </w:r>
      <w:r>
        <w:rPr>
          <w:spacing w:val="-26"/>
        </w:rPr>
        <w:t> </w:t>
      </w:r>
      <w:r>
        <w:rPr/>
        <w:t>part</w:t>
      </w:r>
      <w:r>
        <w:rPr>
          <w:spacing w:val="-24"/>
        </w:rPr>
        <w:t> </w:t>
      </w:r>
      <w:r>
        <w:rPr/>
        <w:t>of climate</w:t>
      </w:r>
      <w:r>
        <w:rPr>
          <w:spacing w:val="-29"/>
        </w:rPr>
        <w:t> </w:t>
      </w:r>
      <w:r>
        <w:rPr/>
        <w:t>change</w:t>
      </w:r>
      <w:r>
        <w:rPr>
          <w:spacing w:val="-27"/>
        </w:rPr>
        <w:t> </w:t>
      </w:r>
      <w:r>
        <w:rPr/>
        <w:t>adaptation</w:t>
      </w:r>
      <w:r>
        <w:rPr>
          <w:spacing w:val="-23"/>
        </w:rPr>
        <w:t> </w:t>
      </w:r>
      <w:r>
        <w:rPr/>
        <w:t>and</w:t>
      </w:r>
      <w:r>
        <w:rPr>
          <w:spacing w:val="-27"/>
        </w:rPr>
        <w:t> </w:t>
      </w:r>
      <w:r>
        <w:rPr/>
        <w:t>will</w:t>
      </w:r>
      <w:r>
        <w:rPr>
          <w:spacing w:val="-30"/>
        </w:rPr>
        <w:t> </w:t>
      </w:r>
      <w:r>
        <w:rPr/>
        <w:t>help</w:t>
      </w:r>
      <w:r>
        <w:rPr>
          <w:spacing w:val="-31"/>
        </w:rPr>
        <w:t> </w:t>
      </w:r>
      <w:r>
        <w:rPr/>
        <w:t>mitigate</w:t>
      </w:r>
      <w:r>
        <w:rPr>
          <w:spacing w:val="-27"/>
        </w:rPr>
        <w:t> </w:t>
      </w:r>
      <w:r>
        <w:rPr/>
        <w:t>against</w:t>
      </w:r>
      <w:r>
        <w:rPr>
          <w:spacing w:val="-29"/>
        </w:rPr>
        <w:t> </w:t>
      </w:r>
      <w:r>
        <w:rPr/>
        <w:t>any</w:t>
      </w:r>
      <w:r>
        <w:rPr>
          <w:spacing w:val="-32"/>
        </w:rPr>
        <w:t> </w:t>
      </w:r>
      <w:r>
        <w:rPr/>
        <w:t>increase</w:t>
      </w:r>
      <w:r>
        <w:rPr>
          <w:spacing w:val="-32"/>
        </w:rPr>
        <w:t> </w:t>
      </w:r>
      <w:r>
        <w:rPr/>
        <w:t>in</w:t>
      </w:r>
      <w:r>
        <w:rPr>
          <w:spacing w:val="-33"/>
        </w:rPr>
        <w:t> </w:t>
      </w:r>
      <w:r>
        <w:rPr/>
        <w:t>flood</w:t>
      </w:r>
      <w:r>
        <w:rPr>
          <w:spacing w:val="-32"/>
        </w:rPr>
        <w:t> </w:t>
      </w:r>
      <w:r>
        <w:rPr/>
        <w:t>risk</w:t>
      </w:r>
      <w:r>
        <w:rPr>
          <w:spacing w:val="-28"/>
        </w:rPr>
        <w:t> </w:t>
      </w:r>
      <w:r>
        <w:rPr/>
        <w:t>arising</w:t>
      </w:r>
      <w:r>
        <w:rPr>
          <w:spacing w:val="-26"/>
        </w:rPr>
        <w:t> </w:t>
      </w:r>
      <w:r>
        <w:rPr/>
        <w:t>as</w:t>
      </w:r>
      <w:r>
        <w:rPr>
          <w:spacing w:val="-33"/>
        </w:rPr>
        <w:t> </w:t>
      </w:r>
      <w:r>
        <w:rPr/>
        <w:t>a</w:t>
      </w:r>
      <w:r>
        <w:rPr>
          <w:spacing w:val="-38"/>
        </w:rPr>
        <w:t> </w:t>
      </w:r>
      <w:r>
        <w:rPr/>
        <w:t>result of climate</w:t>
      </w:r>
      <w:r>
        <w:rPr>
          <w:spacing w:val="2"/>
        </w:rPr>
        <w:t> </w:t>
      </w:r>
      <w:r>
        <w:rPr/>
        <w:t>change.</w:t>
      </w:r>
    </w:p>
    <w:p>
      <w:pPr>
        <w:pStyle w:val="BodyText"/>
        <w:spacing w:line="261" w:lineRule="auto" w:before="119"/>
        <w:ind w:left="982" w:right="221" w:hanging="2"/>
      </w:pPr>
      <w:r>
        <w:rPr/>
        <w:t>A</w:t>
      </w:r>
      <w:r>
        <w:rPr>
          <w:spacing w:val="-36"/>
        </w:rPr>
        <w:t> </w:t>
      </w:r>
      <w:r>
        <w:rPr/>
        <w:t>number</w:t>
      </w:r>
      <w:r>
        <w:rPr>
          <w:spacing w:val="-27"/>
        </w:rPr>
        <w:t> </w:t>
      </w:r>
      <w:r>
        <w:rPr/>
        <w:t>of</w:t>
      </w:r>
      <w:r>
        <w:rPr>
          <w:spacing w:val="-37"/>
        </w:rPr>
        <w:t> </w:t>
      </w:r>
      <w:r>
        <w:rPr/>
        <w:t>principle</w:t>
      </w:r>
      <w:r>
        <w:rPr>
          <w:spacing w:val="-30"/>
        </w:rPr>
        <w:t> </w:t>
      </w:r>
      <w:r>
        <w:rPr/>
        <w:t>ways</w:t>
      </w:r>
      <w:r>
        <w:rPr>
          <w:spacing w:val="-35"/>
        </w:rPr>
        <w:t> </w:t>
      </w:r>
      <w:r>
        <w:rPr/>
        <w:t>in</w:t>
      </w:r>
      <w:r>
        <w:rPr>
          <w:spacing w:val="-35"/>
        </w:rPr>
        <w:t> </w:t>
      </w:r>
      <w:r>
        <w:rPr/>
        <w:t>which</w:t>
      </w:r>
      <w:r>
        <w:rPr>
          <w:spacing w:val="-34"/>
        </w:rPr>
        <w:t> </w:t>
      </w:r>
      <w:r>
        <w:rPr/>
        <w:t>local</w:t>
      </w:r>
      <w:r>
        <w:rPr>
          <w:spacing w:val="-33"/>
        </w:rPr>
        <w:t> </w:t>
      </w:r>
      <w:r>
        <w:rPr/>
        <w:t>flood</w:t>
      </w:r>
      <w:r>
        <w:rPr>
          <w:spacing w:val="-30"/>
        </w:rPr>
        <w:t> </w:t>
      </w:r>
      <w:r>
        <w:rPr/>
        <w:t>risk</w:t>
      </w:r>
      <w:r>
        <w:rPr>
          <w:spacing w:val="-38"/>
        </w:rPr>
        <w:t> </w:t>
      </w:r>
      <w:r>
        <w:rPr/>
        <w:t>management</w:t>
      </w:r>
      <w:r>
        <w:rPr>
          <w:spacing w:val="-20"/>
        </w:rPr>
        <w:t> </w:t>
      </w:r>
      <w:r>
        <w:rPr/>
        <w:t>can</w:t>
      </w:r>
      <w:r>
        <w:rPr>
          <w:spacing w:val="-32"/>
        </w:rPr>
        <w:t> </w:t>
      </w:r>
      <w:r>
        <w:rPr/>
        <w:t>contribute</w:t>
      </w:r>
      <w:r>
        <w:rPr>
          <w:spacing w:val="-32"/>
        </w:rPr>
        <w:t> </w:t>
      </w:r>
      <w:r>
        <w:rPr/>
        <w:t>to</w:t>
      </w:r>
      <w:r>
        <w:rPr>
          <w:spacing w:val="-35"/>
        </w:rPr>
        <w:t> </w:t>
      </w:r>
      <w:r>
        <w:rPr/>
        <w:t>sustainable development are identified</w:t>
      </w:r>
      <w:r>
        <w:rPr>
          <w:spacing w:val="-33"/>
        </w:rPr>
        <w:t> </w:t>
      </w:r>
      <w:r>
        <w:rPr/>
        <w:t>below.</w:t>
      </w:r>
    </w:p>
    <w:p>
      <w:pPr>
        <w:pStyle w:val="ListParagraph"/>
        <w:numPr>
          <w:ilvl w:val="0"/>
          <w:numId w:val="14"/>
        </w:numPr>
        <w:tabs>
          <w:tab w:pos="1401" w:val="left" w:leader="none"/>
        </w:tabs>
        <w:spacing w:line="261" w:lineRule="auto" w:before="124" w:after="0"/>
        <w:ind w:left="1405" w:right="505" w:hanging="274"/>
        <w:jc w:val="left"/>
        <w:rPr>
          <w:color w:val="FF3F3A"/>
          <w:sz w:val="23"/>
        </w:rPr>
      </w:pPr>
      <w:r>
        <w:rPr>
          <w:sz w:val="23"/>
        </w:rPr>
        <w:t>Working</w:t>
      </w:r>
      <w:r>
        <w:rPr>
          <w:spacing w:val="-21"/>
          <w:sz w:val="23"/>
        </w:rPr>
        <w:t> </w:t>
      </w:r>
      <w:r>
        <w:rPr>
          <w:sz w:val="23"/>
        </w:rPr>
        <w:t>with</w:t>
      </w:r>
      <w:r>
        <w:rPr>
          <w:spacing w:val="-31"/>
          <w:sz w:val="23"/>
        </w:rPr>
        <w:t> </w:t>
      </w:r>
      <w:r>
        <w:rPr>
          <w:sz w:val="23"/>
        </w:rPr>
        <w:t>natural</w:t>
      </w:r>
      <w:r>
        <w:rPr>
          <w:spacing w:val="-32"/>
          <w:sz w:val="23"/>
        </w:rPr>
        <w:t> </w:t>
      </w:r>
      <w:r>
        <w:rPr>
          <w:sz w:val="23"/>
        </w:rPr>
        <w:t>processes</w:t>
      </w:r>
      <w:r>
        <w:rPr>
          <w:spacing w:val="-30"/>
          <w:sz w:val="23"/>
        </w:rPr>
        <w:t> </w:t>
      </w:r>
      <w:r>
        <w:rPr>
          <w:sz w:val="23"/>
        </w:rPr>
        <w:t>to</w:t>
      </w:r>
      <w:r>
        <w:rPr>
          <w:spacing w:val="-32"/>
          <w:sz w:val="23"/>
        </w:rPr>
        <w:t> </w:t>
      </w:r>
      <w:r>
        <w:rPr>
          <w:sz w:val="23"/>
        </w:rPr>
        <w:t>reduce</w:t>
      </w:r>
      <w:r>
        <w:rPr>
          <w:spacing w:val="-30"/>
          <w:sz w:val="23"/>
        </w:rPr>
        <w:t> </w:t>
      </w:r>
      <w:r>
        <w:rPr>
          <w:sz w:val="23"/>
        </w:rPr>
        <w:t>flood</w:t>
      </w:r>
      <w:r>
        <w:rPr>
          <w:spacing w:val="-33"/>
          <w:sz w:val="23"/>
        </w:rPr>
        <w:t> </w:t>
      </w:r>
      <w:r>
        <w:rPr>
          <w:sz w:val="23"/>
        </w:rPr>
        <w:t>risk</w:t>
      </w:r>
      <w:r>
        <w:rPr>
          <w:spacing w:val="-30"/>
          <w:sz w:val="23"/>
        </w:rPr>
        <w:t> </w:t>
      </w:r>
      <w:r>
        <w:rPr>
          <w:sz w:val="23"/>
        </w:rPr>
        <w:t>e.g.</w:t>
      </w:r>
      <w:r>
        <w:rPr>
          <w:spacing w:val="-32"/>
          <w:sz w:val="23"/>
        </w:rPr>
        <w:t> </w:t>
      </w:r>
      <w:r>
        <w:rPr>
          <w:sz w:val="23"/>
        </w:rPr>
        <w:t>by</w:t>
      </w:r>
      <w:r>
        <w:rPr>
          <w:spacing w:val="-34"/>
          <w:sz w:val="23"/>
        </w:rPr>
        <w:t> </w:t>
      </w:r>
      <w:r>
        <w:rPr>
          <w:sz w:val="23"/>
        </w:rPr>
        <w:t>restoring</w:t>
      </w:r>
      <w:r>
        <w:rPr>
          <w:spacing w:val="-30"/>
          <w:sz w:val="23"/>
        </w:rPr>
        <w:t> </w:t>
      </w:r>
      <w:r>
        <w:rPr>
          <w:sz w:val="23"/>
        </w:rPr>
        <w:t>the</w:t>
      </w:r>
      <w:r>
        <w:rPr>
          <w:spacing w:val="-36"/>
          <w:sz w:val="23"/>
        </w:rPr>
        <w:t> </w:t>
      </w:r>
      <w:r>
        <w:rPr>
          <w:sz w:val="23"/>
        </w:rPr>
        <w:t>natural</w:t>
      </w:r>
      <w:r>
        <w:rPr>
          <w:spacing w:val="-25"/>
          <w:sz w:val="23"/>
        </w:rPr>
        <w:t> </w:t>
      </w:r>
      <w:r>
        <w:rPr>
          <w:sz w:val="23"/>
        </w:rPr>
        <w:t>capacities</w:t>
      </w:r>
      <w:r>
        <w:rPr>
          <w:spacing w:val="-27"/>
          <w:sz w:val="23"/>
        </w:rPr>
        <w:t> </w:t>
      </w:r>
      <w:r>
        <w:rPr>
          <w:sz w:val="23"/>
        </w:rPr>
        <w:t>of soil and vegetation to intercept</w:t>
      </w:r>
      <w:r>
        <w:rPr>
          <w:spacing w:val="5"/>
          <w:sz w:val="23"/>
        </w:rPr>
        <w:t> </w:t>
      </w:r>
      <w:r>
        <w:rPr>
          <w:sz w:val="23"/>
        </w:rPr>
        <w:t>rainfall.</w:t>
      </w:r>
    </w:p>
    <w:p>
      <w:pPr>
        <w:pStyle w:val="ListParagraph"/>
        <w:numPr>
          <w:ilvl w:val="0"/>
          <w:numId w:val="14"/>
        </w:numPr>
        <w:tabs>
          <w:tab w:pos="1405" w:val="left" w:leader="none"/>
        </w:tabs>
        <w:spacing w:line="240" w:lineRule="auto" w:before="9" w:after="0"/>
        <w:ind w:left="1404" w:right="0" w:hanging="273"/>
        <w:jc w:val="left"/>
        <w:rPr>
          <w:color w:val="FF2626"/>
          <w:sz w:val="23"/>
        </w:rPr>
      </w:pPr>
      <w:r>
        <w:rPr>
          <w:sz w:val="23"/>
        </w:rPr>
        <w:t>Promoting greater use of</w:t>
      </w:r>
      <w:r>
        <w:rPr>
          <w:spacing w:val="23"/>
          <w:sz w:val="23"/>
        </w:rPr>
        <w:t> </w:t>
      </w:r>
      <w:r>
        <w:rPr>
          <w:sz w:val="23"/>
        </w:rPr>
        <w:t>SuDS.</w:t>
      </w:r>
    </w:p>
    <w:p>
      <w:pPr>
        <w:pStyle w:val="ListParagraph"/>
        <w:numPr>
          <w:ilvl w:val="0"/>
          <w:numId w:val="14"/>
        </w:numPr>
        <w:tabs>
          <w:tab w:pos="1405" w:val="left" w:leader="none"/>
        </w:tabs>
        <w:spacing w:line="261" w:lineRule="auto" w:before="24" w:after="0"/>
        <w:ind w:left="1405" w:right="892" w:hanging="274"/>
        <w:jc w:val="left"/>
        <w:rPr>
          <w:color w:val="FF2F2A"/>
          <w:sz w:val="23"/>
        </w:rPr>
      </w:pPr>
      <w:r>
        <w:rPr>
          <w:w w:val="95"/>
          <w:sz w:val="23"/>
        </w:rPr>
        <w:t>Developing flood resilient infrastructure and buildings which perform satisfactorily without </w:t>
      </w:r>
      <w:r>
        <w:rPr>
          <w:sz w:val="23"/>
        </w:rPr>
        <w:t>suffering permanent loss of functionality during extreme flood</w:t>
      </w:r>
      <w:r>
        <w:rPr>
          <w:spacing w:val="-15"/>
          <w:sz w:val="23"/>
        </w:rPr>
        <w:t> </w:t>
      </w:r>
      <w:r>
        <w:rPr>
          <w:sz w:val="23"/>
        </w:rPr>
        <w:t>events.</w:t>
      </w:r>
    </w:p>
    <w:p>
      <w:pPr>
        <w:pStyle w:val="ListParagraph"/>
        <w:numPr>
          <w:ilvl w:val="0"/>
          <w:numId w:val="14"/>
        </w:numPr>
        <w:tabs>
          <w:tab w:pos="1405" w:val="left" w:leader="none"/>
        </w:tabs>
        <w:spacing w:line="271" w:lineRule="auto" w:before="0" w:after="0"/>
        <w:ind w:left="1397" w:right="599" w:hanging="266"/>
        <w:jc w:val="left"/>
        <w:rPr>
          <w:color w:val="EF4136"/>
          <w:sz w:val="23"/>
        </w:rPr>
      </w:pPr>
      <w:r>
        <w:rPr>
          <w:sz w:val="23"/>
        </w:rPr>
        <w:t>Developing</w:t>
      </w:r>
      <w:r>
        <w:rPr>
          <w:spacing w:val="-28"/>
          <w:sz w:val="23"/>
        </w:rPr>
        <w:t> </w:t>
      </w:r>
      <w:r>
        <w:rPr>
          <w:sz w:val="23"/>
        </w:rPr>
        <w:t>flood</w:t>
      </w:r>
      <w:r>
        <w:rPr>
          <w:spacing w:val="-33"/>
          <w:sz w:val="23"/>
        </w:rPr>
        <w:t> </w:t>
      </w:r>
      <w:r>
        <w:rPr>
          <w:sz w:val="23"/>
        </w:rPr>
        <w:t>defences</w:t>
      </w:r>
      <w:r>
        <w:rPr>
          <w:spacing w:val="-31"/>
          <w:sz w:val="23"/>
        </w:rPr>
        <w:t> </w:t>
      </w:r>
      <w:r>
        <w:rPr>
          <w:sz w:val="23"/>
        </w:rPr>
        <w:t>that</w:t>
      </w:r>
      <w:r>
        <w:rPr>
          <w:spacing w:val="-38"/>
          <w:sz w:val="23"/>
        </w:rPr>
        <w:t> </w:t>
      </w:r>
      <w:r>
        <w:rPr>
          <w:sz w:val="23"/>
        </w:rPr>
        <w:t>are</w:t>
      </w:r>
      <w:r>
        <w:rPr>
          <w:spacing w:val="-36"/>
          <w:sz w:val="23"/>
        </w:rPr>
        <w:t> </w:t>
      </w:r>
      <w:r>
        <w:rPr>
          <w:sz w:val="23"/>
        </w:rPr>
        <w:t>adaptable</w:t>
      </w:r>
      <w:r>
        <w:rPr>
          <w:spacing w:val="-32"/>
          <w:sz w:val="23"/>
        </w:rPr>
        <w:t> </w:t>
      </w:r>
      <w:r>
        <w:rPr>
          <w:sz w:val="23"/>
        </w:rPr>
        <w:t>and</w:t>
      </w:r>
      <w:r>
        <w:rPr>
          <w:spacing w:val="-32"/>
          <w:sz w:val="23"/>
        </w:rPr>
        <w:t> </w:t>
      </w:r>
      <w:r>
        <w:rPr>
          <w:sz w:val="23"/>
        </w:rPr>
        <w:t>flexible</w:t>
      </w:r>
      <w:r>
        <w:rPr>
          <w:spacing w:val="-31"/>
          <w:sz w:val="23"/>
        </w:rPr>
        <w:t> </w:t>
      </w:r>
      <w:r>
        <w:rPr>
          <w:sz w:val="23"/>
        </w:rPr>
        <w:t>and</w:t>
      </w:r>
      <w:r>
        <w:rPr>
          <w:spacing w:val="-37"/>
          <w:sz w:val="23"/>
        </w:rPr>
        <w:t> </w:t>
      </w:r>
      <w:r>
        <w:rPr>
          <w:sz w:val="23"/>
        </w:rPr>
        <w:t>take</w:t>
      </w:r>
      <w:r>
        <w:rPr>
          <w:spacing w:val="-35"/>
          <w:sz w:val="23"/>
        </w:rPr>
        <w:t> </w:t>
      </w:r>
      <w:r>
        <w:rPr>
          <w:sz w:val="23"/>
        </w:rPr>
        <w:t>account</w:t>
      </w:r>
      <w:r>
        <w:rPr>
          <w:spacing w:val="-31"/>
          <w:sz w:val="23"/>
        </w:rPr>
        <w:t> </w:t>
      </w:r>
      <w:r>
        <w:rPr>
          <w:sz w:val="23"/>
        </w:rPr>
        <w:t>of</w:t>
      </w:r>
      <w:r>
        <w:rPr>
          <w:spacing w:val="-37"/>
          <w:sz w:val="23"/>
        </w:rPr>
        <w:t> </w:t>
      </w:r>
      <w:r>
        <w:rPr>
          <w:sz w:val="23"/>
        </w:rPr>
        <w:t>the</w:t>
      </w:r>
      <w:r>
        <w:rPr>
          <w:spacing w:val="-39"/>
          <w:sz w:val="23"/>
        </w:rPr>
        <w:t> </w:t>
      </w:r>
      <w:r>
        <w:rPr>
          <w:sz w:val="23"/>
        </w:rPr>
        <w:t>projected longer-term impacts of climate</w:t>
      </w:r>
      <w:r>
        <w:rPr>
          <w:spacing w:val="-13"/>
          <w:sz w:val="23"/>
        </w:rPr>
        <w:t> </w:t>
      </w:r>
      <w:r>
        <w:rPr>
          <w:sz w:val="23"/>
        </w:rPr>
        <w:t>change.</w:t>
      </w:r>
    </w:p>
    <w:p>
      <w:pPr>
        <w:pStyle w:val="ListParagraph"/>
        <w:numPr>
          <w:ilvl w:val="0"/>
          <w:numId w:val="14"/>
        </w:numPr>
        <w:tabs>
          <w:tab w:pos="1403" w:val="left" w:leader="none"/>
        </w:tabs>
        <w:spacing w:line="271" w:lineRule="auto" w:before="0" w:after="0"/>
        <w:ind w:left="1404" w:right="525" w:hanging="273"/>
        <w:jc w:val="left"/>
        <w:rPr>
          <w:color w:val="EB3D31"/>
          <w:sz w:val="23"/>
        </w:rPr>
      </w:pPr>
      <w:r>
        <w:rPr>
          <w:sz w:val="23"/>
        </w:rPr>
        <w:t>Sustainable</w:t>
      </w:r>
      <w:r>
        <w:rPr>
          <w:spacing w:val="-31"/>
          <w:sz w:val="23"/>
        </w:rPr>
        <w:t> </w:t>
      </w:r>
      <w:r>
        <w:rPr>
          <w:sz w:val="23"/>
        </w:rPr>
        <w:t>procurement</w:t>
      </w:r>
      <w:r>
        <w:rPr>
          <w:spacing w:val="-25"/>
          <w:sz w:val="23"/>
        </w:rPr>
        <w:t> </w:t>
      </w:r>
      <w:r>
        <w:rPr>
          <w:sz w:val="23"/>
        </w:rPr>
        <w:t>of</w:t>
      </w:r>
      <w:r>
        <w:rPr>
          <w:spacing w:val="-33"/>
          <w:sz w:val="23"/>
        </w:rPr>
        <w:t> </w:t>
      </w:r>
      <w:r>
        <w:rPr>
          <w:sz w:val="23"/>
        </w:rPr>
        <w:t>energy</w:t>
      </w:r>
      <w:r>
        <w:rPr>
          <w:spacing w:val="-29"/>
          <w:sz w:val="23"/>
        </w:rPr>
        <w:t> </w:t>
      </w:r>
      <w:r>
        <w:rPr>
          <w:sz w:val="23"/>
        </w:rPr>
        <w:t>supplies</w:t>
      </w:r>
      <w:r>
        <w:rPr>
          <w:spacing w:val="-29"/>
          <w:sz w:val="23"/>
        </w:rPr>
        <w:t> </w:t>
      </w:r>
      <w:r>
        <w:rPr>
          <w:sz w:val="23"/>
        </w:rPr>
        <w:t>and</w:t>
      </w:r>
      <w:r>
        <w:rPr>
          <w:spacing w:val="-38"/>
          <w:sz w:val="23"/>
        </w:rPr>
        <w:t> </w:t>
      </w:r>
      <w:r>
        <w:rPr>
          <w:sz w:val="23"/>
        </w:rPr>
        <w:t>materials</w:t>
      </w:r>
      <w:r>
        <w:rPr>
          <w:spacing w:val="-31"/>
          <w:sz w:val="23"/>
        </w:rPr>
        <w:t> </w:t>
      </w:r>
      <w:r>
        <w:rPr>
          <w:sz w:val="23"/>
        </w:rPr>
        <w:t>to</w:t>
      </w:r>
      <w:r>
        <w:rPr>
          <w:spacing w:val="-39"/>
          <w:sz w:val="23"/>
        </w:rPr>
        <w:t> </w:t>
      </w:r>
      <w:r>
        <w:rPr>
          <w:sz w:val="23"/>
        </w:rPr>
        <w:t>reduce</w:t>
      </w:r>
      <w:r>
        <w:rPr>
          <w:spacing w:val="-36"/>
          <w:sz w:val="23"/>
        </w:rPr>
        <w:t> </w:t>
      </w:r>
      <w:r>
        <w:rPr>
          <w:sz w:val="23"/>
        </w:rPr>
        <w:t>the</w:t>
      </w:r>
      <w:r>
        <w:rPr>
          <w:spacing w:val="-38"/>
          <w:sz w:val="23"/>
        </w:rPr>
        <w:t> </w:t>
      </w:r>
      <w:r>
        <w:rPr>
          <w:sz w:val="23"/>
        </w:rPr>
        <w:t>impact</w:t>
      </w:r>
      <w:r>
        <w:rPr>
          <w:spacing w:val="-29"/>
          <w:sz w:val="23"/>
        </w:rPr>
        <w:t> </w:t>
      </w:r>
      <w:r>
        <w:rPr>
          <w:sz w:val="23"/>
        </w:rPr>
        <w:t>on</w:t>
      </w:r>
      <w:r>
        <w:rPr>
          <w:spacing w:val="-37"/>
          <w:sz w:val="23"/>
        </w:rPr>
        <w:t> </w:t>
      </w:r>
      <w:r>
        <w:rPr>
          <w:sz w:val="23"/>
        </w:rPr>
        <w:t>the</w:t>
      </w:r>
      <w:r>
        <w:rPr>
          <w:spacing w:val="-36"/>
          <w:sz w:val="23"/>
        </w:rPr>
        <w:t> </w:t>
      </w:r>
      <w:r>
        <w:rPr>
          <w:sz w:val="23"/>
        </w:rPr>
        <w:t>wider environment.</w:t>
      </w:r>
    </w:p>
    <w:p>
      <w:pPr>
        <w:pStyle w:val="BodyText"/>
        <w:rPr>
          <w:sz w:val="20"/>
        </w:rPr>
      </w:pPr>
    </w:p>
    <w:p>
      <w:pPr>
        <w:pStyle w:val="BodyText"/>
        <w:spacing w:before="8"/>
        <w:rPr>
          <w:sz w:val="10"/>
        </w:rPr>
      </w:pPr>
      <w:r>
        <w:rPr/>
        <w:pict>
          <v:line style="position:absolute;mso-position-horizontal-relative:page;mso-position-vertical-relative:paragraph;z-index:800;mso-wrap-distance-left:0;mso-wrap-distance-right:0" from="71.513947pt,8.732643pt" to="216.221646pt,8.732643pt" stroked="true" strokeweight="1.1999pt" strokecolor="#000000">
            <v:stroke dashstyle="solid"/>
            <w10:wrap type="topAndBottom"/>
          </v:line>
        </w:pict>
      </w:r>
    </w:p>
    <w:p>
      <w:pPr>
        <w:pStyle w:val="BodyText"/>
        <w:rPr>
          <w:sz w:val="26"/>
        </w:rPr>
      </w:pPr>
    </w:p>
    <w:p>
      <w:pPr>
        <w:pStyle w:val="BodyText"/>
        <w:rPr>
          <w:sz w:val="26"/>
        </w:rPr>
      </w:pPr>
    </w:p>
    <w:p>
      <w:pPr>
        <w:pStyle w:val="BodyText"/>
        <w:rPr>
          <w:sz w:val="26"/>
        </w:rPr>
      </w:pPr>
    </w:p>
    <w:p>
      <w:pPr>
        <w:pStyle w:val="BodyText"/>
      </w:pPr>
    </w:p>
    <w:p>
      <w:pPr>
        <w:pStyle w:val="BodyText"/>
        <w:spacing w:line="374" w:lineRule="auto"/>
        <w:ind w:left="1109" w:right="221"/>
      </w:pPr>
      <w:r>
        <w:rPr/>
        <w:t>https://icasp.org.uk/resources/uk-climate-projections/ </w:t>
      </w:r>
      <w:hyperlink r:id="rId53">
        <w:r>
          <w:rPr>
            <w:w w:val="95"/>
          </w:rPr>
          <w:t>https://www.metoffice.gov.uk/binaries/content/assets/mohippo/pdf/ukcp18/uoe.icasp.v2.pdf</w:t>
        </w:r>
      </w:hyperlink>
    </w:p>
    <w:p>
      <w:pPr>
        <w:spacing w:after="0" w:line="374" w:lineRule="auto"/>
        <w:sectPr>
          <w:pgSz w:w="11920" w:h="16850"/>
          <w:pgMar w:header="0" w:footer="1246" w:top="580" w:bottom="1440" w:left="440" w:right="56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ListParagraph"/>
        <w:numPr>
          <w:ilvl w:val="0"/>
          <w:numId w:val="14"/>
        </w:numPr>
        <w:tabs>
          <w:tab w:pos="1402" w:val="left" w:leader="none"/>
        </w:tabs>
        <w:spacing w:line="240" w:lineRule="auto" w:before="92" w:after="0"/>
        <w:ind w:left="1401" w:right="0" w:hanging="270"/>
        <w:jc w:val="left"/>
        <w:rPr>
          <w:color w:val="FF362F"/>
          <w:sz w:val="23"/>
        </w:rPr>
      </w:pPr>
      <w:r>
        <w:rPr/>
        <w:pict>
          <v:group style="position:absolute;margin-left:123.349602pt;margin-top:-50.127747pt;width:5.3pt;height:35.050pt;mso-position-horizontal-relative:page;mso-position-vertical-relative:paragraph;z-index:2896" coordorigin="2467,-1003" coordsize="106,701">
            <v:shape style="position:absolute;left:2467;top:-1003;width:106;height:48" type="#_x0000_t75" stroked="false">
              <v:imagedata r:id="rId14" o:title=""/>
            </v:shape>
            <v:shape style="position:absolute;left:2486;top:-341;width:87;height:39" type="#_x0000_t75" stroked="false">
              <v:imagedata r:id="rId15" o:title=""/>
            </v:shape>
            <v:line style="position:absolute" from="2515,-1003" to="2515,-311" stroked="true" strokeweight="4.799592pt" strokecolor="#ff6477">
              <v:stroke dashstyle="solid"/>
            </v:line>
            <w10:wrap type="none"/>
          </v:group>
        </w:pict>
      </w:r>
      <w:bookmarkStart w:name="Leeds LFRMS 2018 Update_Page_39" w:id="52"/>
      <w:bookmarkEnd w:id="52"/>
      <w:r>
        <w:rPr/>
      </w:r>
      <w:bookmarkStart w:name="Leeds LFRMS 2018 Update_Page_39" w:id="53"/>
      <w:bookmarkEnd w:id="53"/>
      <w:r>
        <w:rPr>
          <w:sz w:val="23"/>
        </w:rPr>
        <w:t>Carbo</w:t>
      </w:r>
      <w:r>
        <w:rPr>
          <w:sz w:val="23"/>
        </w:rPr>
        <w:t>n</w:t>
      </w:r>
      <w:r>
        <w:rPr>
          <w:spacing w:val="-2"/>
          <w:sz w:val="23"/>
        </w:rPr>
        <w:t> </w:t>
      </w:r>
      <w:r>
        <w:rPr>
          <w:sz w:val="23"/>
        </w:rPr>
        <w:t>counting</w:t>
      </w:r>
      <w:r>
        <w:rPr>
          <w:spacing w:val="-3"/>
          <w:sz w:val="23"/>
        </w:rPr>
        <w:t> </w:t>
      </w:r>
      <w:r>
        <w:rPr>
          <w:sz w:val="23"/>
        </w:rPr>
        <w:t>and</w:t>
      </w:r>
      <w:r>
        <w:rPr>
          <w:spacing w:val="-16"/>
          <w:sz w:val="23"/>
        </w:rPr>
        <w:t> </w:t>
      </w:r>
      <w:r>
        <w:rPr>
          <w:sz w:val="23"/>
        </w:rPr>
        <w:t>offsetting</w:t>
      </w:r>
      <w:r>
        <w:rPr>
          <w:spacing w:val="-6"/>
          <w:sz w:val="23"/>
        </w:rPr>
        <w:t> </w:t>
      </w:r>
      <w:r>
        <w:rPr>
          <w:sz w:val="23"/>
        </w:rPr>
        <w:t>with</w:t>
      </w:r>
      <w:r>
        <w:rPr>
          <w:spacing w:val="-17"/>
          <w:sz w:val="23"/>
        </w:rPr>
        <w:t> </w:t>
      </w:r>
      <w:r>
        <w:rPr>
          <w:sz w:val="23"/>
        </w:rPr>
        <w:t>the</w:t>
      </w:r>
      <w:r>
        <w:rPr>
          <w:spacing w:val="-17"/>
          <w:sz w:val="23"/>
        </w:rPr>
        <w:t> </w:t>
      </w:r>
      <w:r>
        <w:rPr>
          <w:sz w:val="23"/>
        </w:rPr>
        <w:t>aim</w:t>
      </w:r>
      <w:r>
        <w:rPr>
          <w:spacing w:val="-6"/>
          <w:sz w:val="23"/>
        </w:rPr>
        <w:t> </w:t>
      </w:r>
      <w:r>
        <w:rPr>
          <w:sz w:val="23"/>
        </w:rPr>
        <w:t>of</w:t>
      </w:r>
      <w:r>
        <w:rPr>
          <w:spacing w:val="-17"/>
          <w:sz w:val="23"/>
        </w:rPr>
        <w:t> </w:t>
      </w:r>
      <w:r>
        <w:rPr>
          <w:sz w:val="23"/>
        </w:rPr>
        <w:t>decreasing</w:t>
      </w:r>
      <w:r>
        <w:rPr>
          <w:spacing w:val="-3"/>
          <w:sz w:val="23"/>
        </w:rPr>
        <w:t> </w:t>
      </w:r>
      <w:r>
        <w:rPr>
          <w:sz w:val="23"/>
        </w:rPr>
        <w:t>greenhouse</w:t>
      </w:r>
      <w:r>
        <w:rPr>
          <w:spacing w:val="-2"/>
          <w:sz w:val="23"/>
        </w:rPr>
        <w:t> </w:t>
      </w:r>
      <w:r>
        <w:rPr>
          <w:sz w:val="23"/>
        </w:rPr>
        <w:t>gas</w:t>
      </w:r>
      <w:r>
        <w:rPr>
          <w:spacing w:val="-22"/>
          <w:sz w:val="23"/>
        </w:rPr>
        <w:t> </w:t>
      </w:r>
      <w:r>
        <w:rPr>
          <w:sz w:val="23"/>
        </w:rPr>
        <w:t>emissions.</w:t>
      </w:r>
    </w:p>
    <w:p>
      <w:pPr>
        <w:pStyle w:val="ListParagraph"/>
        <w:numPr>
          <w:ilvl w:val="0"/>
          <w:numId w:val="14"/>
        </w:numPr>
        <w:tabs>
          <w:tab w:pos="1401" w:val="left" w:leader="none"/>
        </w:tabs>
        <w:spacing w:line="261" w:lineRule="auto" w:before="24" w:after="0"/>
        <w:ind w:left="1404" w:right="519" w:hanging="273"/>
        <w:jc w:val="left"/>
        <w:rPr>
          <w:color w:val="F93834"/>
          <w:sz w:val="23"/>
        </w:rPr>
      </w:pPr>
      <w:r>
        <w:rPr>
          <w:sz w:val="23"/>
        </w:rPr>
        <w:t>Improving</w:t>
      </w:r>
      <w:r>
        <w:rPr>
          <w:spacing w:val="-33"/>
          <w:sz w:val="23"/>
        </w:rPr>
        <w:t> </w:t>
      </w:r>
      <w:r>
        <w:rPr>
          <w:sz w:val="23"/>
        </w:rPr>
        <w:t>engagement</w:t>
      </w:r>
      <w:r>
        <w:rPr>
          <w:spacing w:val="-27"/>
          <w:sz w:val="23"/>
        </w:rPr>
        <w:t> </w:t>
      </w:r>
      <w:r>
        <w:rPr>
          <w:sz w:val="23"/>
        </w:rPr>
        <w:t>with</w:t>
      </w:r>
      <w:r>
        <w:rPr>
          <w:spacing w:val="-39"/>
          <w:sz w:val="23"/>
        </w:rPr>
        <w:t> </w:t>
      </w:r>
      <w:r>
        <w:rPr>
          <w:sz w:val="23"/>
        </w:rPr>
        <w:t>local</w:t>
      </w:r>
      <w:r>
        <w:rPr>
          <w:spacing w:val="-34"/>
          <w:sz w:val="23"/>
        </w:rPr>
        <w:t> </w:t>
      </w:r>
      <w:r>
        <w:rPr>
          <w:sz w:val="23"/>
        </w:rPr>
        <w:t>communities</w:t>
      </w:r>
      <w:r>
        <w:rPr>
          <w:spacing w:val="-34"/>
          <w:sz w:val="23"/>
        </w:rPr>
        <w:t> </w:t>
      </w:r>
      <w:r>
        <w:rPr>
          <w:sz w:val="23"/>
        </w:rPr>
        <w:t>to</w:t>
      </w:r>
      <w:r>
        <w:rPr>
          <w:spacing w:val="-39"/>
          <w:sz w:val="23"/>
        </w:rPr>
        <w:t> </w:t>
      </w:r>
      <w:r>
        <w:rPr>
          <w:sz w:val="23"/>
        </w:rPr>
        <w:t>ensure</w:t>
      </w:r>
      <w:r>
        <w:rPr>
          <w:spacing w:val="-38"/>
          <w:sz w:val="23"/>
        </w:rPr>
        <w:t> </w:t>
      </w:r>
      <w:r>
        <w:rPr>
          <w:sz w:val="23"/>
        </w:rPr>
        <w:t>that</w:t>
      </w:r>
      <w:r>
        <w:rPr>
          <w:spacing w:val="-43"/>
          <w:sz w:val="23"/>
        </w:rPr>
        <w:t> </w:t>
      </w:r>
      <w:r>
        <w:rPr>
          <w:sz w:val="23"/>
        </w:rPr>
        <w:t>people</w:t>
      </w:r>
      <w:r>
        <w:rPr>
          <w:spacing w:val="-36"/>
          <w:sz w:val="23"/>
        </w:rPr>
        <w:t> </w:t>
      </w:r>
      <w:r>
        <w:rPr>
          <w:sz w:val="23"/>
        </w:rPr>
        <w:t>affected</w:t>
      </w:r>
      <w:r>
        <w:rPr>
          <w:spacing w:val="-31"/>
          <w:sz w:val="23"/>
        </w:rPr>
        <w:t> </w:t>
      </w:r>
      <w:r>
        <w:rPr>
          <w:sz w:val="23"/>
        </w:rPr>
        <w:t>by</w:t>
      </w:r>
      <w:r>
        <w:rPr>
          <w:spacing w:val="-38"/>
          <w:sz w:val="23"/>
        </w:rPr>
        <w:t> </w:t>
      </w:r>
      <w:r>
        <w:rPr>
          <w:sz w:val="23"/>
        </w:rPr>
        <w:t>flooding</w:t>
      </w:r>
      <w:r>
        <w:rPr>
          <w:spacing w:val="-33"/>
          <w:sz w:val="23"/>
        </w:rPr>
        <w:t> </w:t>
      </w:r>
      <w:r>
        <w:rPr>
          <w:sz w:val="23"/>
        </w:rPr>
        <w:t>are empowered to take appropriate actions to reduce flood</w:t>
      </w:r>
      <w:r>
        <w:rPr>
          <w:spacing w:val="-14"/>
          <w:sz w:val="23"/>
        </w:rPr>
        <w:t> </w:t>
      </w:r>
      <w:r>
        <w:rPr>
          <w:sz w:val="23"/>
        </w:rPr>
        <w:t>risk.</w:t>
      </w:r>
    </w:p>
    <w:p>
      <w:pPr>
        <w:pStyle w:val="ListParagraph"/>
        <w:numPr>
          <w:ilvl w:val="0"/>
          <w:numId w:val="14"/>
        </w:numPr>
        <w:tabs>
          <w:tab w:pos="1401" w:val="left" w:leader="none"/>
        </w:tabs>
        <w:spacing w:line="261" w:lineRule="auto" w:before="9" w:after="0"/>
        <w:ind w:left="1397" w:right="737" w:hanging="266"/>
        <w:jc w:val="left"/>
        <w:rPr>
          <w:color w:val="FF3B41"/>
          <w:sz w:val="23"/>
        </w:rPr>
      </w:pPr>
      <w:r>
        <w:rPr>
          <w:w w:val="95"/>
          <w:sz w:val="23"/>
        </w:rPr>
        <w:t>Improving health and wellbeing of communities through environmental improvement and a </w:t>
      </w:r>
      <w:r>
        <w:rPr>
          <w:sz w:val="23"/>
        </w:rPr>
        <w:t>reduction in flood</w:t>
      </w:r>
      <w:r>
        <w:rPr>
          <w:spacing w:val="3"/>
          <w:sz w:val="23"/>
        </w:rPr>
        <w:t> </w:t>
      </w:r>
      <w:r>
        <w:rPr>
          <w:sz w:val="23"/>
        </w:rPr>
        <w:t>risk.</w:t>
      </w:r>
    </w:p>
    <w:p>
      <w:pPr>
        <w:pStyle w:val="ListParagraph"/>
        <w:numPr>
          <w:ilvl w:val="0"/>
          <w:numId w:val="14"/>
        </w:numPr>
        <w:tabs>
          <w:tab w:pos="1405" w:val="left" w:leader="none"/>
        </w:tabs>
        <w:spacing w:line="271" w:lineRule="auto" w:before="0" w:after="0"/>
        <w:ind w:left="1399" w:right="237" w:hanging="268"/>
        <w:jc w:val="left"/>
        <w:rPr>
          <w:color w:val="E6542A"/>
          <w:sz w:val="23"/>
        </w:rPr>
      </w:pPr>
      <w:r>
        <w:rPr>
          <w:sz w:val="23"/>
        </w:rPr>
        <w:t>Developing</w:t>
      </w:r>
      <w:r>
        <w:rPr>
          <w:spacing w:val="-30"/>
          <w:sz w:val="23"/>
        </w:rPr>
        <w:t> </w:t>
      </w:r>
      <w:r>
        <w:rPr>
          <w:sz w:val="23"/>
        </w:rPr>
        <w:t>the</w:t>
      </w:r>
      <w:r>
        <w:rPr>
          <w:spacing w:val="-39"/>
          <w:sz w:val="23"/>
        </w:rPr>
        <w:t> </w:t>
      </w:r>
      <w:r>
        <w:rPr>
          <w:sz w:val="23"/>
        </w:rPr>
        <w:t>knowledge,</w:t>
      </w:r>
      <w:r>
        <w:rPr>
          <w:spacing w:val="-24"/>
          <w:sz w:val="23"/>
        </w:rPr>
        <w:t> </w:t>
      </w:r>
      <w:r>
        <w:rPr>
          <w:sz w:val="23"/>
        </w:rPr>
        <w:t>skills</w:t>
      </w:r>
      <w:r>
        <w:rPr>
          <w:spacing w:val="-36"/>
          <w:sz w:val="23"/>
        </w:rPr>
        <w:t> </w:t>
      </w:r>
      <w:r>
        <w:rPr>
          <w:sz w:val="23"/>
        </w:rPr>
        <w:t>and</w:t>
      </w:r>
      <w:r>
        <w:rPr>
          <w:spacing w:val="-36"/>
          <w:sz w:val="23"/>
        </w:rPr>
        <w:t> </w:t>
      </w:r>
      <w:r>
        <w:rPr>
          <w:sz w:val="23"/>
        </w:rPr>
        <w:t>awareness</w:t>
      </w:r>
      <w:r>
        <w:rPr>
          <w:spacing w:val="-30"/>
          <w:sz w:val="23"/>
        </w:rPr>
        <w:t> </w:t>
      </w:r>
      <w:r>
        <w:rPr>
          <w:sz w:val="23"/>
        </w:rPr>
        <w:t>to</w:t>
      </w:r>
      <w:r>
        <w:rPr>
          <w:spacing w:val="-40"/>
          <w:sz w:val="23"/>
        </w:rPr>
        <w:t> </w:t>
      </w:r>
      <w:r>
        <w:rPr>
          <w:sz w:val="23"/>
        </w:rPr>
        <w:t>improve</w:t>
      </w:r>
      <w:r>
        <w:rPr>
          <w:spacing w:val="-33"/>
          <w:sz w:val="23"/>
        </w:rPr>
        <w:t> </w:t>
      </w:r>
      <w:r>
        <w:rPr>
          <w:sz w:val="23"/>
        </w:rPr>
        <w:t>our</w:t>
      </w:r>
      <w:r>
        <w:rPr>
          <w:spacing w:val="-38"/>
          <w:sz w:val="23"/>
        </w:rPr>
        <w:t> </w:t>
      </w:r>
      <w:r>
        <w:rPr>
          <w:sz w:val="23"/>
        </w:rPr>
        <w:t>understanding</w:t>
      </w:r>
      <w:r>
        <w:rPr>
          <w:spacing w:val="-28"/>
          <w:sz w:val="23"/>
        </w:rPr>
        <w:t> </w:t>
      </w:r>
      <w:r>
        <w:rPr>
          <w:sz w:val="23"/>
        </w:rPr>
        <w:t>of</w:t>
      </w:r>
      <w:r>
        <w:rPr>
          <w:spacing w:val="-37"/>
          <w:sz w:val="23"/>
        </w:rPr>
        <w:t> </w:t>
      </w:r>
      <w:r>
        <w:rPr>
          <w:sz w:val="23"/>
        </w:rPr>
        <w:t>flood</w:t>
      </w:r>
      <w:r>
        <w:rPr>
          <w:spacing w:val="-36"/>
          <w:sz w:val="23"/>
        </w:rPr>
        <w:t> </w:t>
      </w:r>
      <w:r>
        <w:rPr>
          <w:sz w:val="23"/>
        </w:rPr>
        <w:t>risk</w:t>
      </w:r>
      <w:r>
        <w:rPr>
          <w:spacing w:val="-34"/>
          <w:sz w:val="23"/>
        </w:rPr>
        <w:t> </w:t>
      </w:r>
      <w:r>
        <w:rPr>
          <w:sz w:val="23"/>
        </w:rPr>
        <w:t>and the effects of climate</w:t>
      </w:r>
      <w:r>
        <w:rPr>
          <w:spacing w:val="4"/>
          <w:sz w:val="23"/>
        </w:rPr>
        <w:t> </w:t>
      </w:r>
      <w:r>
        <w:rPr>
          <w:sz w:val="23"/>
        </w:rPr>
        <w:t>change.</w:t>
      </w:r>
    </w:p>
    <w:p>
      <w:pPr>
        <w:pStyle w:val="ListParagraph"/>
        <w:numPr>
          <w:ilvl w:val="0"/>
          <w:numId w:val="14"/>
        </w:numPr>
        <w:tabs>
          <w:tab w:pos="1403" w:val="left" w:leader="none"/>
        </w:tabs>
        <w:spacing w:line="261" w:lineRule="auto" w:before="0" w:after="0"/>
        <w:ind w:left="1397" w:right="488" w:hanging="266"/>
        <w:jc w:val="left"/>
        <w:rPr>
          <w:color w:val="F64938"/>
          <w:sz w:val="23"/>
        </w:rPr>
      </w:pPr>
      <w:r>
        <w:rPr>
          <w:sz w:val="23"/>
        </w:rPr>
        <w:t>Supporting</w:t>
      </w:r>
      <w:r>
        <w:rPr>
          <w:spacing w:val="-26"/>
          <w:sz w:val="23"/>
        </w:rPr>
        <w:t> </w:t>
      </w:r>
      <w:r>
        <w:rPr>
          <w:sz w:val="23"/>
        </w:rPr>
        <w:t>flood</w:t>
      </w:r>
      <w:r>
        <w:rPr>
          <w:spacing w:val="-35"/>
          <w:sz w:val="23"/>
        </w:rPr>
        <w:t> </w:t>
      </w:r>
      <w:r>
        <w:rPr>
          <w:sz w:val="23"/>
        </w:rPr>
        <w:t>response</w:t>
      </w:r>
      <w:r>
        <w:rPr>
          <w:spacing w:val="-30"/>
          <w:sz w:val="23"/>
        </w:rPr>
        <w:t> </w:t>
      </w:r>
      <w:r>
        <w:rPr>
          <w:sz w:val="23"/>
        </w:rPr>
        <w:t>and</w:t>
      </w:r>
      <w:r>
        <w:rPr>
          <w:spacing w:val="-36"/>
          <w:sz w:val="23"/>
        </w:rPr>
        <w:t> </w:t>
      </w:r>
      <w:r>
        <w:rPr>
          <w:sz w:val="23"/>
        </w:rPr>
        <w:t>recovery</w:t>
      </w:r>
      <w:r>
        <w:rPr>
          <w:spacing w:val="-28"/>
          <w:sz w:val="23"/>
        </w:rPr>
        <w:t> </w:t>
      </w:r>
      <w:r>
        <w:rPr>
          <w:sz w:val="23"/>
        </w:rPr>
        <w:t>through</w:t>
      </w:r>
      <w:r>
        <w:rPr>
          <w:spacing w:val="-32"/>
          <w:sz w:val="23"/>
        </w:rPr>
        <w:t> </w:t>
      </w:r>
      <w:r>
        <w:rPr>
          <w:sz w:val="23"/>
        </w:rPr>
        <w:t>better</w:t>
      </w:r>
      <w:r>
        <w:rPr>
          <w:spacing w:val="-36"/>
          <w:sz w:val="23"/>
        </w:rPr>
        <w:t> </w:t>
      </w:r>
      <w:r>
        <w:rPr>
          <w:sz w:val="23"/>
        </w:rPr>
        <w:t>management</w:t>
      </w:r>
      <w:r>
        <w:rPr>
          <w:spacing w:val="-20"/>
          <w:sz w:val="23"/>
        </w:rPr>
        <w:t> </w:t>
      </w:r>
      <w:r>
        <w:rPr>
          <w:sz w:val="23"/>
        </w:rPr>
        <w:t>of</w:t>
      </w:r>
      <w:r>
        <w:rPr>
          <w:spacing w:val="-38"/>
          <w:sz w:val="23"/>
        </w:rPr>
        <w:t> </w:t>
      </w:r>
      <w:r>
        <w:rPr>
          <w:sz w:val="23"/>
        </w:rPr>
        <w:t>the</w:t>
      </w:r>
      <w:r>
        <w:rPr>
          <w:spacing w:val="-38"/>
          <w:sz w:val="23"/>
        </w:rPr>
        <w:t> </w:t>
      </w:r>
      <w:r>
        <w:rPr>
          <w:sz w:val="23"/>
        </w:rPr>
        <w:t>risk</w:t>
      </w:r>
      <w:r>
        <w:rPr>
          <w:spacing w:val="-34"/>
          <w:sz w:val="23"/>
        </w:rPr>
        <w:t> </w:t>
      </w:r>
      <w:r>
        <w:rPr>
          <w:sz w:val="23"/>
        </w:rPr>
        <w:t>of</w:t>
      </w:r>
      <w:r>
        <w:rPr>
          <w:spacing w:val="-35"/>
          <w:sz w:val="23"/>
        </w:rPr>
        <w:t> </w:t>
      </w:r>
      <w:r>
        <w:rPr>
          <w:sz w:val="23"/>
        </w:rPr>
        <w:t>flooding</w:t>
      </w:r>
      <w:r>
        <w:rPr>
          <w:spacing w:val="-33"/>
          <w:sz w:val="23"/>
        </w:rPr>
        <w:t> </w:t>
      </w:r>
      <w:r>
        <w:rPr>
          <w:sz w:val="23"/>
        </w:rPr>
        <w:t>to people, property, the economy and the</w:t>
      </w:r>
      <w:r>
        <w:rPr>
          <w:spacing w:val="22"/>
          <w:sz w:val="23"/>
        </w:rPr>
        <w:t> </w:t>
      </w:r>
      <w:r>
        <w:rPr>
          <w:sz w:val="23"/>
        </w:rPr>
        <w:t>environment.</w:t>
      </w:r>
    </w:p>
    <w:p>
      <w:pPr>
        <w:pStyle w:val="ListParagraph"/>
        <w:numPr>
          <w:ilvl w:val="0"/>
          <w:numId w:val="14"/>
        </w:numPr>
        <w:tabs>
          <w:tab w:pos="1406" w:val="left" w:leader="none"/>
        </w:tabs>
        <w:spacing w:line="261" w:lineRule="auto" w:before="0" w:after="0"/>
        <w:ind w:left="1401" w:right="165" w:hanging="270"/>
        <w:jc w:val="left"/>
        <w:rPr>
          <w:color w:val="FF2626"/>
          <w:sz w:val="23"/>
        </w:rPr>
      </w:pPr>
      <w:r>
        <w:rPr>
          <w:w w:val="95"/>
          <w:sz w:val="23"/>
        </w:rPr>
        <w:t>Benchmarking good environmental performance using environmental performance tools such as </w:t>
      </w:r>
      <w:r>
        <w:rPr>
          <w:sz w:val="23"/>
        </w:rPr>
        <w:t>the</w:t>
      </w:r>
      <w:r>
        <w:rPr>
          <w:spacing w:val="-36"/>
          <w:sz w:val="23"/>
        </w:rPr>
        <w:t> </w:t>
      </w:r>
      <w:r>
        <w:rPr>
          <w:sz w:val="23"/>
        </w:rPr>
        <w:t>Building</w:t>
      </w:r>
      <w:r>
        <w:rPr>
          <w:spacing w:val="-28"/>
          <w:sz w:val="23"/>
        </w:rPr>
        <w:t> </w:t>
      </w:r>
      <w:r>
        <w:rPr>
          <w:sz w:val="23"/>
        </w:rPr>
        <w:t>Research</w:t>
      </w:r>
      <w:r>
        <w:rPr>
          <w:spacing w:val="-29"/>
          <w:sz w:val="23"/>
        </w:rPr>
        <w:t> </w:t>
      </w:r>
      <w:r>
        <w:rPr>
          <w:sz w:val="23"/>
        </w:rPr>
        <w:t>Establishment</w:t>
      </w:r>
      <w:r>
        <w:rPr>
          <w:spacing w:val="-24"/>
          <w:sz w:val="23"/>
        </w:rPr>
        <w:t> </w:t>
      </w:r>
      <w:r>
        <w:rPr>
          <w:sz w:val="23"/>
        </w:rPr>
        <w:t>Environmental</w:t>
      </w:r>
      <w:r>
        <w:rPr>
          <w:spacing w:val="-20"/>
          <w:sz w:val="23"/>
        </w:rPr>
        <w:t> </w:t>
      </w:r>
      <w:r>
        <w:rPr>
          <w:sz w:val="23"/>
        </w:rPr>
        <w:t>Assessment</w:t>
      </w:r>
      <w:r>
        <w:rPr>
          <w:spacing w:val="-24"/>
          <w:sz w:val="23"/>
        </w:rPr>
        <w:t> </w:t>
      </w:r>
      <w:r>
        <w:rPr>
          <w:sz w:val="23"/>
        </w:rPr>
        <w:t>Method</w:t>
      </w:r>
      <w:r>
        <w:rPr>
          <w:spacing w:val="-35"/>
          <w:sz w:val="23"/>
        </w:rPr>
        <w:t> </w:t>
      </w:r>
      <w:r>
        <w:rPr>
          <w:sz w:val="23"/>
        </w:rPr>
        <w:t>(BREEAM)</w:t>
      </w:r>
      <w:r>
        <w:rPr>
          <w:spacing w:val="-29"/>
          <w:sz w:val="23"/>
        </w:rPr>
        <w:t> </w:t>
      </w:r>
      <w:r>
        <w:rPr>
          <w:sz w:val="23"/>
        </w:rPr>
        <w:t>and</w:t>
      </w:r>
      <w:r>
        <w:rPr>
          <w:spacing w:val="-36"/>
          <w:sz w:val="23"/>
        </w:rPr>
        <w:t> </w:t>
      </w:r>
      <w:r>
        <w:rPr>
          <w:sz w:val="23"/>
        </w:rPr>
        <w:t>the Civil</w:t>
      </w:r>
      <w:r>
        <w:rPr>
          <w:spacing w:val="-14"/>
          <w:sz w:val="23"/>
        </w:rPr>
        <w:t> </w:t>
      </w:r>
      <w:r>
        <w:rPr>
          <w:sz w:val="23"/>
        </w:rPr>
        <w:t>Engineering</w:t>
      </w:r>
      <w:r>
        <w:rPr>
          <w:spacing w:val="-10"/>
          <w:sz w:val="23"/>
        </w:rPr>
        <w:t> </w:t>
      </w:r>
      <w:r>
        <w:rPr>
          <w:sz w:val="23"/>
        </w:rPr>
        <w:t>Environmental</w:t>
      </w:r>
      <w:r>
        <w:rPr>
          <w:spacing w:val="-9"/>
          <w:sz w:val="23"/>
        </w:rPr>
        <w:t> </w:t>
      </w:r>
      <w:r>
        <w:rPr>
          <w:sz w:val="23"/>
        </w:rPr>
        <w:t>Quality</w:t>
      </w:r>
      <w:r>
        <w:rPr>
          <w:spacing w:val="-17"/>
          <w:sz w:val="23"/>
        </w:rPr>
        <w:t> </w:t>
      </w:r>
      <w:r>
        <w:rPr>
          <w:sz w:val="23"/>
        </w:rPr>
        <w:t>Assessment</w:t>
      </w:r>
      <w:r>
        <w:rPr>
          <w:spacing w:val="-12"/>
          <w:sz w:val="23"/>
        </w:rPr>
        <w:t> </w:t>
      </w:r>
      <w:r>
        <w:rPr>
          <w:sz w:val="23"/>
        </w:rPr>
        <w:t>and</w:t>
      </w:r>
      <w:r>
        <w:rPr>
          <w:spacing w:val="-21"/>
          <w:sz w:val="23"/>
        </w:rPr>
        <w:t> </w:t>
      </w:r>
      <w:r>
        <w:rPr>
          <w:sz w:val="23"/>
        </w:rPr>
        <w:t>Awards</w:t>
      </w:r>
      <w:r>
        <w:rPr>
          <w:spacing w:val="-18"/>
          <w:sz w:val="23"/>
        </w:rPr>
        <w:t> </w:t>
      </w:r>
      <w:r>
        <w:rPr>
          <w:sz w:val="23"/>
        </w:rPr>
        <w:t>Scheme</w:t>
      </w:r>
      <w:r>
        <w:rPr>
          <w:spacing w:val="-22"/>
          <w:sz w:val="23"/>
        </w:rPr>
        <w:t> </w:t>
      </w:r>
      <w:r>
        <w:rPr>
          <w:sz w:val="23"/>
        </w:rPr>
        <w:t>(CEEQUAL).</w:t>
      </w:r>
    </w:p>
    <w:p>
      <w:pPr>
        <w:pStyle w:val="BodyText"/>
        <w:spacing w:line="266" w:lineRule="auto" w:before="120"/>
        <w:ind w:left="975" w:right="221" w:firstLine="9"/>
      </w:pPr>
      <w:r>
        <w:rPr/>
        <w:t>The methods and approaches identified above have been embodied in the local flood risk management</w:t>
      </w:r>
      <w:r>
        <w:rPr>
          <w:spacing w:val="-22"/>
        </w:rPr>
        <w:t> </w:t>
      </w:r>
      <w:r>
        <w:rPr/>
        <w:t>objectives</w:t>
      </w:r>
      <w:r>
        <w:rPr>
          <w:spacing w:val="-26"/>
        </w:rPr>
        <w:t> </w:t>
      </w:r>
      <w:r>
        <w:rPr/>
        <w:t>listed</w:t>
      </w:r>
      <w:r>
        <w:rPr>
          <w:spacing w:val="-28"/>
        </w:rPr>
        <w:t> </w:t>
      </w:r>
      <w:r>
        <w:rPr/>
        <w:t>in</w:t>
      </w:r>
      <w:r>
        <w:rPr>
          <w:spacing w:val="-33"/>
        </w:rPr>
        <w:t> </w:t>
      </w:r>
      <w:r>
        <w:rPr/>
        <w:t>Section</w:t>
      </w:r>
      <w:r>
        <w:rPr>
          <w:spacing w:val="-27"/>
        </w:rPr>
        <w:t> </w:t>
      </w:r>
      <w:r>
        <w:rPr/>
        <w:t>5</w:t>
      </w:r>
      <w:r>
        <w:rPr>
          <w:spacing w:val="-34"/>
        </w:rPr>
        <w:t> </w:t>
      </w:r>
      <w:r>
        <w:rPr/>
        <w:t>of</w:t>
      </w:r>
      <w:r>
        <w:rPr>
          <w:spacing w:val="-38"/>
        </w:rPr>
        <w:t> </w:t>
      </w:r>
      <w:r>
        <w:rPr/>
        <w:t>this</w:t>
      </w:r>
      <w:r>
        <w:rPr>
          <w:spacing w:val="-36"/>
        </w:rPr>
        <w:t> </w:t>
      </w:r>
      <w:r>
        <w:rPr/>
        <w:t>strategy</w:t>
      </w:r>
      <w:r>
        <w:rPr>
          <w:spacing w:val="-24"/>
        </w:rPr>
        <w:t> </w:t>
      </w:r>
      <w:r>
        <w:rPr/>
        <w:t>and</w:t>
      </w:r>
      <w:r>
        <w:rPr>
          <w:spacing w:val="-30"/>
        </w:rPr>
        <w:t> </w:t>
      </w:r>
      <w:r>
        <w:rPr/>
        <w:t>are</w:t>
      </w:r>
      <w:r>
        <w:rPr>
          <w:spacing w:val="-28"/>
        </w:rPr>
        <w:t> </w:t>
      </w:r>
      <w:r>
        <w:rPr/>
        <w:t>drawn</w:t>
      </w:r>
      <w:r>
        <w:rPr>
          <w:spacing w:val="-28"/>
        </w:rPr>
        <w:t> </w:t>
      </w:r>
      <w:r>
        <w:rPr/>
        <w:t>out</w:t>
      </w:r>
      <w:r>
        <w:rPr>
          <w:spacing w:val="-32"/>
        </w:rPr>
        <w:t> </w:t>
      </w:r>
      <w:r>
        <w:rPr/>
        <w:t>more</w:t>
      </w:r>
      <w:r>
        <w:rPr>
          <w:spacing w:val="-29"/>
        </w:rPr>
        <w:t> </w:t>
      </w:r>
      <w:r>
        <w:rPr/>
        <w:t>specifically</w:t>
      </w:r>
      <w:r>
        <w:rPr>
          <w:spacing w:val="-25"/>
        </w:rPr>
        <w:t> </w:t>
      </w:r>
      <w:r>
        <w:rPr/>
        <w:t>via the measures included in the ‘List of Measures’ in Appendix</w:t>
      </w:r>
      <w:r>
        <w:rPr>
          <w:spacing w:val="-6"/>
        </w:rPr>
        <w:t> </w:t>
      </w:r>
      <w:r>
        <w:rPr/>
        <w:t>C.</w:t>
      </w:r>
    </w:p>
    <w:p>
      <w:pPr>
        <w:pStyle w:val="ListParagraph"/>
        <w:numPr>
          <w:ilvl w:val="1"/>
          <w:numId w:val="13"/>
        </w:numPr>
        <w:tabs>
          <w:tab w:pos="977" w:val="left" w:leader="none"/>
          <w:tab w:pos="978" w:val="left" w:leader="none"/>
        </w:tabs>
        <w:spacing w:line="240" w:lineRule="auto" w:before="128" w:after="0"/>
        <w:ind w:left="977" w:right="0" w:hanging="854"/>
        <w:jc w:val="left"/>
        <w:rPr>
          <w:sz w:val="28"/>
        </w:rPr>
      </w:pPr>
      <w:r>
        <w:rPr>
          <w:sz w:val="28"/>
        </w:rPr>
        <w:t>SUSTAINABLE DRAINAGE</w:t>
      </w:r>
      <w:r>
        <w:rPr>
          <w:spacing w:val="-25"/>
          <w:sz w:val="28"/>
        </w:rPr>
        <w:t> </w:t>
      </w:r>
      <w:r>
        <w:rPr>
          <w:sz w:val="28"/>
        </w:rPr>
        <w:t>SYSTEMS</w:t>
      </w:r>
    </w:p>
    <w:p>
      <w:pPr>
        <w:pStyle w:val="BodyText"/>
        <w:spacing w:line="261" w:lineRule="auto" w:before="157"/>
        <w:ind w:left="979" w:right="221" w:firstLine="3"/>
      </w:pPr>
      <w:r>
        <w:rPr/>
        <w:t>LCC’s</w:t>
      </w:r>
      <w:r>
        <w:rPr>
          <w:spacing w:val="-37"/>
        </w:rPr>
        <w:t> </w:t>
      </w:r>
      <w:r>
        <w:rPr/>
        <w:t>policy</w:t>
      </w:r>
      <w:r>
        <w:rPr>
          <w:spacing w:val="-33"/>
        </w:rPr>
        <w:t> </w:t>
      </w:r>
      <w:r>
        <w:rPr/>
        <w:t>for</w:t>
      </w:r>
      <w:r>
        <w:rPr>
          <w:spacing w:val="-36"/>
        </w:rPr>
        <w:t> </w:t>
      </w:r>
      <w:r>
        <w:rPr/>
        <w:t>SuDS</w:t>
      </w:r>
      <w:r>
        <w:rPr>
          <w:spacing w:val="-36"/>
        </w:rPr>
        <w:t> </w:t>
      </w:r>
      <w:r>
        <w:rPr/>
        <w:t>has</w:t>
      </w:r>
      <w:r>
        <w:rPr>
          <w:spacing w:val="-39"/>
        </w:rPr>
        <w:t> </w:t>
      </w:r>
      <w:r>
        <w:rPr/>
        <w:t>been</w:t>
      </w:r>
      <w:r>
        <w:rPr>
          <w:spacing w:val="-34"/>
        </w:rPr>
        <w:t> </w:t>
      </w:r>
      <w:r>
        <w:rPr/>
        <w:t>adopted</w:t>
      </w:r>
      <w:r>
        <w:rPr>
          <w:spacing w:val="-32"/>
        </w:rPr>
        <w:t> </w:t>
      </w:r>
      <w:r>
        <w:rPr/>
        <w:t>through</w:t>
      </w:r>
      <w:r>
        <w:rPr>
          <w:spacing w:val="-33"/>
        </w:rPr>
        <w:t> </w:t>
      </w:r>
      <w:r>
        <w:rPr/>
        <w:t>Core</w:t>
      </w:r>
      <w:r>
        <w:rPr>
          <w:spacing w:val="-37"/>
        </w:rPr>
        <w:t> </w:t>
      </w:r>
      <w:r>
        <w:rPr/>
        <w:t>Strategy</w:t>
      </w:r>
      <w:r>
        <w:rPr>
          <w:spacing w:val="-30"/>
        </w:rPr>
        <w:t> </w:t>
      </w:r>
      <w:r>
        <w:rPr/>
        <w:t>Policy</w:t>
      </w:r>
      <w:r>
        <w:rPr>
          <w:spacing w:val="-29"/>
        </w:rPr>
        <w:t> </w:t>
      </w:r>
      <w:r>
        <w:rPr/>
        <w:t>EN5</w:t>
      </w:r>
      <w:r>
        <w:rPr>
          <w:spacing w:val="-35"/>
        </w:rPr>
        <w:t> </w:t>
      </w:r>
      <w:r>
        <w:rPr/>
        <w:t>and</w:t>
      </w:r>
      <w:r>
        <w:rPr>
          <w:spacing w:val="-36"/>
        </w:rPr>
        <w:t> </w:t>
      </w:r>
      <w:r>
        <w:rPr/>
        <w:t>Natural</w:t>
      </w:r>
      <w:r>
        <w:rPr>
          <w:spacing w:val="-28"/>
        </w:rPr>
        <w:t> </w:t>
      </w:r>
      <w:r>
        <w:rPr/>
        <w:t>Resources and</w:t>
      </w:r>
      <w:r>
        <w:rPr>
          <w:spacing w:val="-30"/>
        </w:rPr>
        <w:t> </w:t>
      </w:r>
      <w:r>
        <w:rPr/>
        <w:t>Waste</w:t>
      </w:r>
      <w:r>
        <w:rPr>
          <w:spacing w:val="-25"/>
        </w:rPr>
        <w:t> </w:t>
      </w:r>
      <w:r>
        <w:rPr/>
        <w:t>Local</w:t>
      </w:r>
      <w:r>
        <w:rPr>
          <w:spacing w:val="-18"/>
        </w:rPr>
        <w:t> </w:t>
      </w:r>
      <w:r>
        <w:rPr/>
        <w:t>Plan</w:t>
      </w:r>
      <w:r>
        <w:rPr>
          <w:spacing w:val="-27"/>
        </w:rPr>
        <w:t> </w:t>
      </w:r>
      <w:r>
        <w:rPr/>
        <w:t>Water</w:t>
      </w:r>
      <w:r>
        <w:rPr>
          <w:spacing w:val="-23"/>
        </w:rPr>
        <w:t> </w:t>
      </w:r>
      <w:r>
        <w:rPr/>
        <w:t>Policy</w:t>
      </w:r>
      <w:r>
        <w:rPr>
          <w:spacing w:val="-21"/>
        </w:rPr>
        <w:t> </w:t>
      </w:r>
      <w:r>
        <w:rPr/>
        <w:t>7.</w:t>
      </w:r>
      <w:r>
        <w:rPr>
          <w:spacing w:val="-26"/>
        </w:rPr>
        <w:t> </w:t>
      </w:r>
      <w:r>
        <w:rPr/>
        <w:t>In</w:t>
      </w:r>
      <w:r>
        <w:rPr>
          <w:spacing w:val="-26"/>
        </w:rPr>
        <w:t> </w:t>
      </w:r>
      <w:r>
        <w:rPr/>
        <w:t>addition</w:t>
      </w:r>
      <w:r>
        <w:rPr>
          <w:spacing w:val="-24"/>
        </w:rPr>
        <w:t> </w:t>
      </w:r>
      <w:r>
        <w:rPr/>
        <w:t>to</w:t>
      </w:r>
      <w:r>
        <w:rPr>
          <w:spacing w:val="-32"/>
        </w:rPr>
        <w:t> </w:t>
      </w:r>
      <w:r>
        <w:rPr/>
        <w:t>this</w:t>
      </w:r>
      <w:r>
        <w:rPr>
          <w:spacing w:val="-26"/>
        </w:rPr>
        <w:t> </w:t>
      </w:r>
      <w:r>
        <w:rPr/>
        <w:t>LCC</w:t>
      </w:r>
      <w:r>
        <w:rPr>
          <w:spacing w:val="-30"/>
        </w:rPr>
        <w:t> </w:t>
      </w:r>
      <w:r>
        <w:rPr/>
        <w:t>have</w:t>
      </w:r>
      <w:r>
        <w:rPr>
          <w:spacing w:val="-24"/>
        </w:rPr>
        <w:t> </w:t>
      </w:r>
      <w:r>
        <w:rPr/>
        <w:t>developed</w:t>
      </w:r>
      <w:r>
        <w:rPr>
          <w:spacing w:val="-17"/>
        </w:rPr>
        <w:t> </w:t>
      </w:r>
      <w:r>
        <w:rPr/>
        <w:t>and</w:t>
      </w:r>
      <w:r>
        <w:rPr>
          <w:spacing w:val="-24"/>
        </w:rPr>
        <w:t> </w:t>
      </w:r>
      <w:r>
        <w:rPr/>
        <w:t>adopted</w:t>
      </w:r>
      <w:r>
        <w:rPr>
          <w:spacing w:val="-24"/>
        </w:rPr>
        <w:t> </w:t>
      </w:r>
      <w:r>
        <w:rPr/>
        <w:t>‘SuDS Supplementary</w:t>
      </w:r>
      <w:r>
        <w:rPr>
          <w:spacing w:val="-5"/>
        </w:rPr>
        <w:t> </w:t>
      </w:r>
      <w:r>
        <w:rPr/>
        <w:t>Guidance</w:t>
      </w:r>
      <w:r>
        <w:rPr>
          <w:spacing w:val="-7"/>
        </w:rPr>
        <w:t> </w:t>
      </w:r>
      <w:r>
        <w:rPr/>
        <w:t>Note</w:t>
      </w:r>
      <w:r>
        <w:rPr>
          <w:spacing w:val="-11"/>
        </w:rPr>
        <w:t> </w:t>
      </w:r>
      <w:r>
        <w:rPr/>
        <w:t>22’</w:t>
      </w:r>
      <w:r>
        <w:rPr>
          <w:spacing w:val="-12"/>
        </w:rPr>
        <w:t> </w:t>
      </w:r>
      <w:r>
        <w:rPr/>
        <w:t>for</w:t>
      </w:r>
      <w:r>
        <w:rPr>
          <w:spacing w:val="-19"/>
        </w:rPr>
        <w:t> </w:t>
      </w:r>
      <w:r>
        <w:rPr/>
        <w:t>new</w:t>
      </w:r>
      <w:r>
        <w:rPr>
          <w:spacing w:val="-2"/>
        </w:rPr>
        <w:t> </w:t>
      </w:r>
      <w:r>
        <w:rPr/>
        <w:t>developments.</w:t>
      </w:r>
      <w:r>
        <w:rPr>
          <w:spacing w:val="10"/>
        </w:rPr>
        <w:t> </w:t>
      </w:r>
      <w:r>
        <w:rPr/>
        <w:t>In</w:t>
      </w:r>
      <w:r>
        <w:rPr>
          <w:spacing w:val="-7"/>
        </w:rPr>
        <w:t> </w:t>
      </w:r>
      <w:r>
        <w:rPr/>
        <w:t>summary,</w:t>
      </w:r>
      <w:r>
        <w:rPr>
          <w:spacing w:val="-5"/>
        </w:rPr>
        <w:t> </w:t>
      </w:r>
      <w:r>
        <w:rPr/>
        <w:t>this</w:t>
      </w:r>
      <w:r>
        <w:rPr>
          <w:spacing w:val="-14"/>
        </w:rPr>
        <w:t> </w:t>
      </w:r>
      <w:r>
        <w:rPr/>
        <w:t>guidance:</w:t>
      </w:r>
    </w:p>
    <w:p>
      <w:pPr>
        <w:pStyle w:val="ListParagraph"/>
        <w:numPr>
          <w:ilvl w:val="0"/>
          <w:numId w:val="15"/>
        </w:numPr>
        <w:tabs>
          <w:tab w:pos="1405" w:val="left" w:leader="none"/>
        </w:tabs>
        <w:spacing w:line="264" w:lineRule="auto" w:before="124" w:after="0"/>
        <w:ind w:left="1404" w:right="486" w:hanging="273"/>
        <w:jc w:val="left"/>
        <w:rPr>
          <w:color w:val="EF2F26"/>
          <w:sz w:val="23"/>
        </w:rPr>
      </w:pPr>
      <w:r>
        <w:rPr>
          <w:w w:val="95"/>
          <w:sz w:val="23"/>
        </w:rPr>
        <w:t>Explains how drainage concepts are considered when new developments are being planned, </w:t>
      </w:r>
      <w:r>
        <w:rPr>
          <w:sz w:val="23"/>
        </w:rPr>
        <w:t>and states that LCC 'will seek to incorporate sustainable drainage systems for significant developments</w:t>
      </w:r>
      <w:r>
        <w:rPr>
          <w:spacing w:val="-34"/>
          <w:sz w:val="23"/>
        </w:rPr>
        <w:t> </w:t>
      </w:r>
      <w:r>
        <w:rPr>
          <w:sz w:val="23"/>
        </w:rPr>
        <w:t>and</w:t>
      </w:r>
      <w:r>
        <w:rPr>
          <w:spacing w:val="-39"/>
          <w:sz w:val="23"/>
        </w:rPr>
        <w:t> </w:t>
      </w:r>
      <w:r>
        <w:rPr>
          <w:sz w:val="23"/>
        </w:rPr>
        <w:t>will</w:t>
      </w:r>
      <w:r>
        <w:rPr>
          <w:spacing w:val="-40"/>
          <w:sz w:val="23"/>
        </w:rPr>
        <w:t> </w:t>
      </w:r>
      <w:r>
        <w:rPr>
          <w:sz w:val="23"/>
        </w:rPr>
        <w:t>encourage</w:t>
      </w:r>
      <w:r>
        <w:rPr>
          <w:spacing w:val="-34"/>
          <w:sz w:val="23"/>
        </w:rPr>
        <w:t> </w:t>
      </w:r>
      <w:r>
        <w:rPr>
          <w:sz w:val="23"/>
        </w:rPr>
        <w:t>sustainable</w:t>
      </w:r>
      <w:r>
        <w:rPr>
          <w:spacing w:val="-33"/>
          <w:sz w:val="23"/>
        </w:rPr>
        <w:t> </w:t>
      </w:r>
      <w:r>
        <w:rPr>
          <w:sz w:val="23"/>
        </w:rPr>
        <w:t>drainage</w:t>
      </w:r>
      <w:r>
        <w:rPr>
          <w:spacing w:val="-35"/>
          <w:sz w:val="23"/>
        </w:rPr>
        <w:t> </w:t>
      </w:r>
      <w:r>
        <w:rPr>
          <w:sz w:val="23"/>
        </w:rPr>
        <w:t>systems</w:t>
      </w:r>
      <w:r>
        <w:rPr>
          <w:spacing w:val="-37"/>
          <w:sz w:val="23"/>
        </w:rPr>
        <w:t> </w:t>
      </w:r>
      <w:r>
        <w:rPr>
          <w:sz w:val="23"/>
        </w:rPr>
        <w:t>for</w:t>
      </w:r>
      <w:r>
        <w:rPr>
          <w:spacing w:val="-40"/>
          <w:sz w:val="23"/>
        </w:rPr>
        <w:t> </w:t>
      </w:r>
      <w:r>
        <w:rPr>
          <w:sz w:val="23"/>
        </w:rPr>
        <w:t>all</w:t>
      </w:r>
      <w:r>
        <w:rPr>
          <w:spacing w:val="-36"/>
          <w:sz w:val="23"/>
        </w:rPr>
        <w:t> </w:t>
      </w:r>
      <w:r>
        <w:rPr>
          <w:sz w:val="23"/>
        </w:rPr>
        <w:t>other</w:t>
      </w:r>
      <w:r>
        <w:rPr>
          <w:spacing w:val="-38"/>
          <w:sz w:val="23"/>
        </w:rPr>
        <w:t> </w:t>
      </w:r>
      <w:r>
        <w:rPr>
          <w:sz w:val="23"/>
        </w:rPr>
        <w:t>developments’, and</w:t>
      </w:r>
    </w:p>
    <w:p>
      <w:pPr>
        <w:pStyle w:val="ListParagraph"/>
        <w:numPr>
          <w:ilvl w:val="0"/>
          <w:numId w:val="15"/>
        </w:numPr>
        <w:tabs>
          <w:tab w:pos="1402" w:val="left" w:leader="none"/>
        </w:tabs>
        <w:spacing w:line="266" w:lineRule="auto" w:before="0" w:after="0"/>
        <w:ind w:left="1397" w:right="507" w:hanging="266"/>
        <w:jc w:val="both"/>
        <w:rPr>
          <w:color w:val="FF362F"/>
          <w:sz w:val="23"/>
        </w:rPr>
      </w:pPr>
      <w:r>
        <w:rPr>
          <w:sz w:val="23"/>
        </w:rPr>
        <w:t>Outlines</w:t>
      </w:r>
      <w:r>
        <w:rPr>
          <w:spacing w:val="-40"/>
          <w:sz w:val="23"/>
        </w:rPr>
        <w:t> </w:t>
      </w:r>
      <w:r>
        <w:rPr>
          <w:sz w:val="23"/>
        </w:rPr>
        <w:t>the</w:t>
      </w:r>
      <w:r>
        <w:rPr>
          <w:spacing w:val="-43"/>
          <w:sz w:val="23"/>
        </w:rPr>
        <w:t> </w:t>
      </w:r>
      <w:r>
        <w:rPr>
          <w:sz w:val="23"/>
        </w:rPr>
        <w:t>requirements</w:t>
      </w:r>
      <w:r>
        <w:rPr>
          <w:spacing w:val="-34"/>
          <w:sz w:val="23"/>
        </w:rPr>
        <w:t> </w:t>
      </w:r>
      <w:r>
        <w:rPr>
          <w:sz w:val="23"/>
        </w:rPr>
        <w:t>for</w:t>
      </w:r>
      <w:r>
        <w:rPr>
          <w:spacing w:val="-40"/>
          <w:sz w:val="23"/>
        </w:rPr>
        <w:t> </w:t>
      </w:r>
      <w:r>
        <w:rPr>
          <w:sz w:val="23"/>
        </w:rPr>
        <w:t>an</w:t>
      </w:r>
      <w:r>
        <w:rPr>
          <w:spacing w:val="-42"/>
          <w:sz w:val="23"/>
        </w:rPr>
        <w:t> </w:t>
      </w:r>
      <w:r>
        <w:rPr>
          <w:sz w:val="23"/>
        </w:rPr>
        <w:t>Indicative</w:t>
      </w:r>
      <w:r>
        <w:rPr>
          <w:spacing w:val="-36"/>
          <w:sz w:val="23"/>
        </w:rPr>
        <w:t> </w:t>
      </w:r>
      <w:r>
        <w:rPr>
          <w:sz w:val="23"/>
        </w:rPr>
        <w:t>Drainage</w:t>
      </w:r>
      <w:r>
        <w:rPr>
          <w:spacing w:val="-36"/>
          <w:sz w:val="23"/>
        </w:rPr>
        <w:t> </w:t>
      </w:r>
      <w:r>
        <w:rPr>
          <w:sz w:val="23"/>
        </w:rPr>
        <w:t>Strategy</w:t>
      </w:r>
      <w:r>
        <w:rPr>
          <w:spacing w:val="-41"/>
          <w:sz w:val="23"/>
        </w:rPr>
        <w:t> </w:t>
      </w:r>
      <w:r>
        <w:rPr>
          <w:sz w:val="23"/>
        </w:rPr>
        <w:t>that</w:t>
      </w:r>
      <w:r>
        <w:rPr>
          <w:spacing w:val="-38"/>
          <w:sz w:val="23"/>
        </w:rPr>
        <w:t> </w:t>
      </w:r>
      <w:r>
        <w:rPr>
          <w:sz w:val="23"/>
        </w:rPr>
        <w:t>should</w:t>
      </w:r>
      <w:r>
        <w:rPr>
          <w:spacing w:val="-37"/>
          <w:sz w:val="23"/>
        </w:rPr>
        <w:t> </w:t>
      </w:r>
      <w:r>
        <w:rPr>
          <w:sz w:val="23"/>
        </w:rPr>
        <w:t>accompany</w:t>
      </w:r>
      <w:r>
        <w:rPr>
          <w:spacing w:val="-34"/>
          <w:sz w:val="23"/>
        </w:rPr>
        <w:t> </w:t>
      </w:r>
      <w:r>
        <w:rPr>
          <w:sz w:val="23"/>
        </w:rPr>
        <w:t>outline planning</w:t>
      </w:r>
      <w:r>
        <w:rPr>
          <w:spacing w:val="-34"/>
          <w:sz w:val="23"/>
        </w:rPr>
        <w:t> </w:t>
      </w:r>
      <w:r>
        <w:rPr>
          <w:sz w:val="23"/>
        </w:rPr>
        <w:t>applications;</w:t>
      </w:r>
      <w:r>
        <w:rPr>
          <w:spacing w:val="-30"/>
          <w:sz w:val="23"/>
        </w:rPr>
        <w:t> </w:t>
      </w:r>
      <w:r>
        <w:rPr>
          <w:sz w:val="23"/>
        </w:rPr>
        <w:t>for</w:t>
      </w:r>
      <w:r>
        <w:rPr>
          <w:spacing w:val="-39"/>
          <w:sz w:val="23"/>
        </w:rPr>
        <w:t> </w:t>
      </w:r>
      <w:r>
        <w:rPr>
          <w:sz w:val="23"/>
        </w:rPr>
        <w:t>significant</w:t>
      </w:r>
      <w:r>
        <w:rPr>
          <w:spacing w:val="-36"/>
          <w:sz w:val="23"/>
        </w:rPr>
        <w:t> </w:t>
      </w:r>
      <w:r>
        <w:rPr>
          <w:sz w:val="23"/>
        </w:rPr>
        <w:t>developments</w:t>
      </w:r>
      <w:r>
        <w:rPr>
          <w:spacing w:val="-33"/>
          <w:sz w:val="23"/>
        </w:rPr>
        <w:t> </w:t>
      </w:r>
      <w:r>
        <w:rPr>
          <w:sz w:val="23"/>
        </w:rPr>
        <w:t>a</w:t>
      </w:r>
      <w:r>
        <w:rPr>
          <w:spacing w:val="-38"/>
          <w:sz w:val="23"/>
        </w:rPr>
        <w:t> </w:t>
      </w:r>
      <w:r>
        <w:rPr>
          <w:sz w:val="23"/>
        </w:rPr>
        <w:t>Drainage</w:t>
      </w:r>
      <w:r>
        <w:rPr>
          <w:spacing w:val="-34"/>
          <w:sz w:val="23"/>
        </w:rPr>
        <w:t> </w:t>
      </w:r>
      <w:r>
        <w:rPr>
          <w:sz w:val="23"/>
        </w:rPr>
        <w:t>Impact</w:t>
      </w:r>
      <w:r>
        <w:rPr>
          <w:spacing w:val="-35"/>
          <w:sz w:val="23"/>
        </w:rPr>
        <w:t> </w:t>
      </w:r>
      <w:r>
        <w:rPr>
          <w:sz w:val="23"/>
        </w:rPr>
        <w:t>Statement</w:t>
      </w:r>
      <w:r>
        <w:rPr>
          <w:spacing w:val="-34"/>
          <w:sz w:val="23"/>
        </w:rPr>
        <w:t> </w:t>
      </w:r>
      <w:r>
        <w:rPr>
          <w:sz w:val="23"/>
        </w:rPr>
        <w:t>will</w:t>
      </w:r>
      <w:r>
        <w:rPr>
          <w:spacing w:val="-39"/>
          <w:sz w:val="23"/>
        </w:rPr>
        <w:t> </w:t>
      </w:r>
      <w:r>
        <w:rPr>
          <w:sz w:val="23"/>
        </w:rPr>
        <w:t>also</w:t>
      </w:r>
      <w:r>
        <w:rPr>
          <w:spacing w:val="-42"/>
          <w:sz w:val="23"/>
        </w:rPr>
        <w:t> </w:t>
      </w:r>
      <w:r>
        <w:rPr>
          <w:sz w:val="23"/>
        </w:rPr>
        <w:t>be required.</w:t>
      </w:r>
    </w:p>
    <w:p>
      <w:pPr>
        <w:pStyle w:val="BodyText"/>
        <w:spacing w:line="261" w:lineRule="auto" w:before="115"/>
        <w:ind w:left="975" w:right="221" w:firstLine="5"/>
      </w:pPr>
      <w:r>
        <w:rPr/>
        <w:t>An</w:t>
      </w:r>
      <w:r>
        <w:rPr>
          <w:spacing w:val="-32"/>
        </w:rPr>
        <w:t> </w:t>
      </w:r>
      <w:r>
        <w:rPr/>
        <w:t>update</w:t>
      </w:r>
      <w:r>
        <w:rPr>
          <w:spacing w:val="-28"/>
        </w:rPr>
        <w:t> </w:t>
      </w:r>
      <w:r>
        <w:rPr/>
        <w:t>to</w:t>
      </w:r>
      <w:r>
        <w:rPr>
          <w:spacing w:val="-31"/>
        </w:rPr>
        <w:t> </w:t>
      </w:r>
      <w:r>
        <w:rPr/>
        <w:t>Water</w:t>
      </w:r>
      <w:r>
        <w:rPr>
          <w:spacing w:val="-26"/>
        </w:rPr>
        <w:t> </w:t>
      </w:r>
      <w:r>
        <w:rPr/>
        <w:t>7</w:t>
      </w:r>
      <w:r>
        <w:rPr>
          <w:spacing w:val="-30"/>
        </w:rPr>
        <w:t> </w:t>
      </w:r>
      <w:r>
        <w:rPr/>
        <w:t>Policy</w:t>
      </w:r>
      <w:r>
        <w:rPr>
          <w:spacing w:val="-23"/>
        </w:rPr>
        <w:t> </w:t>
      </w:r>
      <w:r>
        <w:rPr/>
        <w:t>in</w:t>
      </w:r>
      <w:r>
        <w:rPr>
          <w:spacing w:val="-26"/>
        </w:rPr>
        <w:t> </w:t>
      </w:r>
      <w:r>
        <w:rPr/>
        <w:t>2019</w:t>
      </w:r>
      <w:r>
        <w:rPr>
          <w:spacing w:val="-31"/>
        </w:rPr>
        <w:t> </w:t>
      </w:r>
      <w:r>
        <w:rPr/>
        <w:t>may</w:t>
      </w:r>
      <w:r>
        <w:rPr>
          <w:spacing w:val="-27"/>
        </w:rPr>
        <w:t> </w:t>
      </w:r>
      <w:r>
        <w:rPr/>
        <w:t>provide</w:t>
      </w:r>
      <w:r>
        <w:rPr>
          <w:spacing w:val="-17"/>
        </w:rPr>
        <w:t> </w:t>
      </w:r>
      <w:r>
        <w:rPr/>
        <w:t>an</w:t>
      </w:r>
      <w:r>
        <w:rPr>
          <w:spacing w:val="-27"/>
        </w:rPr>
        <w:t> </w:t>
      </w:r>
      <w:r>
        <w:rPr/>
        <w:t>opportunity</w:t>
      </w:r>
      <w:r>
        <w:rPr>
          <w:spacing w:val="-19"/>
        </w:rPr>
        <w:t> </w:t>
      </w:r>
      <w:r>
        <w:rPr/>
        <w:t>to</w:t>
      </w:r>
      <w:r>
        <w:rPr>
          <w:spacing w:val="-33"/>
        </w:rPr>
        <w:t> </w:t>
      </w:r>
      <w:r>
        <w:rPr/>
        <w:t>update</w:t>
      </w:r>
      <w:r>
        <w:rPr>
          <w:spacing w:val="-27"/>
        </w:rPr>
        <w:t> </w:t>
      </w:r>
      <w:r>
        <w:rPr/>
        <w:t>this</w:t>
      </w:r>
      <w:r>
        <w:rPr>
          <w:spacing w:val="-32"/>
        </w:rPr>
        <w:t> </w:t>
      </w:r>
      <w:r>
        <w:rPr/>
        <w:t>guidance</w:t>
      </w:r>
      <w:r>
        <w:rPr>
          <w:spacing w:val="-23"/>
        </w:rPr>
        <w:t> </w:t>
      </w:r>
      <w:r>
        <w:rPr/>
        <w:t>note</w:t>
      </w:r>
      <w:r>
        <w:rPr>
          <w:spacing w:val="-31"/>
        </w:rPr>
        <w:t> </w:t>
      </w:r>
      <w:r>
        <w:rPr/>
        <w:t>to include:</w:t>
      </w:r>
    </w:p>
    <w:p>
      <w:pPr>
        <w:pStyle w:val="ListParagraph"/>
        <w:numPr>
          <w:ilvl w:val="0"/>
          <w:numId w:val="15"/>
        </w:numPr>
        <w:tabs>
          <w:tab w:pos="1403" w:val="left" w:leader="none"/>
        </w:tabs>
        <w:spacing w:line="240" w:lineRule="auto" w:before="125" w:after="0"/>
        <w:ind w:left="1402" w:right="0" w:hanging="271"/>
        <w:jc w:val="left"/>
        <w:rPr>
          <w:color w:val="FF5644"/>
          <w:sz w:val="23"/>
        </w:rPr>
      </w:pPr>
      <w:r>
        <w:rPr>
          <w:sz w:val="23"/>
        </w:rPr>
        <w:t>Specific guidance on where sustainable development would work in Leeds,</w:t>
      </w:r>
      <w:r>
        <w:rPr>
          <w:spacing w:val="-30"/>
          <w:sz w:val="23"/>
        </w:rPr>
        <w:t> </w:t>
      </w:r>
      <w:r>
        <w:rPr>
          <w:sz w:val="23"/>
        </w:rPr>
        <w:t>and</w:t>
      </w:r>
    </w:p>
    <w:p>
      <w:pPr>
        <w:pStyle w:val="ListParagraph"/>
        <w:numPr>
          <w:ilvl w:val="0"/>
          <w:numId w:val="15"/>
        </w:numPr>
        <w:tabs>
          <w:tab w:pos="1401" w:val="left" w:leader="none"/>
        </w:tabs>
        <w:spacing w:line="240" w:lineRule="auto" w:before="23" w:after="0"/>
        <w:ind w:left="1400" w:right="0" w:hanging="269"/>
        <w:jc w:val="left"/>
        <w:rPr>
          <w:color w:val="FF2626"/>
          <w:sz w:val="23"/>
        </w:rPr>
      </w:pPr>
      <w:r>
        <w:rPr>
          <w:sz w:val="23"/>
        </w:rPr>
        <w:t>Increase</w:t>
      </w:r>
      <w:r>
        <w:rPr>
          <w:spacing w:val="-13"/>
          <w:sz w:val="23"/>
        </w:rPr>
        <w:t> </w:t>
      </w:r>
      <w:r>
        <w:rPr>
          <w:sz w:val="23"/>
        </w:rPr>
        <w:t>in</w:t>
      </w:r>
      <w:r>
        <w:rPr>
          <w:spacing w:val="-12"/>
          <w:sz w:val="23"/>
        </w:rPr>
        <w:t> </w:t>
      </w:r>
      <w:r>
        <w:rPr>
          <w:sz w:val="23"/>
        </w:rPr>
        <w:t>runoff</w:t>
      </w:r>
      <w:r>
        <w:rPr>
          <w:spacing w:val="-11"/>
          <w:sz w:val="23"/>
        </w:rPr>
        <w:t> </w:t>
      </w:r>
      <w:r>
        <w:rPr>
          <w:sz w:val="23"/>
        </w:rPr>
        <w:t>reduction</w:t>
      </w:r>
      <w:r>
        <w:rPr>
          <w:spacing w:val="-6"/>
          <w:sz w:val="23"/>
        </w:rPr>
        <w:t> </w:t>
      </w:r>
      <w:r>
        <w:rPr>
          <w:sz w:val="23"/>
        </w:rPr>
        <w:t>requirements</w:t>
      </w:r>
      <w:r>
        <w:rPr>
          <w:spacing w:val="-4"/>
          <w:sz w:val="23"/>
        </w:rPr>
        <w:t> </w:t>
      </w:r>
      <w:r>
        <w:rPr>
          <w:sz w:val="23"/>
        </w:rPr>
        <w:t>for</w:t>
      </w:r>
      <w:r>
        <w:rPr>
          <w:spacing w:val="-18"/>
          <w:sz w:val="23"/>
        </w:rPr>
        <w:t> </w:t>
      </w:r>
      <w:r>
        <w:rPr>
          <w:sz w:val="23"/>
        </w:rPr>
        <w:t>the</w:t>
      </w:r>
      <w:r>
        <w:rPr>
          <w:spacing w:val="-15"/>
          <w:sz w:val="23"/>
        </w:rPr>
        <w:t> </w:t>
      </w:r>
      <w:r>
        <w:rPr>
          <w:sz w:val="23"/>
        </w:rPr>
        <w:t>development</w:t>
      </w:r>
      <w:r>
        <w:rPr>
          <w:spacing w:val="4"/>
          <w:sz w:val="23"/>
        </w:rPr>
        <w:t> </w:t>
      </w:r>
      <w:r>
        <w:rPr>
          <w:sz w:val="23"/>
        </w:rPr>
        <w:t>major</w:t>
      </w:r>
      <w:r>
        <w:rPr>
          <w:spacing w:val="-13"/>
          <w:sz w:val="23"/>
        </w:rPr>
        <w:t> </w:t>
      </w:r>
      <w:r>
        <w:rPr>
          <w:sz w:val="23"/>
        </w:rPr>
        <w:t>brownfield</w:t>
      </w:r>
      <w:r>
        <w:rPr>
          <w:spacing w:val="2"/>
          <w:sz w:val="23"/>
        </w:rPr>
        <w:t> </w:t>
      </w:r>
      <w:r>
        <w:rPr>
          <w:sz w:val="23"/>
        </w:rPr>
        <w:t>sites.</w:t>
      </w:r>
    </w:p>
    <w:p>
      <w:pPr>
        <w:pStyle w:val="BodyText"/>
        <w:spacing w:line="261" w:lineRule="auto" w:before="148"/>
        <w:ind w:left="980" w:right="221" w:hanging="2"/>
      </w:pPr>
      <w:r>
        <w:rPr/>
        <w:t>It</w:t>
      </w:r>
      <w:r>
        <w:rPr>
          <w:spacing w:val="-23"/>
        </w:rPr>
        <w:t> </w:t>
      </w:r>
      <w:r>
        <w:rPr/>
        <w:t>should</w:t>
      </w:r>
      <w:r>
        <w:rPr>
          <w:spacing w:val="-23"/>
        </w:rPr>
        <w:t> </w:t>
      </w:r>
      <w:r>
        <w:rPr/>
        <w:t>be</w:t>
      </w:r>
      <w:r>
        <w:rPr>
          <w:spacing w:val="-30"/>
        </w:rPr>
        <w:t> </w:t>
      </w:r>
      <w:r>
        <w:rPr/>
        <w:t>noted</w:t>
      </w:r>
      <w:r>
        <w:rPr>
          <w:spacing w:val="-15"/>
        </w:rPr>
        <w:t> </w:t>
      </w:r>
      <w:r>
        <w:rPr/>
        <w:t>that</w:t>
      </w:r>
      <w:r>
        <w:rPr>
          <w:spacing w:val="-24"/>
        </w:rPr>
        <w:t> </w:t>
      </w:r>
      <w:r>
        <w:rPr/>
        <w:t>this</w:t>
      </w:r>
      <w:r>
        <w:rPr>
          <w:spacing w:val="-22"/>
        </w:rPr>
        <w:t> </w:t>
      </w:r>
      <w:r>
        <w:rPr/>
        <w:t>guidance</w:t>
      </w:r>
      <w:r>
        <w:rPr>
          <w:spacing w:val="-19"/>
        </w:rPr>
        <w:t> </w:t>
      </w:r>
      <w:r>
        <w:rPr/>
        <w:t>note</w:t>
      </w:r>
      <w:r>
        <w:rPr>
          <w:spacing w:val="-23"/>
        </w:rPr>
        <w:t> </w:t>
      </w:r>
      <w:r>
        <w:rPr/>
        <w:t>is</w:t>
      </w:r>
      <w:r>
        <w:rPr>
          <w:spacing w:val="-30"/>
        </w:rPr>
        <w:t> </w:t>
      </w:r>
      <w:r>
        <w:rPr/>
        <w:t>limited</w:t>
      </w:r>
      <w:r>
        <w:rPr>
          <w:spacing w:val="-25"/>
        </w:rPr>
        <w:t> </w:t>
      </w:r>
      <w:r>
        <w:rPr/>
        <w:t>by</w:t>
      </w:r>
      <w:r>
        <w:rPr>
          <w:spacing w:val="-24"/>
        </w:rPr>
        <w:t> </w:t>
      </w:r>
      <w:r>
        <w:rPr/>
        <w:t>the</w:t>
      </w:r>
      <w:r>
        <w:rPr>
          <w:spacing w:val="-24"/>
        </w:rPr>
        <w:t> </w:t>
      </w:r>
      <w:r>
        <w:rPr/>
        <w:t>National</w:t>
      </w:r>
      <w:r>
        <w:rPr>
          <w:spacing w:val="-17"/>
        </w:rPr>
        <w:t> </w:t>
      </w:r>
      <w:r>
        <w:rPr/>
        <w:t>Planning</w:t>
      </w:r>
      <w:r>
        <w:rPr>
          <w:spacing w:val="-15"/>
        </w:rPr>
        <w:t> </w:t>
      </w:r>
      <w:r>
        <w:rPr/>
        <w:t>Policy</w:t>
      </w:r>
      <w:r>
        <w:rPr>
          <w:spacing w:val="-15"/>
        </w:rPr>
        <w:t> </w:t>
      </w:r>
      <w:r>
        <w:rPr/>
        <w:t>Framework, which</w:t>
      </w:r>
      <w:r>
        <w:rPr>
          <w:spacing w:val="-42"/>
        </w:rPr>
        <w:t> </w:t>
      </w:r>
      <w:r>
        <w:rPr/>
        <w:t>indicates</w:t>
      </w:r>
      <w:r>
        <w:rPr>
          <w:spacing w:val="-40"/>
        </w:rPr>
        <w:t> </w:t>
      </w:r>
      <w:r>
        <w:rPr/>
        <w:t>that</w:t>
      </w:r>
      <w:r>
        <w:rPr>
          <w:spacing w:val="-44"/>
        </w:rPr>
        <w:t> </w:t>
      </w:r>
      <w:r>
        <w:rPr/>
        <w:t>the</w:t>
      </w:r>
      <w:r>
        <w:rPr>
          <w:spacing w:val="-44"/>
        </w:rPr>
        <w:t> </w:t>
      </w:r>
      <w:r>
        <w:rPr/>
        <w:t>planning</w:t>
      </w:r>
      <w:r>
        <w:rPr>
          <w:spacing w:val="-36"/>
        </w:rPr>
        <w:t> </w:t>
      </w:r>
      <w:r>
        <w:rPr/>
        <w:t>authority</w:t>
      </w:r>
      <w:r>
        <w:rPr>
          <w:spacing w:val="-36"/>
        </w:rPr>
        <w:t> </w:t>
      </w:r>
      <w:r>
        <w:rPr/>
        <w:t>can</w:t>
      </w:r>
      <w:r>
        <w:rPr>
          <w:spacing w:val="-40"/>
        </w:rPr>
        <w:t> </w:t>
      </w:r>
      <w:r>
        <w:rPr/>
        <w:t>only</w:t>
      </w:r>
      <w:r>
        <w:rPr>
          <w:spacing w:val="-41"/>
        </w:rPr>
        <w:t> </w:t>
      </w:r>
      <w:r>
        <w:rPr/>
        <w:t>require</w:t>
      </w:r>
      <w:r>
        <w:rPr>
          <w:spacing w:val="-38"/>
        </w:rPr>
        <w:t> </w:t>
      </w:r>
      <w:r>
        <w:rPr/>
        <w:t>sustainable</w:t>
      </w:r>
      <w:r>
        <w:rPr>
          <w:spacing w:val="-34"/>
        </w:rPr>
        <w:t> </w:t>
      </w:r>
      <w:r>
        <w:rPr/>
        <w:t>drainage</w:t>
      </w:r>
      <w:r>
        <w:rPr>
          <w:spacing w:val="-38"/>
        </w:rPr>
        <w:t> </w:t>
      </w:r>
      <w:r>
        <w:rPr/>
        <w:t>where</w:t>
      </w:r>
      <w:r>
        <w:rPr>
          <w:spacing w:val="-38"/>
        </w:rPr>
        <w:t> </w:t>
      </w:r>
      <w:r>
        <w:rPr/>
        <w:t>practicable.</w:t>
      </w:r>
    </w:p>
    <w:p>
      <w:pPr>
        <w:pStyle w:val="BodyText"/>
        <w:spacing w:line="266" w:lineRule="auto" w:before="125"/>
        <w:ind w:left="978" w:right="221" w:hanging="1"/>
      </w:pPr>
      <w:r>
        <w:rPr/>
        <w:t>In</w:t>
      </w:r>
      <w:r>
        <w:rPr>
          <w:spacing w:val="-38"/>
        </w:rPr>
        <w:t> </w:t>
      </w:r>
      <w:r>
        <w:rPr/>
        <w:t>2017</w:t>
      </w:r>
      <w:r>
        <w:rPr>
          <w:spacing w:val="-37"/>
        </w:rPr>
        <w:t> </w:t>
      </w:r>
      <w:r>
        <w:rPr/>
        <w:t>an</w:t>
      </w:r>
      <w:r>
        <w:rPr>
          <w:spacing w:val="-38"/>
        </w:rPr>
        <w:t> </w:t>
      </w:r>
      <w:r>
        <w:rPr/>
        <w:t>update</w:t>
      </w:r>
      <w:r>
        <w:rPr>
          <w:spacing w:val="-35"/>
        </w:rPr>
        <w:t> </w:t>
      </w:r>
      <w:r>
        <w:rPr/>
        <w:t>of</w:t>
      </w:r>
      <w:r>
        <w:rPr>
          <w:spacing w:val="-39"/>
        </w:rPr>
        <w:t> </w:t>
      </w:r>
      <w:r>
        <w:rPr/>
        <w:t>the</w:t>
      </w:r>
      <w:r>
        <w:rPr>
          <w:spacing w:val="-41"/>
        </w:rPr>
        <w:t> </w:t>
      </w:r>
      <w:r>
        <w:rPr/>
        <w:t>‘Leeds</w:t>
      </w:r>
      <w:r>
        <w:rPr>
          <w:spacing w:val="-37"/>
        </w:rPr>
        <w:t> </w:t>
      </w:r>
      <w:r>
        <w:rPr/>
        <w:t>City</w:t>
      </w:r>
      <w:r>
        <w:rPr>
          <w:spacing w:val="-40"/>
        </w:rPr>
        <w:t> </w:t>
      </w:r>
      <w:r>
        <w:rPr/>
        <w:t>Council</w:t>
      </w:r>
      <w:r>
        <w:rPr>
          <w:spacing w:val="-33"/>
        </w:rPr>
        <w:t> </w:t>
      </w:r>
      <w:r>
        <w:rPr/>
        <w:t>Minimum</w:t>
      </w:r>
      <w:r>
        <w:rPr>
          <w:spacing w:val="-28"/>
        </w:rPr>
        <w:t> </w:t>
      </w:r>
      <w:r>
        <w:rPr/>
        <w:t>Drainage</w:t>
      </w:r>
      <w:r>
        <w:rPr>
          <w:spacing w:val="-35"/>
        </w:rPr>
        <w:t> </w:t>
      </w:r>
      <w:r>
        <w:rPr/>
        <w:t>Considerations</w:t>
      </w:r>
      <w:r>
        <w:rPr>
          <w:spacing w:val="-40"/>
        </w:rPr>
        <w:t> </w:t>
      </w:r>
      <w:r>
        <w:rPr/>
        <w:t>for</w:t>
      </w:r>
      <w:r>
        <w:rPr>
          <w:spacing w:val="-37"/>
        </w:rPr>
        <w:t> </w:t>
      </w:r>
      <w:r>
        <w:rPr/>
        <w:t>Development Control’</w:t>
      </w:r>
      <w:r>
        <w:rPr>
          <w:spacing w:val="-17"/>
        </w:rPr>
        <w:t> </w:t>
      </w:r>
      <w:r>
        <w:rPr/>
        <w:t>was</w:t>
      </w:r>
      <w:r>
        <w:rPr>
          <w:spacing w:val="-28"/>
        </w:rPr>
        <w:t> </w:t>
      </w:r>
      <w:r>
        <w:rPr/>
        <w:t>carried</w:t>
      </w:r>
      <w:r>
        <w:rPr>
          <w:spacing w:val="-15"/>
        </w:rPr>
        <w:t> </w:t>
      </w:r>
      <w:r>
        <w:rPr/>
        <w:t>out</w:t>
      </w:r>
      <w:r>
        <w:rPr>
          <w:spacing w:val="-31"/>
        </w:rPr>
        <w:t> </w:t>
      </w:r>
      <w:r>
        <w:rPr/>
        <w:t>to</w:t>
      </w:r>
      <w:r>
        <w:rPr>
          <w:spacing w:val="-30"/>
        </w:rPr>
        <w:t> </w:t>
      </w:r>
      <w:r>
        <w:rPr/>
        <w:t>reflect</w:t>
      </w:r>
      <w:r>
        <w:rPr>
          <w:spacing w:val="-19"/>
        </w:rPr>
        <w:t> </w:t>
      </w:r>
      <w:r>
        <w:rPr/>
        <w:t>the</w:t>
      </w:r>
      <w:r>
        <w:rPr>
          <w:spacing w:val="-28"/>
        </w:rPr>
        <w:t> </w:t>
      </w:r>
      <w:r>
        <w:rPr/>
        <w:t>most</w:t>
      </w:r>
      <w:r>
        <w:rPr>
          <w:spacing w:val="-22"/>
        </w:rPr>
        <w:t> </w:t>
      </w:r>
      <w:r>
        <w:rPr/>
        <w:t>recent</w:t>
      </w:r>
      <w:r>
        <w:rPr>
          <w:spacing w:val="-18"/>
        </w:rPr>
        <w:t> </w:t>
      </w:r>
      <w:r>
        <w:rPr/>
        <w:t>climate</w:t>
      </w:r>
      <w:r>
        <w:rPr>
          <w:spacing w:val="-19"/>
        </w:rPr>
        <w:t> </w:t>
      </w:r>
      <w:r>
        <w:rPr/>
        <w:t>change</w:t>
      </w:r>
      <w:r>
        <w:rPr>
          <w:spacing w:val="-12"/>
        </w:rPr>
        <w:t> </w:t>
      </w:r>
      <w:r>
        <w:rPr/>
        <w:t>allowances</w:t>
      </w:r>
      <w:r>
        <w:rPr>
          <w:spacing w:val="-18"/>
        </w:rPr>
        <w:t> </w:t>
      </w:r>
      <w:r>
        <w:rPr/>
        <w:t>provided</w:t>
      </w:r>
      <w:r>
        <w:rPr>
          <w:spacing w:val="-13"/>
        </w:rPr>
        <w:t> </w:t>
      </w:r>
      <w:r>
        <w:rPr/>
        <w:t>by</w:t>
      </w:r>
      <w:r>
        <w:rPr>
          <w:spacing w:val="-25"/>
        </w:rPr>
        <w:t> </w:t>
      </w:r>
      <w:r>
        <w:rPr/>
        <w:t>the Environment</w:t>
      </w:r>
      <w:r>
        <w:rPr>
          <w:spacing w:val="29"/>
        </w:rPr>
        <w:t> </w:t>
      </w:r>
      <w:r>
        <w:rPr/>
        <w:t>Agency.</w:t>
      </w:r>
    </w:p>
    <w:p>
      <w:pPr>
        <w:pStyle w:val="BodyText"/>
        <w:spacing w:line="261" w:lineRule="auto" w:before="117"/>
        <w:ind w:left="975" w:right="221" w:firstLine="7"/>
      </w:pPr>
      <w:r>
        <w:rPr/>
        <w:t>LCC’s</w:t>
      </w:r>
      <w:r>
        <w:rPr>
          <w:spacing w:val="-31"/>
        </w:rPr>
        <w:t> </w:t>
      </w:r>
      <w:r>
        <w:rPr/>
        <w:t>Flood</w:t>
      </w:r>
      <w:r>
        <w:rPr>
          <w:spacing w:val="-28"/>
        </w:rPr>
        <w:t> </w:t>
      </w:r>
      <w:r>
        <w:rPr/>
        <w:t>Risk</w:t>
      </w:r>
      <w:r>
        <w:rPr>
          <w:spacing w:val="-31"/>
        </w:rPr>
        <w:t> </w:t>
      </w:r>
      <w:r>
        <w:rPr/>
        <w:t>Management</w:t>
      </w:r>
      <w:r>
        <w:rPr>
          <w:spacing w:val="-23"/>
        </w:rPr>
        <w:t> </w:t>
      </w:r>
      <w:r>
        <w:rPr/>
        <w:t>team</w:t>
      </w:r>
      <w:r>
        <w:rPr>
          <w:spacing w:val="-32"/>
        </w:rPr>
        <w:t> </w:t>
      </w:r>
      <w:r>
        <w:rPr/>
        <w:t>is</w:t>
      </w:r>
      <w:r>
        <w:rPr>
          <w:spacing w:val="-38"/>
        </w:rPr>
        <w:t> </w:t>
      </w:r>
      <w:r>
        <w:rPr/>
        <w:t>preparing</w:t>
      </w:r>
      <w:r>
        <w:rPr>
          <w:spacing w:val="-25"/>
        </w:rPr>
        <w:t> </w:t>
      </w:r>
      <w:r>
        <w:rPr/>
        <w:t>a</w:t>
      </w:r>
      <w:r>
        <w:rPr>
          <w:spacing w:val="-35"/>
        </w:rPr>
        <w:t> </w:t>
      </w:r>
      <w:r>
        <w:rPr/>
        <w:t>SuDS</w:t>
      </w:r>
      <w:r>
        <w:rPr>
          <w:spacing w:val="-26"/>
        </w:rPr>
        <w:t> </w:t>
      </w:r>
      <w:r>
        <w:rPr/>
        <w:t>Adoption</w:t>
      </w:r>
      <w:r>
        <w:rPr>
          <w:spacing w:val="-28"/>
        </w:rPr>
        <w:t> </w:t>
      </w:r>
      <w:r>
        <w:rPr/>
        <w:t>Guide</w:t>
      </w:r>
      <w:r>
        <w:rPr>
          <w:spacing w:val="-36"/>
        </w:rPr>
        <w:t> </w:t>
      </w:r>
      <w:r>
        <w:rPr/>
        <w:t>in</w:t>
      </w:r>
      <w:r>
        <w:rPr>
          <w:spacing w:val="-34"/>
        </w:rPr>
        <w:t> </w:t>
      </w:r>
      <w:r>
        <w:rPr/>
        <w:t>collaboration</w:t>
      </w:r>
      <w:r>
        <w:rPr>
          <w:spacing w:val="-21"/>
        </w:rPr>
        <w:t> </w:t>
      </w:r>
      <w:r>
        <w:rPr/>
        <w:t>with Wakefield</w:t>
      </w:r>
      <w:r>
        <w:rPr>
          <w:spacing w:val="-31"/>
        </w:rPr>
        <w:t> </w:t>
      </w:r>
      <w:r>
        <w:rPr/>
        <w:t>Metropolitan</w:t>
      </w:r>
      <w:r>
        <w:rPr>
          <w:spacing w:val="-25"/>
        </w:rPr>
        <w:t> </w:t>
      </w:r>
      <w:r>
        <w:rPr/>
        <w:t>District</w:t>
      </w:r>
      <w:r>
        <w:rPr>
          <w:spacing w:val="-32"/>
        </w:rPr>
        <w:t> </w:t>
      </w:r>
      <w:r>
        <w:rPr/>
        <w:t>Council,</w:t>
      </w:r>
      <w:r>
        <w:rPr>
          <w:spacing w:val="-31"/>
        </w:rPr>
        <w:t> </w:t>
      </w:r>
      <w:r>
        <w:rPr/>
        <w:t>which</w:t>
      </w:r>
      <w:r>
        <w:rPr>
          <w:spacing w:val="-36"/>
        </w:rPr>
        <w:t> </w:t>
      </w:r>
      <w:r>
        <w:rPr/>
        <w:t>will</w:t>
      </w:r>
      <w:r>
        <w:rPr>
          <w:spacing w:val="-40"/>
        </w:rPr>
        <w:t> </w:t>
      </w:r>
      <w:r>
        <w:rPr/>
        <w:t>be</w:t>
      </w:r>
      <w:r>
        <w:rPr>
          <w:spacing w:val="-42"/>
        </w:rPr>
        <w:t> </w:t>
      </w:r>
      <w:r>
        <w:rPr/>
        <w:t>used</w:t>
      </w:r>
      <w:r>
        <w:rPr>
          <w:spacing w:val="-39"/>
        </w:rPr>
        <w:t> </w:t>
      </w:r>
      <w:r>
        <w:rPr/>
        <w:t>to</w:t>
      </w:r>
      <w:r>
        <w:rPr>
          <w:spacing w:val="-42"/>
        </w:rPr>
        <w:t> </w:t>
      </w:r>
      <w:r>
        <w:rPr/>
        <w:t>provide</w:t>
      </w:r>
      <w:r>
        <w:rPr>
          <w:spacing w:val="-34"/>
        </w:rPr>
        <w:t> </w:t>
      </w:r>
      <w:r>
        <w:rPr/>
        <w:t>clarity</w:t>
      </w:r>
      <w:r>
        <w:rPr>
          <w:spacing w:val="-32"/>
        </w:rPr>
        <w:t> </w:t>
      </w:r>
      <w:r>
        <w:rPr/>
        <w:t>over</w:t>
      </w:r>
      <w:r>
        <w:rPr>
          <w:spacing w:val="-35"/>
        </w:rPr>
        <w:t> </w:t>
      </w:r>
      <w:r>
        <w:rPr/>
        <w:t>ownership</w:t>
      </w:r>
      <w:r>
        <w:rPr>
          <w:spacing w:val="-25"/>
        </w:rPr>
        <w:t> </w:t>
      </w:r>
      <w:r>
        <w:rPr/>
        <w:t>and maintenance of</w:t>
      </w:r>
      <w:r>
        <w:rPr>
          <w:spacing w:val="-38"/>
        </w:rPr>
        <w:t> </w:t>
      </w:r>
      <w:r>
        <w:rPr/>
        <w:t>SuDS.</w:t>
      </w:r>
    </w:p>
    <w:p>
      <w:pPr>
        <w:spacing w:after="0" w:line="261" w:lineRule="auto"/>
        <w:sectPr>
          <w:pgSz w:w="11920" w:h="16850"/>
          <w:pgMar w:header="0" w:footer="1246" w:top="580" w:bottom="1440" w:left="440" w:right="560"/>
        </w:sectPr>
      </w:pPr>
    </w:p>
    <w:p>
      <w:pPr>
        <w:pStyle w:val="BodyText"/>
        <w:rPr>
          <w:sz w:val="20"/>
        </w:rPr>
      </w:pPr>
    </w:p>
    <w:p>
      <w:pPr>
        <w:pStyle w:val="BodyText"/>
        <w:rPr>
          <w:sz w:val="20"/>
        </w:rPr>
      </w:pPr>
    </w:p>
    <w:p>
      <w:pPr>
        <w:pStyle w:val="BodyText"/>
        <w:rPr>
          <w:sz w:val="20"/>
        </w:rPr>
      </w:pPr>
    </w:p>
    <w:p>
      <w:pPr>
        <w:pStyle w:val="BodyText"/>
        <w:spacing w:before="11"/>
        <w:rPr>
          <w:sz w:val="28"/>
        </w:rPr>
      </w:pPr>
    </w:p>
    <w:p>
      <w:pPr>
        <w:pStyle w:val="ListParagraph"/>
        <w:numPr>
          <w:ilvl w:val="1"/>
          <w:numId w:val="13"/>
        </w:numPr>
        <w:tabs>
          <w:tab w:pos="977" w:val="left" w:leader="none"/>
          <w:tab w:pos="978" w:val="left" w:leader="none"/>
        </w:tabs>
        <w:spacing w:line="240" w:lineRule="auto" w:before="91" w:after="0"/>
        <w:ind w:left="977" w:right="0" w:hanging="854"/>
        <w:jc w:val="left"/>
        <w:rPr>
          <w:sz w:val="28"/>
        </w:rPr>
      </w:pPr>
      <w:r>
        <w:rPr/>
        <w:pict>
          <v:group style="position:absolute;margin-left:537.554504pt;margin-top:-50.712536pt;width:5.8pt;height:34.6pt;mso-position-horizontal-relative:page;mso-position-vertical-relative:paragraph;z-index:2920" coordorigin="10751,-1014" coordsize="116,692">
            <v:shape style="position:absolute;left:10751;top:-1015;width:116;height:39" type="#_x0000_t75" stroked="false">
              <v:imagedata r:id="rId27" o:title=""/>
            </v:shape>
            <v:shape style="position:absolute;left:10827;top:-400;width:39;height:77" type="#_x0000_t75" stroked="false">
              <v:imagedata r:id="rId28" o:title=""/>
            </v:shape>
            <v:line style="position:absolute" from="10804,-1014" to="10804,-333" stroked="true" strokeweight="5.279551pt" strokecolor="#d85970">
              <v:stroke dashstyle="solid"/>
            </v:line>
            <w10:wrap type="none"/>
          </v:group>
        </w:pict>
      </w:r>
      <w:bookmarkStart w:name="Leeds LFRMS 2018 Update_Page_40" w:id="54"/>
      <w:bookmarkEnd w:id="54"/>
      <w:r>
        <w:rPr/>
      </w:r>
      <w:bookmarkStart w:name="Leeds LFRMS 2018 Update_Page_40" w:id="55"/>
      <w:bookmarkEnd w:id="55"/>
      <w:r>
        <w:rPr>
          <w:sz w:val="28"/>
        </w:rPr>
        <w:t>ENGAGEMEN</w:t>
      </w:r>
      <w:r>
        <w:rPr>
          <w:sz w:val="28"/>
        </w:rPr>
        <w:t>T WITH</w:t>
      </w:r>
      <w:r>
        <w:rPr>
          <w:spacing w:val="-41"/>
          <w:sz w:val="28"/>
        </w:rPr>
        <w:t> </w:t>
      </w:r>
      <w:r>
        <w:rPr>
          <w:sz w:val="28"/>
        </w:rPr>
        <w:t>PARTNERS</w:t>
      </w:r>
    </w:p>
    <w:p>
      <w:pPr>
        <w:pStyle w:val="ListParagraph"/>
        <w:numPr>
          <w:ilvl w:val="2"/>
          <w:numId w:val="13"/>
        </w:numPr>
        <w:tabs>
          <w:tab w:pos="978" w:val="left" w:leader="none"/>
          <w:tab w:pos="979" w:val="left" w:leader="none"/>
        </w:tabs>
        <w:spacing w:line="240" w:lineRule="auto" w:before="176" w:after="0"/>
        <w:ind w:left="978" w:right="0" w:hanging="855"/>
        <w:jc w:val="left"/>
        <w:rPr>
          <w:sz w:val="23"/>
        </w:rPr>
      </w:pPr>
      <w:r>
        <w:rPr>
          <w:w w:val="105"/>
          <w:sz w:val="23"/>
        </w:rPr>
        <w:t>COMMUNICATION</w:t>
      </w:r>
    </w:p>
    <w:p>
      <w:pPr>
        <w:pStyle w:val="BodyText"/>
        <w:spacing w:line="264" w:lineRule="auto" w:before="158"/>
        <w:ind w:left="975" w:right="221" w:firstLine="6"/>
      </w:pPr>
      <w:r>
        <w:rPr/>
        <w:t>A</w:t>
      </w:r>
      <w:r>
        <w:rPr>
          <w:spacing w:val="-29"/>
        </w:rPr>
        <w:t> </w:t>
      </w:r>
      <w:r>
        <w:rPr/>
        <w:t>stakeholder</w:t>
      </w:r>
      <w:r>
        <w:rPr>
          <w:spacing w:val="-25"/>
        </w:rPr>
        <w:t> </w:t>
      </w:r>
      <w:r>
        <w:rPr/>
        <w:t>communication</w:t>
      </w:r>
      <w:r>
        <w:rPr>
          <w:spacing w:val="-19"/>
        </w:rPr>
        <w:t> </w:t>
      </w:r>
      <w:r>
        <w:rPr/>
        <w:t>and</w:t>
      </w:r>
      <w:r>
        <w:rPr>
          <w:spacing w:val="-29"/>
        </w:rPr>
        <w:t> </w:t>
      </w:r>
      <w:r>
        <w:rPr/>
        <w:t>engagement</w:t>
      </w:r>
      <w:r>
        <w:rPr>
          <w:spacing w:val="-20"/>
        </w:rPr>
        <w:t> </w:t>
      </w:r>
      <w:r>
        <w:rPr/>
        <w:t>plan</w:t>
      </w:r>
      <w:r>
        <w:rPr>
          <w:spacing w:val="-31"/>
        </w:rPr>
        <w:t> </w:t>
      </w:r>
      <w:r>
        <w:rPr/>
        <w:t>was</w:t>
      </w:r>
      <w:r>
        <w:rPr>
          <w:spacing w:val="-34"/>
        </w:rPr>
        <w:t> </w:t>
      </w:r>
      <w:r>
        <w:rPr/>
        <w:t>devised</w:t>
      </w:r>
      <w:r>
        <w:rPr>
          <w:spacing w:val="-25"/>
        </w:rPr>
        <w:t> </w:t>
      </w:r>
      <w:r>
        <w:rPr/>
        <w:t>as</w:t>
      </w:r>
      <w:r>
        <w:rPr>
          <w:spacing w:val="-37"/>
        </w:rPr>
        <w:t> </w:t>
      </w:r>
      <w:r>
        <w:rPr/>
        <w:t>part</w:t>
      </w:r>
      <w:r>
        <w:rPr>
          <w:spacing w:val="-27"/>
        </w:rPr>
        <w:t> </w:t>
      </w:r>
      <w:r>
        <w:rPr/>
        <w:t>of</w:t>
      </w:r>
      <w:r>
        <w:rPr>
          <w:spacing w:val="-33"/>
        </w:rPr>
        <w:t> </w:t>
      </w:r>
      <w:r>
        <w:rPr/>
        <w:t>the</w:t>
      </w:r>
      <w:r>
        <w:rPr>
          <w:spacing w:val="-30"/>
        </w:rPr>
        <w:t> </w:t>
      </w:r>
      <w:r>
        <w:rPr/>
        <w:t>2011</w:t>
      </w:r>
      <w:r>
        <w:rPr>
          <w:spacing w:val="-30"/>
        </w:rPr>
        <w:t> </w:t>
      </w:r>
      <w:r>
        <w:rPr/>
        <w:t>LFRMS.</w:t>
      </w:r>
      <w:r>
        <w:rPr>
          <w:spacing w:val="-23"/>
        </w:rPr>
        <w:t> </w:t>
      </w:r>
      <w:r>
        <w:rPr/>
        <w:t>It</w:t>
      </w:r>
      <w:r>
        <w:rPr>
          <w:spacing w:val="-36"/>
        </w:rPr>
        <w:t> </w:t>
      </w:r>
      <w:r>
        <w:rPr/>
        <w:t>is</w:t>
      </w:r>
      <w:r>
        <w:rPr>
          <w:spacing w:val="-33"/>
        </w:rPr>
        <w:t> </w:t>
      </w:r>
      <w:r>
        <w:rPr/>
        <w:t>a key aspect of the strategy for flood risk management. It is important that there is effective communication between all stakeholders particularly between the LLFA and other RMAs in responding to flood events, and the public, to raise awareness and involve local communities in decision making. It has been successful in the previous review cycle; therefore, the following activities of this plan will be continued in the next review</w:t>
      </w:r>
      <w:r>
        <w:rPr>
          <w:spacing w:val="-4"/>
        </w:rPr>
        <w:t> </w:t>
      </w:r>
      <w:r>
        <w:rPr/>
        <w:t>cycle:</w:t>
      </w:r>
    </w:p>
    <w:p>
      <w:pPr>
        <w:pStyle w:val="ListParagraph"/>
        <w:numPr>
          <w:ilvl w:val="0"/>
          <w:numId w:val="16"/>
        </w:numPr>
        <w:tabs>
          <w:tab w:pos="1271" w:val="left" w:leader="none"/>
        </w:tabs>
        <w:spacing w:line="240" w:lineRule="auto" w:before="116" w:after="0"/>
        <w:ind w:left="1270" w:right="0" w:hanging="286"/>
        <w:jc w:val="left"/>
        <w:rPr>
          <w:sz w:val="23"/>
        </w:rPr>
      </w:pPr>
      <w:r>
        <w:rPr>
          <w:sz w:val="23"/>
        </w:rPr>
        <w:t>Develop.</w:t>
      </w:r>
    </w:p>
    <w:p>
      <w:pPr>
        <w:pStyle w:val="BodyText"/>
        <w:spacing w:before="24"/>
        <w:ind w:left="1270"/>
      </w:pPr>
      <w:r>
        <w:rPr/>
        <w:t>Develop the LFRMS and provide ongoing opportunity for input from stakeholders.</w:t>
      </w:r>
    </w:p>
    <w:p>
      <w:pPr>
        <w:pStyle w:val="ListParagraph"/>
        <w:numPr>
          <w:ilvl w:val="0"/>
          <w:numId w:val="16"/>
        </w:numPr>
        <w:tabs>
          <w:tab w:pos="1261" w:val="left" w:leader="none"/>
        </w:tabs>
        <w:spacing w:line="240" w:lineRule="auto" w:before="148" w:after="0"/>
        <w:ind w:left="1260" w:right="0" w:hanging="277"/>
        <w:jc w:val="left"/>
        <w:rPr>
          <w:sz w:val="23"/>
        </w:rPr>
      </w:pPr>
      <w:r>
        <w:rPr>
          <w:sz w:val="23"/>
        </w:rPr>
        <w:t>Review.</w:t>
      </w:r>
    </w:p>
    <w:p>
      <w:pPr>
        <w:pStyle w:val="BodyText"/>
        <w:spacing w:line="271" w:lineRule="auto" w:before="24"/>
        <w:ind w:left="1268" w:right="221" w:firstLine="1"/>
      </w:pPr>
      <w:r>
        <w:rPr/>
        <w:t>Review</w:t>
      </w:r>
      <w:r>
        <w:rPr>
          <w:spacing w:val="-29"/>
        </w:rPr>
        <w:t> </w:t>
      </w:r>
      <w:r>
        <w:rPr/>
        <w:t>draft</w:t>
      </w:r>
      <w:r>
        <w:rPr>
          <w:spacing w:val="-37"/>
        </w:rPr>
        <w:t> </w:t>
      </w:r>
      <w:r>
        <w:rPr/>
        <w:t>LFRMS</w:t>
      </w:r>
      <w:r>
        <w:rPr>
          <w:spacing w:val="-37"/>
        </w:rPr>
        <w:t> </w:t>
      </w:r>
      <w:r>
        <w:rPr/>
        <w:t>(particularly</w:t>
      </w:r>
      <w:r>
        <w:rPr>
          <w:spacing w:val="-33"/>
        </w:rPr>
        <w:t> </w:t>
      </w:r>
      <w:r>
        <w:rPr/>
        <w:t>objectives</w:t>
      </w:r>
      <w:r>
        <w:rPr>
          <w:spacing w:val="-32"/>
        </w:rPr>
        <w:t> </w:t>
      </w:r>
      <w:r>
        <w:rPr/>
        <w:t>for</w:t>
      </w:r>
      <w:r>
        <w:rPr>
          <w:spacing w:val="-39"/>
        </w:rPr>
        <w:t> </w:t>
      </w:r>
      <w:r>
        <w:rPr/>
        <w:t>managing</w:t>
      </w:r>
      <w:r>
        <w:rPr>
          <w:spacing w:val="-33"/>
        </w:rPr>
        <w:t> </w:t>
      </w:r>
      <w:r>
        <w:rPr/>
        <w:t>local</w:t>
      </w:r>
      <w:r>
        <w:rPr>
          <w:spacing w:val="-37"/>
        </w:rPr>
        <w:t> </w:t>
      </w:r>
      <w:r>
        <w:rPr/>
        <w:t>flood</w:t>
      </w:r>
      <w:r>
        <w:rPr>
          <w:spacing w:val="-34"/>
        </w:rPr>
        <w:t> </w:t>
      </w:r>
      <w:r>
        <w:rPr/>
        <w:t>risk</w:t>
      </w:r>
      <w:r>
        <w:rPr>
          <w:spacing w:val="-35"/>
        </w:rPr>
        <w:t> </w:t>
      </w:r>
      <w:r>
        <w:rPr/>
        <w:t>and</w:t>
      </w:r>
      <w:r>
        <w:rPr>
          <w:spacing w:val="-39"/>
        </w:rPr>
        <w:t> </w:t>
      </w:r>
      <w:r>
        <w:rPr/>
        <w:t>‘List</w:t>
      </w:r>
      <w:r>
        <w:rPr>
          <w:spacing w:val="-38"/>
        </w:rPr>
        <w:t> </w:t>
      </w:r>
      <w:r>
        <w:rPr/>
        <w:t>of</w:t>
      </w:r>
      <w:r>
        <w:rPr>
          <w:spacing w:val="-36"/>
        </w:rPr>
        <w:t> </w:t>
      </w:r>
      <w:r>
        <w:rPr/>
        <w:t>Measures’) with all interested/affected</w:t>
      </w:r>
      <w:r>
        <w:rPr>
          <w:spacing w:val="-12"/>
        </w:rPr>
        <w:t> </w:t>
      </w:r>
      <w:r>
        <w:rPr/>
        <w:t>parties.</w:t>
      </w:r>
    </w:p>
    <w:p>
      <w:pPr>
        <w:pStyle w:val="Heading3"/>
        <w:numPr>
          <w:ilvl w:val="0"/>
          <w:numId w:val="16"/>
        </w:numPr>
        <w:tabs>
          <w:tab w:pos="1268" w:val="left" w:leader="none"/>
        </w:tabs>
        <w:spacing w:line="240" w:lineRule="auto" w:before="93" w:after="0"/>
        <w:ind w:left="1267" w:right="0" w:hanging="287"/>
        <w:jc w:val="left"/>
      </w:pPr>
      <w:r>
        <w:rPr/>
        <w:t>Scrutiny.</w:t>
      </w:r>
    </w:p>
    <w:p>
      <w:pPr>
        <w:pStyle w:val="Heading3"/>
        <w:spacing w:before="22"/>
        <w:ind w:left="1268"/>
      </w:pPr>
      <w:r>
        <w:rPr/>
        <w:t>Review of LFRMS by Scrutiny Committee.</w:t>
      </w:r>
    </w:p>
    <w:p>
      <w:pPr>
        <w:pStyle w:val="ListParagraph"/>
        <w:numPr>
          <w:ilvl w:val="0"/>
          <w:numId w:val="16"/>
        </w:numPr>
        <w:tabs>
          <w:tab w:pos="1271" w:val="left" w:leader="none"/>
        </w:tabs>
        <w:spacing w:line="240" w:lineRule="auto" w:before="146" w:after="0"/>
        <w:ind w:left="1270" w:right="0" w:hanging="283"/>
        <w:jc w:val="left"/>
        <w:rPr>
          <w:sz w:val="23"/>
        </w:rPr>
      </w:pPr>
      <w:r>
        <w:rPr>
          <w:sz w:val="23"/>
        </w:rPr>
        <w:t>Publish.</w:t>
      </w:r>
    </w:p>
    <w:p>
      <w:pPr>
        <w:pStyle w:val="BodyText"/>
        <w:spacing w:before="23"/>
        <w:ind w:left="1270"/>
      </w:pPr>
      <w:r>
        <w:rPr/>
        <w:t>Publish LFRMS and a summary with guidance on the availability of further information.</w:t>
      </w:r>
    </w:p>
    <w:p>
      <w:pPr>
        <w:pStyle w:val="ListParagraph"/>
        <w:numPr>
          <w:ilvl w:val="0"/>
          <w:numId w:val="16"/>
        </w:numPr>
        <w:tabs>
          <w:tab w:pos="1269" w:val="left" w:leader="none"/>
        </w:tabs>
        <w:spacing w:line="240" w:lineRule="auto" w:before="149" w:after="0"/>
        <w:ind w:left="1269" w:right="0" w:hanging="289"/>
        <w:jc w:val="left"/>
        <w:rPr>
          <w:sz w:val="23"/>
        </w:rPr>
      </w:pPr>
      <w:r>
        <w:rPr>
          <w:sz w:val="23"/>
        </w:rPr>
        <w:t>Future.</w:t>
      </w:r>
    </w:p>
    <w:p>
      <w:pPr>
        <w:pStyle w:val="BodyText"/>
        <w:spacing w:before="23"/>
        <w:ind w:left="1270"/>
      </w:pPr>
      <w:r>
        <w:rPr/>
        <w:t>Plan and agree future activities and schedule next review of List of Measures’.</w:t>
      </w:r>
    </w:p>
    <w:p>
      <w:pPr>
        <w:pStyle w:val="BodyText"/>
        <w:spacing w:line="266" w:lineRule="auto" w:before="149"/>
        <w:ind w:left="975" w:firstLine="3"/>
      </w:pPr>
      <w:r>
        <w:rPr/>
        <w:t>In</w:t>
      </w:r>
      <w:r>
        <w:rPr>
          <w:spacing w:val="-37"/>
        </w:rPr>
        <w:t> </w:t>
      </w:r>
      <w:r>
        <w:rPr/>
        <w:t>producing</w:t>
      </w:r>
      <w:r>
        <w:rPr>
          <w:spacing w:val="-28"/>
        </w:rPr>
        <w:t> </w:t>
      </w:r>
      <w:r>
        <w:rPr/>
        <w:t>the</w:t>
      </w:r>
      <w:r>
        <w:rPr>
          <w:spacing w:val="-33"/>
        </w:rPr>
        <w:t> </w:t>
      </w:r>
      <w:r>
        <w:rPr/>
        <w:t>LFRMS</w:t>
      </w:r>
      <w:r>
        <w:rPr>
          <w:spacing w:val="-30"/>
        </w:rPr>
        <w:t> </w:t>
      </w:r>
      <w:r>
        <w:rPr/>
        <w:t>the</w:t>
      </w:r>
      <w:r>
        <w:rPr>
          <w:spacing w:val="-34"/>
        </w:rPr>
        <w:t> </w:t>
      </w:r>
      <w:r>
        <w:rPr/>
        <w:t>council</w:t>
      </w:r>
      <w:r>
        <w:rPr>
          <w:spacing w:val="-29"/>
        </w:rPr>
        <w:t> </w:t>
      </w:r>
      <w:r>
        <w:rPr/>
        <w:t>have</w:t>
      </w:r>
      <w:r>
        <w:rPr>
          <w:spacing w:val="-32"/>
        </w:rPr>
        <w:t> </w:t>
      </w:r>
      <w:r>
        <w:rPr/>
        <w:t>consulted</w:t>
      </w:r>
      <w:r>
        <w:rPr>
          <w:spacing w:val="-29"/>
        </w:rPr>
        <w:t> </w:t>
      </w:r>
      <w:r>
        <w:rPr/>
        <w:t>internally,</w:t>
      </w:r>
      <w:r>
        <w:rPr>
          <w:spacing w:val="-23"/>
        </w:rPr>
        <w:t> </w:t>
      </w:r>
      <w:r>
        <w:rPr/>
        <w:t>with</w:t>
      </w:r>
      <w:r>
        <w:rPr>
          <w:spacing w:val="-30"/>
        </w:rPr>
        <w:t> </w:t>
      </w:r>
      <w:r>
        <w:rPr/>
        <w:t>other</w:t>
      </w:r>
      <w:r>
        <w:rPr>
          <w:spacing w:val="-31"/>
        </w:rPr>
        <w:t> </w:t>
      </w:r>
      <w:r>
        <w:rPr/>
        <w:t>RMAs</w:t>
      </w:r>
      <w:r>
        <w:rPr>
          <w:spacing w:val="-36"/>
        </w:rPr>
        <w:t> </w:t>
      </w:r>
      <w:r>
        <w:rPr/>
        <w:t>that</w:t>
      </w:r>
      <w:r>
        <w:rPr>
          <w:spacing w:val="-34"/>
        </w:rPr>
        <w:t> </w:t>
      </w:r>
      <w:r>
        <w:rPr/>
        <w:t>may</w:t>
      </w:r>
      <w:r>
        <w:rPr>
          <w:spacing w:val="-34"/>
        </w:rPr>
        <w:t> </w:t>
      </w:r>
      <w:r>
        <w:rPr/>
        <w:t>be</w:t>
      </w:r>
      <w:r>
        <w:rPr>
          <w:spacing w:val="-34"/>
        </w:rPr>
        <w:t> </w:t>
      </w:r>
      <w:r>
        <w:rPr/>
        <w:t>affected by the strategy, the public and also other LLFAs to ensure that the LFRMS is consistent with the catchment</w:t>
      </w:r>
      <w:r>
        <w:rPr>
          <w:spacing w:val="3"/>
        </w:rPr>
        <w:t> </w:t>
      </w:r>
      <w:r>
        <w:rPr/>
        <w:t>‘cell’</w:t>
      </w:r>
      <w:r>
        <w:rPr>
          <w:spacing w:val="-6"/>
        </w:rPr>
        <w:t> </w:t>
      </w:r>
      <w:r>
        <w:rPr/>
        <w:t>approach</w:t>
      </w:r>
      <w:r>
        <w:rPr>
          <w:spacing w:val="2"/>
        </w:rPr>
        <w:t> </w:t>
      </w:r>
      <w:r>
        <w:rPr/>
        <w:t>set</w:t>
      </w:r>
      <w:r>
        <w:rPr>
          <w:spacing w:val="-4"/>
        </w:rPr>
        <w:t> </w:t>
      </w:r>
      <w:r>
        <w:rPr/>
        <w:t>out</w:t>
      </w:r>
      <w:r>
        <w:rPr>
          <w:spacing w:val="-18"/>
        </w:rPr>
        <w:t> </w:t>
      </w:r>
      <w:r>
        <w:rPr/>
        <w:t>in</w:t>
      </w:r>
      <w:r>
        <w:rPr>
          <w:spacing w:val="-14"/>
        </w:rPr>
        <w:t> </w:t>
      </w:r>
      <w:r>
        <w:rPr/>
        <w:t>the</w:t>
      </w:r>
      <w:r>
        <w:rPr>
          <w:spacing w:val="-9"/>
        </w:rPr>
        <w:t> </w:t>
      </w:r>
      <w:r>
        <w:rPr/>
        <w:t>National FCERM</w:t>
      </w:r>
      <w:r>
        <w:rPr>
          <w:spacing w:val="-1"/>
        </w:rPr>
        <w:t> </w:t>
      </w:r>
      <w:r>
        <w:rPr/>
        <w:t>Strategy</w:t>
      </w:r>
      <w:r>
        <w:rPr>
          <w:spacing w:val="1"/>
        </w:rPr>
        <w:t> </w:t>
      </w:r>
      <w:r>
        <w:rPr/>
        <w:t>for</w:t>
      </w:r>
      <w:r>
        <w:rPr>
          <w:spacing w:val="-7"/>
        </w:rPr>
        <w:t> </w:t>
      </w:r>
      <w:r>
        <w:rPr/>
        <w:t>England.</w:t>
      </w:r>
    </w:p>
    <w:p>
      <w:pPr>
        <w:pStyle w:val="BodyText"/>
        <w:spacing w:line="271" w:lineRule="auto" w:before="108"/>
        <w:ind w:left="981" w:hanging="1"/>
      </w:pPr>
      <w:r>
        <w:rPr/>
        <w:t>A</w:t>
      </w:r>
      <w:r>
        <w:rPr>
          <w:spacing w:val="-33"/>
        </w:rPr>
        <w:t> </w:t>
      </w:r>
      <w:r>
        <w:rPr/>
        <w:t>review</w:t>
      </w:r>
      <w:r>
        <w:rPr>
          <w:spacing w:val="-19"/>
        </w:rPr>
        <w:t> </w:t>
      </w:r>
      <w:r>
        <w:rPr/>
        <w:t>of</w:t>
      </w:r>
      <w:r>
        <w:rPr>
          <w:spacing w:val="-33"/>
        </w:rPr>
        <w:t> </w:t>
      </w:r>
      <w:r>
        <w:rPr/>
        <w:t>the</w:t>
      </w:r>
      <w:r>
        <w:rPr>
          <w:spacing w:val="-31"/>
        </w:rPr>
        <w:t> </w:t>
      </w:r>
      <w:r>
        <w:rPr/>
        <w:t>LFRMS</w:t>
      </w:r>
      <w:r>
        <w:rPr>
          <w:spacing w:val="-26"/>
        </w:rPr>
        <w:t> </w:t>
      </w:r>
      <w:r>
        <w:rPr/>
        <w:t>and</w:t>
      </w:r>
      <w:r>
        <w:rPr>
          <w:spacing w:val="-32"/>
        </w:rPr>
        <w:t> </w:t>
      </w:r>
      <w:r>
        <w:rPr/>
        <w:t>the</w:t>
      </w:r>
      <w:r>
        <w:rPr>
          <w:spacing w:val="-31"/>
        </w:rPr>
        <w:t> </w:t>
      </w:r>
      <w:r>
        <w:rPr/>
        <w:t>List</w:t>
      </w:r>
      <w:r>
        <w:rPr>
          <w:spacing w:val="-32"/>
        </w:rPr>
        <w:t> </w:t>
      </w:r>
      <w:r>
        <w:rPr/>
        <w:t>of</w:t>
      </w:r>
      <w:r>
        <w:rPr>
          <w:spacing w:val="-30"/>
        </w:rPr>
        <w:t> </w:t>
      </w:r>
      <w:r>
        <w:rPr/>
        <w:t>Measures</w:t>
      </w:r>
      <w:r>
        <w:rPr>
          <w:spacing w:val="-29"/>
        </w:rPr>
        <w:t> </w:t>
      </w:r>
      <w:r>
        <w:rPr/>
        <w:t>takes</w:t>
      </w:r>
      <w:r>
        <w:rPr>
          <w:spacing w:val="-34"/>
        </w:rPr>
        <w:t> </w:t>
      </w:r>
      <w:r>
        <w:rPr/>
        <w:t>place</w:t>
      </w:r>
      <w:r>
        <w:rPr>
          <w:spacing w:val="-30"/>
        </w:rPr>
        <w:t> </w:t>
      </w:r>
      <w:r>
        <w:rPr/>
        <w:t>annually.</w:t>
      </w:r>
      <w:r>
        <w:rPr>
          <w:spacing w:val="-24"/>
        </w:rPr>
        <w:t> </w:t>
      </w:r>
      <w:r>
        <w:rPr/>
        <w:t>Remarks</w:t>
      </w:r>
      <w:r>
        <w:rPr>
          <w:spacing w:val="-33"/>
        </w:rPr>
        <w:t> </w:t>
      </w:r>
      <w:r>
        <w:rPr/>
        <w:t>from</w:t>
      </w:r>
      <w:r>
        <w:rPr>
          <w:spacing w:val="-26"/>
        </w:rPr>
        <w:t> </w:t>
      </w:r>
      <w:r>
        <w:rPr/>
        <w:t>the</w:t>
      </w:r>
      <w:r>
        <w:rPr>
          <w:spacing w:val="-33"/>
        </w:rPr>
        <w:t> </w:t>
      </w:r>
      <w:r>
        <w:rPr/>
        <w:t>committee are included in the LCC governance comments provided</w:t>
      </w:r>
      <w:r>
        <w:rPr>
          <w:spacing w:val="-1"/>
        </w:rPr>
        <w:t> </w:t>
      </w:r>
      <w:r>
        <w:rPr/>
        <w:t>in</w:t>
      </w:r>
    </w:p>
    <w:p>
      <w:pPr>
        <w:pStyle w:val="ListParagraph"/>
        <w:numPr>
          <w:ilvl w:val="2"/>
          <w:numId w:val="13"/>
        </w:numPr>
        <w:tabs>
          <w:tab w:pos="981" w:val="left" w:leader="none"/>
          <w:tab w:pos="982" w:val="left" w:leader="none"/>
        </w:tabs>
        <w:spacing w:line="240" w:lineRule="auto" w:before="131" w:after="0"/>
        <w:ind w:left="981" w:right="0" w:hanging="858"/>
        <w:jc w:val="left"/>
        <w:rPr>
          <w:sz w:val="23"/>
        </w:rPr>
      </w:pPr>
      <w:r>
        <w:rPr>
          <w:w w:val="105"/>
          <w:sz w:val="23"/>
        </w:rPr>
        <w:t>RESPONSE AND</w:t>
      </w:r>
      <w:r>
        <w:rPr>
          <w:spacing w:val="22"/>
          <w:w w:val="105"/>
          <w:sz w:val="23"/>
        </w:rPr>
        <w:t> </w:t>
      </w:r>
      <w:r>
        <w:rPr>
          <w:w w:val="105"/>
          <w:sz w:val="23"/>
        </w:rPr>
        <w:t>RECOVERY</w:t>
      </w:r>
    </w:p>
    <w:p>
      <w:pPr>
        <w:pStyle w:val="BodyText"/>
        <w:spacing w:line="266" w:lineRule="auto" w:before="149"/>
        <w:ind w:left="975" w:firstLine="7"/>
      </w:pPr>
      <w:r>
        <w:rPr/>
        <w:t>LCC</w:t>
      </w:r>
      <w:r>
        <w:rPr>
          <w:spacing w:val="-36"/>
        </w:rPr>
        <w:t> </w:t>
      </w:r>
      <w:r>
        <w:rPr/>
        <w:t>takes</w:t>
      </w:r>
      <w:r>
        <w:rPr>
          <w:spacing w:val="-32"/>
        </w:rPr>
        <w:t> </w:t>
      </w:r>
      <w:r>
        <w:rPr/>
        <w:t>a</w:t>
      </w:r>
      <w:r>
        <w:rPr>
          <w:spacing w:val="-40"/>
        </w:rPr>
        <w:t> </w:t>
      </w:r>
      <w:r>
        <w:rPr/>
        <w:t>lead</w:t>
      </w:r>
      <w:r>
        <w:rPr>
          <w:spacing w:val="-36"/>
        </w:rPr>
        <w:t> </w:t>
      </w:r>
      <w:r>
        <w:rPr/>
        <w:t>role</w:t>
      </w:r>
      <w:r>
        <w:rPr>
          <w:spacing w:val="-37"/>
        </w:rPr>
        <w:t> </w:t>
      </w:r>
      <w:r>
        <w:rPr/>
        <w:t>in</w:t>
      </w:r>
      <w:r>
        <w:rPr>
          <w:spacing w:val="-36"/>
        </w:rPr>
        <w:t> </w:t>
      </w:r>
      <w:r>
        <w:rPr/>
        <w:t>planning</w:t>
      </w:r>
      <w:r>
        <w:rPr>
          <w:spacing w:val="-28"/>
        </w:rPr>
        <w:t> </w:t>
      </w:r>
      <w:r>
        <w:rPr/>
        <w:t>for</w:t>
      </w:r>
      <w:r>
        <w:rPr>
          <w:spacing w:val="-33"/>
        </w:rPr>
        <w:t> </w:t>
      </w:r>
      <w:r>
        <w:rPr/>
        <w:t>severe</w:t>
      </w:r>
      <w:r>
        <w:rPr>
          <w:spacing w:val="-33"/>
        </w:rPr>
        <w:t> </w:t>
      </w:r>
      <w:r>
        <w:rPr/>
        <w:t>weather</w:t>
      </w:r>
      <w:r>
        <w:rPr>
          <w:spacing w:val="-31"/>
        </w:rPr>
        <w:t> </w:t>
      </w:r>
      <w:r>
        <w:rPr/>
        <w:t>through</w:t>
      </w:r>
      <w:r>
        <w:rPr>
          <w:spacing w:val="-31"/>
        </w:rPr>
        <w:t> </w:t>
      </w:r>
      <w:r>
        <w:rPr/>
        <w:t>the</w:t>
      </w:r>
      <w:r>
        <w:rPr>
          <w:spacing w:val="-34"/>
        </w:rPr>
        <w:t> </w:t>
      </w:r>
      <w:r>
        <w:rPr/>
        <w:t>Resilience</w:t>
      </w:r>
      <w:r>
        <w:rPr>
          <w:spacing w:val="-29"/>
        </w:rPr>
        <w:t> </w:t>
      </w:r>
      <w:r>
        <w:rPr/>
        <w:t>and</w:t>
      </w:r>
      <w:r>
        <w:rPr>
          <w:spacing w:val="-33"/>
        </w:rPr>
        <w:t> </w:t>
      </w:r>
      <w:r>
        <w:rPr/>
        <w:t>Emergencies</w:t>
      </w:r>
      <w:r>
        <w:rPr>
          <w:spacing w:val="-20"/>
        </w:rPr>
        <w:t> </w:t>
      </w:r>
      <w:r>
        <w:rPr/>
        <w:t>Team (RET),</w:t>
      </w:r>
      <w:r>
        <w:rPr>
          <w:spacing w:val="-22"/>
        </w:rPr>
        <w:t> </w:t>
      </w:r>
      <w:r>
        <w:rPr/>
        <w:t>both</w:t>
      </w:r>
      <w:r>
        <w:rPr>
          <w:spacing w:val="-21"/>
        </w:rPr>
        <w:t> </w:t>
      </w:r>
      <w:r>
        <w:rPr/>
        <w:t>across</w:t>
      </w:r>
      <w:r>
        <w:rPr>
          <w:spacing w:val="-24"/>
        </w:rPr>
        <w:t> </w:t>
      </w:r>
      <w:r>
        <w:rPr/>
        <w:t>the</w:t>
      </w:r>
      <w:r>
        <w:rPr>
          <w:spacing w:val="-26"/>
        </w:rPr>
        <w:t> </w:t>
      </w:r>
      <w:r>
        <w:rPr/>
        <w:t>Council</w:t>
      </w:r>
      <w:r>
        <w:rPr>
          <w:spacing w:val="-13"/>
        </w:rPr>
        <w:t> </w:t>
      </w:r>
      <w:r>
        <w:rPr/>
        <w:t>and</w:t>
      </w:r>
      <w:r>
        <w:rPr>
          <w:spacing w:val="-25"/>
        </w:rPr>
        <w:t> </w:t>
      </w:r>
      <w:r>
        <w:rPr/>
        <w:t>as</w:t>
      </w:r>
      <w:r>
        <w:rPr>
          <w:spacing w:val="-30"/>
        </w:rPr>
        <w:t> </w:t>
      </w:r>
      <w:r>
        <w:rPr/>
        <w:t>part</w:t>
      </w:r>
      <w:r>
        <w:rPr>
          <w:spacing w:val="-19"/>
        </w:rPr>
        <w:t> </w:t>
      </w:r>
      <w:r>
        <w:rPr/>
        <w:t>of</w:t>
      </w:r>
      <w:r>
        <w:rPr>
          <w:spacing w:val="-32"/>
        </w:rPr>
        <w:t> </w:t>
      </w:r>
      <w:r>
        <w:rPr/>
        <w:t>the</w:t>
      </w:r>
      <w:r>
        <w:rPr>
          <w:spacing w:val="-27"/>
        </w:rPr>
        <w:t> </w:t>
      </w:r>
      <w:r>
        <w:rPr/>
        <w:t>West</w:t>
      </w:r>
      <w:r>
        <w:rPr>
          <w:spacing w:val="-18"/>
        </w:rPr>
        <w:t> </w:t>
      </w:r>
      <w:r>
        <w:rPr/>
        <w:t>Yorkshire</w:t>
      </w:r>
      <w:r>
        <w:rPr>
          <w:spacing w:val="-17"/>
        </w:rPr>
        <w:t> </w:t>
      </w:r>
      <w:r>
        <w:rPr/>
        <w:t>Resilience</w:t>
      </w:r>
      <w:r>
        <w:rPr>
          <w:spacing w:val="-19"/>
        </w:rPr>
        <w:t> </w:t>
      </w:r>
      <w:r>
        <w:rPr/>
        <w:t>Forum</w:t>
      </w:r>
      <w:r>
        <w:rPr>
          <w:spacing w:val="-18"/>
        </w:rPr>
        <w:t> </w:t>
      </w:r>
      <w:r>
        <w:rPr/>
        <w:t>with</w:t>
      </w:r>
      <w:r>
        <w:rPr>
          <w:spacing w:val="-26"/>
        </w:rPr>
        <w:t> </w:t>
      </w:r>
      <w:r>
        <w:rPr/>
        <w:t>partners including the emergency services and the</w:t>
      </w:r>
      <w:r>
        <w:rPr>
          <w:spacing w:val="-26"/>
        </w:rPr>
        <w:t> </w:t>
      </w:r>
      <w:r>
        <w:rPr/>
        <w:t>NHS.</w:t>
      </w:r>
    </w:p>
    <w:p>
      <w:pPr>
        <w:pStyle w:val="BodyText"/>
        <w:spacing w:line="261" w:lineRule="auto" w:before="117"/>
        <w:ind w:left="975" w:right="221" w:firstLine="3"/>
      </w:pPr>
      <w:r>
        <w:rPr/>
        <w:t>In</w:t>
      </w:r>
      <w:r>
        <w:rPr>
          <w:spacing w:val="-35"/>
        </w:rPr>
        <w:t> </w:t>
      </w:r>
      <w:r>
        <w:rPr/>
        <w:t>the</w:t>
      </w:r>
      <w:r>
        <w:rPr>
          <w:spacing w:val="-30"/>
        </w:rPr>
        <w:t> </w:t>
      </w:r>
      <w:r>
        <w:rPr/>
        <w:t>event</w:t>
      </w:r>
      <w:r>
        <w:rPr>
          <w:spacing w:val="-26"/>
        </w:rPr>
        <w:t> </w:t>
      </w:r>
      <w:r>
        <w:rPr/>
        <w:t>of</w:t>
      </w:r>
      <w:r>
        <w:rPr>
          <w:spacing w:val="-30"/>
        </w:rPr>
        <w:t> </w:t>
      </w:r>
      <w:r>
        <w:rPr/>
        <w:t>flooding,</w:t>
      </w:r>
      <w:r>
        <w:rPr>
          <w:spacing w:val="-19"/>
        </w:rPr>
        <w:t> </w:t>
      </w:r>
      <w:r>
        <w:rPr/>
        <w:t>RET</w:t>
      </w:r>
      <w:r>
        <w:rPr>
          <w:spacing w:val="-29"/>
        </w:rPr>
        <w:t> </w:t>
      </w:r>
      <w:r>
        <w:rPr/>
        <w:t>deploys</w:t>
      </w:r>
      <w:r>
        <w:rPr>
          <w:spacing w:val="-26"/>
        </w:rPr>
        <w:t> </w:t>
      </w:r>
      <w:r>
        <w:rPr/>
        <w:t>the</w:t>
      </w:r>
      <w:r>
        <w:rPr>
          <w:spacing w:val="-31"/>
        </w:rPr>
        <w:t> </w:t>
      </w:r>
      <w:r>
        <w:rPr/>
        <w:t>Leeds</w:t>
      </w:r>
      <w:r>
        <w:rPr>
          <w:spacing w:val="-29"/>
        </w:rPr>
        <w:t> </w:t>
      </w:r>
      <w:r>
        <w:rPr/>
        <w:t>City</w:t>
      </w:r>
      <w:r>
        <w:rPr>
          <w:spacing w:val="-32"/>
        </w:rPr>
        <w:t> </w:t>
      </w:r>
      <w:r>
        <w:rPr/>
        <w:t>Council</w:t>
      </w:r>
      <w:r>
        <w:rPr>
          <w:spacing w:val="-25"/>
        </w:rPr>
        <w:t> </w:t>
      </w:r>
      <w:r>
        <w:rPr/>
        <w:t>Flood</w:t>
      </w:r>
      <w:r>
        <w:rPr>
          <w:spacing w:val="-26"/>
        </w:rPr>
        <w:t> </w:t>
      </w:r>
      <w:r>
        <w:rPr/>
        <w:t>Plan,</w:t>
      </w:r>
      <w:r>
        <w:rPr>
          <w:spacing w:val="-26"/>
        </w:rPr>
        <w:t> </w:t>
      </w:r>
      <w:r>
        <w:rPr/>
        <w:t>which</w:t>
      </w:r>
      <w:r>
        <w:rPr>
          <w:spacing w:val="-26"/>
        </w:rPr>
        <w:t> </w:t>
      </w:r>
      <w:r>
        <w:rPr/>
        <w:t>outlines</w:t>
      </w:r>
      <w:r>
        <w:rPr>
          <w:spacing w:val="-28"/>
        </w:rPr>
        <w:t> </w:t>
      </w:r>
      <w:r>
        <w:rPr/>
        <w:t>the</w:t>
      </w:r>
      <w:r>
        <w:rPr>
          <w:spacing w:val="-35"/>
        </w:rPr>
        <w:t> </w:t>
      </w:r>
      <w:r>
        <w:rPr/>
        <w:t>roles and responsibilities of multi-disciplinary teams based on the level of severity. The plan was published in December 2017 and tested in March 2018 as Exercise</w:t>
      </w:r>
      <w:r>
        <w:rPr>
          <w:spacing w:val="-37"/>
        </w:rPr>
        <w:t> </w:t>
      </w:r>
      <w:r>
        <w:rPr/>
        <w:t>Titan.</w:t>
      </w:r>
    </w:p>
    <w:p>
      <w:pPr>
        <w:pStyle w:val="BodyText"/>
        <w:spacing w:line="264" w:lineRule="auto" w:before="124"/>
        <w:ind w:left="976" w:right="250" w:firstLine="7"/>
      </w:pPr>
      <w:r>
        <w:rPr/>
        <w:t>The</w:t>
      </w:r>
      <w:r>
        <w:rPr>
          <w:spacing w:val="-36"/>
        </w:rPr>
        <w:t> </w:t>
      </w:r>
      <w:r>
        <w:rPr/>
        <w:t>plan</w:t>
      </w:r>
      <w:r>
        <w:rPr>
          <w:spacing w:val="-28"/>
        </w:rPr>
        <w:t> </w:t>
      </w:r>
      <w:r>
        <w:rPr/>
        <w:t>takes</w:t>
      </w:r>
      <w:r>
        <w:rPr>
          <w:spacing w:val="-33"/>
        </w:rPr>
        <w:t> </w:t>
      </w:r>
      <w:r>
        <w:rPr/>
        <w:t>the</w:t>
      </w:r>
      <w:r>
        <w:rPr>
          <w:spacing w:val="-36"/>
        </w:rPr>
        <w:t> </w:t>
      </w:r>
      <w:r>
        <w:rPr/>
        <w:t>user</w:t>
      </w:r>
      <w:r>
        <w:rPr>
          <w:spacing w:val="-32"/>
        </w:rPr>
        <w:t> </w:t>
      </w:r>
      <w:r>
        <w:rPr/>
        <w:t>through</w:t>
      </w:r>
      <w:r>
        <w:rPr>
          <w:spacing w:val="-29"/>
        </w:rPr>
        <w:t> </w:t>
      </w:r>
      <w:r>
        <w:rPr/>
        <w:t>initial</w:t>
      </w:r>
      <w:r>
        <w:rPr>
          <w:spacing w:val="-29"/>
        </w:rPr>
        <w:t> </w:t>
      </w:r>
      <w:r>
        <w:rPr/>
        <w:t>triggers,</w:t>
      </w:r>
      <w:r>
        <w:rPr>
          <w:spacing w:val="-25"/>
        </w:rPr>
        <w:t> </w:t>
      </w:r>
      <w:r>
        <w:rPr/>
        <w:t>leading</w:t>
      </w:r>
      <w:r>
        <w:rPr>
          <w:spacing w:val="-32"/>
        </w:rPr>
        <w:t> </w:t>
      </w:r>
      <w:r>
        <w:rPr/>
        <w:t>into</w:t>
      </w:r>
      <w:r>
        <w:rPr>
          <w:spacing w:val="-33"/>
        </w:rPr>
        <w:t> </w:t>
      </w:r>
      <w:r>
        <w:rPr/>
        <w:t>a</w:t>
      </w:r>
      <w:r>
        <w:rPr>
          <w:spacing w:val="-33"/>
        </w:rPr>
        <w:t> </w:t>
      </w:r>
      <w:r>
        <w:rPr/>
        <w:t>series</w:t>
      </w:r>
      <w:r>
        <w:rPr>
          <w:spacing w:val="-33"/>
        </w:rPr>
        <w:t> </w:t>
      </w:r>
      <w:r>
        <w:rPr/>
        <w:t>of</w:t>
      </w:r>
      <w:r>
        <w:rPr>
          <w:spacing w:val="-30"/>
        </w:rPr>
        <w:t> </w:t>
      </w:r>
      <w:r>
        <w:rPr/>
        <w:t>service</w:t>
      </w:r>
      <w:r>
        <w:rPr>
          <w:spacing w:val="-22"/>
        </w:rPr>
        <w:t> </w:t>
      </w:r>
      <w:r>
        <w:rPr/>
        <w:t>specific</w:t>
      </w:r>
      <w:r>
        <w:rPr>
          <w:spacing w:val="-26"/>
        </w:rPr>
        <w:t> </w:t>
      </w:r>
      <w:r>
        <w:rPr/>
        <w:t>checklists that</w:t>
      </w:r>
      <w:r>
        <w:rPr>
          <w:spacing w:val="-35"/>
        </w:rPr>
        <w:t> </w:t>
      </w:r>
      <w:r>
        <w:rPr/>
        <w:t>cover</w:t>
      </w:r>
      <w:r>
        <w:rPr>
          <w:spacing w:val="-37"/>
        </w:rPr>
        <w:t> </w:t>
      </w:r>
      <w:r>
        <w:rPr/>
        <w:t>the</w:t>
      </w:r>
      <w:r>
        <w:rPr>
          <w:spacing w:val="-36"/>
        </w:rPr>
        <w:t> </w:t>
      </w:r>
      <w:r>
        <w:rPr/>
        <w:t>stages</w:t>
      </w:r>
      <w:r>
        <w:rPr>
          <w:spacing w:val="-34"/>
        </w:rPr>
        <w:t> </w:t>
      </w:r>
      <w:r>
        <w:rPr/>
        <w:t>of</w:t>
      </w:r>
      <w:r>
        <w:rPr>
          <w:spacing w:val="-36"/>
        </w:rPr>
        <w:t> </w:t>
      </w:r>
      <w:r>
        <w:rPr/>
        <w:t>flooding</w:t>
      </w:r>
      <w:r>
        <w:rPr>
          <w:spacing w:val="-27"/>
        </w:rPr>
        <w:t> </w:t>
      </w:r>
      <w:r>
        <w:rPr/>
        <w:t>expected</w:t>
      </w:r>
      <w:r>
        <w:rPr>
          <w:spacing w:val="-33"/>
        </w:rPr>
        <w:t> </w:t>
      </w:r>
      <w:r>
        <w:rPr/>
        <w:t>(standby),</w:t>
      </w:r>
      <w:r>
        <w:rPr>
          <w:spacing w:val="-32"/>
        </w:rPr>
        <w:t> </w:t>
      </w:r>
      <w:r>
        <w:rPr/>
        <w:t>flooding</w:t>
      </w:r>
      <w:r>
        <w:rPr>
          <w:spacing w:val="-30"/>
        </w:rPr>
        <w:t> </w:t>
      </w:r>
      <w:r>
        <w:rPr/>
        <w:t>occurring</w:t>
      </w:r>
      <w:r>
        <w:rPr>
          <w:spacing w:val="-34"/>
        </w:rPr>
        <w:t> </w:t>
      </w:r>
      <w:r>
        <w:rPr/>
        <w:t>(response)</w:t>
      </w:r>
      <w:r>
        <w:rPr>
          <w:spacing w:val="-28"/>
        </w:rPr>
        <w:t> </w:t>
      </w:r>
      <w:r>
        <w:rPr/>
        <w:t>and</w:t>
      </w:r>
      <w:r>
        <w:rPr>
          <w:spacing w:val="-38"/>
        </w:rPr>
        <w:t> </w:t>
      </w:r>
      <w:r>
        <w:rPr/>
        <w:t>flooding subsides</w:t>
      </w:r>
      <w:r>
        <w:rPr>
          <w:spacing w:val="-27"/>
        </w:rPr>
        <w:t> </w:t>
      </w:r>
      <w:r>
        <w:rPr/>
        <w:t>(recovery).</w:t>
      </w:r>
      <w:r>
        <w:rPr>
          <w:spacing w:val="-21"/>
        </w:rPr>
        <w:t> </w:t>
      </w:r>
      <w:r>
        <w:rPr/>
        <w:t>It</w:t>
      </w:r>
      <w:r>
        <w:rPr>
          <w:spacing w:val="-28"/>
        </w:rPr>
        <w:t> </w:t>
      </w:r>
      <w:r>
        <w:rPr/>
        <w:t>describes</w:t>
      </w:r>
      <w:r>
        <w:rPr>
          <w:spacing w:val="-24"/>
        </w:rPr>
        <w:t> </w:t>
      </w:r>
      <w:r>
        <w:rPr/>
        <w:t>the</w:t>
      </w:r>
      <w:r>
        <w:rPr>
          <w:spacing w:val="-33"/>
        </w:rPr>
        <w:t> </w:t>
      </w:r>
      <w:r>
        <w:rPr/>
        <w:t>mechanism</w:t>
      </w:r>
      <w:r>
        <w:rPr>
          <w:spacing w:val="-20"/>
        </w:rPr>
        <w:t> </w:t>
      </w:r>
      <w:r>
        <w:rPr/>
        <w:t>by</w:t>
      </w:r>
      <w:r>
        <w:rPr>
          <w:spacing w:val="-27"/>
        </w:rPr>
        <w:t> </w:t>
      </w:r>
      <w:r>
        <w:rPr/>
        <w:t>which</w:t>
      </w:r>
      <w:r>
        <w:rPr>
          <w:spacing w:val="-29"/>
        </w:rPr>
        <w:t> </w:t>
      </w:r>
      <w:r>
        <w:rPr/>
        <w:t>the</w:t>
      </w:r>
      <w:r>
        <w:rPr>
          <w:spacing w:val="-29"/>
        </w:rPr>
        <w:t> </w:t>
      </w:r>
      <w:r>
        <w:rPr/>
        <w:t>RMAs</w:t>
      </w:r>
      <w:r>
        <w:rPr>
          <w:spacing w:val="-26"/>
        </w:rPr>
        <w:t> </w:t>
      </w:r>
      <w:r>
        <w:rPr/>
        <w:t>work</w:t>
      </w:r>
      <w:r>
        <w:rPr>
          <w:spacing w:val="-26"/>
        </w:rPr>
        <w:t> </w:t>
      </w:r>
      <w:r>
        <w:rPr/>
        <w:t>together</w:t>
      </w:r>
      <w:r>
        <w:rPr>
          <w:spacing w:val="-29"/>
        </w:rPr>
        <w:t> </w:t>
      </w:r>
      <w:r>
        <w:rPr/>
        <w:t>to</w:t>
      </w:r>
      <w:r>
        <w:rPr>
          <w:spacing w:val="-35"/>
        </w:rPr>
        <w:t> </w:t>
      </w:r>
      <w:r>
        <w:rPr/>
        <w:t>manage flooding during an</w:t>
      </w:r>
      <w:r>
        <w:rPr>
          <w:spacing w:val="-35"/>
        </w:rPr>
        <w:t> </w:t>
      </w:r>
      <w:r>
        <w:rPr/>
        <w:t>incident.</w:t>
      </w:r>
    </w:p>
    <w:p>
      <w:pPr>
        <w:spacing w:after="0" w:line="264" w:lineRule="auto"/>
        <w:sectPr>
          <w:pgSz w:w="11920" w:h="16850"/>
          <w:pgMar w:header="0" w:footer="1246" w:top="580" w:bottom="1440" w:left="440" w:right="560"/>
        </w:sect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ListParagraph"/>
        <w:numPr>
          <w:ilvl w:val="0"/>
          <w:numId w:val="13"/>
        </w:numPr>
        <w:tabs>
          <w:tab w:pos="974" w:val="left" w:leader="none"/>
          <w:tab w:pos="975" w:val="left" w:leader="none"/>
        </w:tabs>
        <w:spacing w:line="240" w:lineRule="auto" w:before="90" w:after="0"/>
        <w:ind w:left="974" w:right="0" w:hanging="852"/>
        <w:jc w:val="left"/>
        <w:rPr>
          <w:sz w:val="32"/>
        </w:rPr>
      </w:pPr>
      <w:r>
        <w:rPr/>
        <w:pict>
          <v:line style="position:absolute;mso-position-horizontal-relative:page;mso-position-vertical-relative:paragraph;z-index:896;mso-wrap-distance-left:0;mso-wrap-distance-right:0" from="27.837641pt,25.867392pt" to="562.272212pt,25.867392pt" stroked="true" strokeweight="1.1999pt" strokecolor="#bc5460">
            <v:stroke dashstyle="solid"/>
            <w10:wrap type="topAndBottom"/>
          </v:line>
        </w:pict>
      </w:r>
      <w:r>
        <w:rPr/>
        <w:pict>
          <v:group style="position:absolute;margin-left:123.349602pt;margin-top:-50.806358pt;width:5.3pt;height:35.050pt;mso-position-horizontal-relative:page;mso-position-vertical-relative:paragraph;z-index:2968" coordorigin="2467,-1016" coordsize="106,701">
            <v:shape style="position:absolute;left:2467;top:-1017;width:106;height:48" type="#_x0000_t75" stroked="false">
              <v:imagedata r:id="rId14" o:title=""/>
            </v:shape>
            <v:shape style="position:absolute;left:2486;top:-354;width:87;height:39" type="#_x0000_t75" stroked="false">
              <v:imagedata r:id="rId15" o:title=""/>
            </v:shape>
            <v:line style="position:absolute" from="2515,-1016" to="2515,-325" stroked="true" strokeweight="4.799592pt" strokecolor="#ff6477">
              <v:stroke dashstyle="solid"/>
            </v:line>
            <w10:wrap type="none"/>
          </v:group>
        </w:pict>
      </w:r>
      <w:bookmarkStart w:name="Leeds LFRMS 2018 Update_Page_41" w:id="56"/>
      <w:bookmarkEnd w:id="56"/>
      <w:r>
        <w:rPr/>
      </w:r>
      <w:bookmarkStart w:name="Leeds LFRMS 2018 Update_Page_41" w:id="57"/>
      <w:bookmarkEnd w:id="57"/>
      <w:r>
        <w:rPr>
          <w:sz w:val="32"/>
        </w:rPr>
        <w:t>OBJECTIVE</w:t>
      </w:r>
      <w:r>
        <w:rPr>
          <w:sz w:val="32"/>
        </w:rPr>
        <w:t>S FOR MANAGING LOCAL FLOOD</w:t>
      </w:r>
      <w:r>
        <w:rPr>
          <w:spacing w:val="23"/>
          <w:sz w:val="32"/>
        </w:rPr>
        <w:t> </w:t>
      </w:r>
      <w:r>
        <w:rPr>
          <w:sz w:val="32"/>
        </w:rPr>
        <w:t>RISK</w:t>
      </w:r>
    </w:p>
    <w:p>
      <w:pPr>
        <w:pStyle w:val="BodyText"/>
        <w:spacing w:line="264" w:lineRule="auto" w:before="211"/>
        <w:ind w:left="975" w:right="221" w:firstLine="9"/>
      </w:pPr>
      <w:r>
        <w:rPr/>
        <w:t>To</w:t>
      </w:r>
      <w:r>
        <w:rPr>
          <w:spacing w:val="-34"/>
        </w:rPr>
        <w:t> </w:t>
      </w:r>
      <w:r>
        <w:rPr/>
        <w:t>manage</w:t>
      </w:r>
      <w:r>
        <w:rPr>
          <w:spacing w:val="-24"/>
        </w:rPr>
        <w:t> </w:t>
      </w:r>
      <w:r>
        <w:rPr/>
        <w:t>flood</w:t>
      </w:r>
      <w:r>
        <w:rPr>
          <w:spacing w:val="-30"/>
        </w:rPr>
        <w:t> </w:t>
      </w:r>
      <w:r>
        <w:rPr/>
        <w:t>risk</w:t>
      </w:r>
      <w:r>
        <w:rPr>
          <w:spacing w:val="-29"/>
        </w:rPr>
        <w:t> </w:t>
      </w:r>
      <w:r>
        <w:rPr/>
        <w:t>effectively,</w:t>
      </w:r>
      <w:r>
        <w:rPr>
          <w:spacing w:val="-14"/>
        </w:rPr>
        <w:t> </w:t>
      </w:r>
      <w:r>
        <w:rPr/>
        <w:t>six</w:t>
      </w:r>
      <w:r>
        <w:rPr>
          <w:spacing w:val="-35"/>
        </w:rPr>
        <w:t> </w:t>
      </w:r>
      <w:r>
        <w:rPr/>
        <w:t>high-level</w:t>
      </w:r>
      <w:r>
        <w:rPr>
          <w:spacing w:val="-16"/>
        </w:rPr>
        <w:t> </w:t>
      </w:r>
      <w:r>
        <w:rPr/>
        <w:t>objectives</w:t>
      </w:r>
      <w:r>
        <w:rPr>
          <w:spacing w:val="-29"/>
        </w:rPr>
        <w:t> </w:t>
      </w:r>
      <w:r>
        <w:rPr/>
        <w:t>have</w:t>
      </w:r>
      <w:r>
        <w:rPr>
          <w:spacing w:val="-31"/>
        </w:rPr>
        <w:t> </w:t>
      </w:r>
      <w:r>
        <w:rPr/>
        <w:t>been</w:t>
      </w:r>
      <w:r>
        <w:rPr>
          <w:spacing w:val="-26"/>
        </w:rPr>
        <w:t> </w:t>
      </w:r>
      <w:r>
        <w:rPr/>
        <w:t>created</w:t>
      </w:r>
      <w:r>
        <w:rPr>
          <w:spacing w:val="-27"/>
        </w:rPr>
        <w:t> </w:t>
      </w:r>
      <w:r>
        <w:rPr/>
        <w:t>to</w:t>
      </w:r>
      <w:r>
        <w:rPr>
          <w:spacing w:val="-34"/>
        </w:rPr>
        <w:t> </w:t>
      </w:r>
      <w:r>
        <w:rPr/>
        <w:t>provide</w:t>
      </w:r>
      <w:r>
        <w:rPr>
          <w:spacing w:val="-23"/>
        </w:rPr>
        <w:t> </w:t>
      </w:r>
      <w:r>
        <w:rPr/>
        <w:t>a</w:t>
      </w:r>
      <w:r>
        <w:rPr>
          <w:spacing w:val="-31"/>
        </w:rPr>
        <w:t> </w:t>
      </w:r>
      <w:r>
        <w:rPr/>
        <w:t>strategic context</w:t>
      </w:r>
      <w:r>
        <w:rPr>
          <w:spacing w:val="-23"/>
        </w:rPr>
        <w:t> </w:t>
      </w:r>
      <w:r>
        <w:rPr/>
        <w:t>and</w:t>
      </w:r>
      <w:r>
        <w:rPr>
          <w:spacing w:val="-26"/>
        </w:rPr>
        <w:t> </w:t>
      </w:r>
      <w:r>
        <w:rPr/>
        <w:t>steer</w:t>
      </w:r>
      <w:r>
        <w:rPr>
          <w:spacing w:val="-31"/>
        </w:rPr>
        <w:t> </w:t>
      </w:r>
      <w:r>
        <w:rPr/>
        <w:t>the</w:t>
      </w:r>
      <w:r>
        <w:rPr>
          <w:spacing w:val="-26"/>
        </w:rPr>
        <w:t> </w:t>
      </w:r>
      <w:r>
        <w:rPr/>
        <w:t>flood</w:t>
      </w:r>
      <w:r>
        <w:rPr>
          <w:spacing w:val="-24"/>
        </w:rPr>
        <w:t> </w:t>
      </w:r>
      <w:r>
        <w:rPr/>
        <w:t>risk</w:t>
      </w:r>
      <w:r>
        <w:rPr>
          <w:spacing w:val="-30"/>
        </w:rPr>
        <w:t> </w:t>
      </w:r>
      <w:r>
        <w:rPr/>
        <w:t>management</w:t>
      </w:r>
      <w:r>
        <w:rPr>
          <w:spacing w:val="-17"/>
        </w:rPr>
        <w:t> </w:t>
      </w:r>
      <w:r>
        <w:rPr/>
        <w:t>activities</w:t>
      </w:r>
      <w:r>
        <w:rPr>
          <w:spacing w:val="-28"/>
        </w:rPr>
        <w:t> </w:t>
      </w:r>
      <w:r>
        <w:rPr/>
        <w:t>undertaken</w:t>
      </w:r>
      <w:r>
        <w:rPr>
          <w:spacing w:val="-23"/>
        </w:rPr>
        <w:t> </w:t>
      </w:r>
      <w:r>
        <w:rPr/>
        <w:t>by</w:t>
      </w:r>
      <w:r>
        <w:rPr>
          <w:spacing w:val="-27"/>
        </w:rPr>
        <w:t> </w:t>
      </w:r>
      <w:r>
        <w:rPr/>
        <w:t>all</w:t>
      </w:r>
      <w:r>
        <w:rPr>
          <w:spacing w:val="-28"/>
        </w:rPr>
        <w:t> </w:t>
      </w:r>
      <w:r>
        <w:rPr/>
        <w:t>RMAs.</w:t>
      </w:r>
      <w:r>
        <w:rPr>
          <w:spacing w:val="-18"/>
        </w:rPr>
        <w:t> </w:t>
      </w:r>
      <w:r>
        <w:rPr/>
        <w:t>These</w:t>
      </w:r>
      <w:r>
        <w:rPr>
          <w:spacing w:val="-24"/>
        </w:rPr>
        <w:t> </w:t>
      </w:r>
      <w:r>
        <w:rPr/>
        <w:t>objectives embody</w:t>
      </w:r>
      <w:r>
        <w:rPr>
          <w:spacing w:val="-33"/>
        </w:rPr>
        <w:t> </w:t>
      </w:r>
      <w:r>
        <w:rPr/>
        <w:t>the</w:t>
      </w:r>
      <w:r>
        <w:rPr>
          <w:spacing w:val="-36"/>
        </w:rPr>
        <w:t> </w:t>
      </w:r>
      <w:r>
        <w:rPr/>
        <w:t>six</w:t>
      </w:r>
      <w:r>
        <w:rPr>
          <w:spacing w:val="-37"/>
        </w:rPr>
        <w:t> </w:t>
      </w:r>
      <w:r>
        <w:rPr/>
        <w:t>high-level</w:t>
      </w:r>
      <w:r>
        <w:rPr>
          <w:spacing w:val="-30"/>
        </w:rPr>
        <w:t> </w:t>
      </w:r>
      <w:r>
        <w:rPr/>
        <w:t>guiding</w:t>
      </w:r>
      <w:r>
        <w:rPr>
          <w:spacing w:val="-36"/>
        </w:rPr>
        <w:t> </w:t>
      </w:r>
      <w:r>
        <w:rPr/>
        <w:t>principles</w:t>
      </w:r>
      <w:r>
        <w:rPr>
          <w:spacing w:val="-33"/>
        </w:rPr>
        <w:t> </w:t>
      </w:r>
      <w:r>
        <w:rPr/>
        <w:t>in</w:t>
      </w:r>
      <w:r>
        <w:rPr>
          <w:spacing w:val="-38"/>
        </w:rPr>
        <w:t> </w:t>
      </w:r>
      <w:r>
        <w:rPr/>
        <w:t>the</w:t>
      </w:r>
      <w:r>
        <w:rPr>
          <w:spacing w:val="-37"/>
        </w:rPr>
        <w:t> </w:t>
      </w:r>
      <w:r>
        <w:rPr/>
        <w:t>EA’s</w:t>
      </w:r>
      <w:r>
        <w:rPr>
          <w:spacing w:val="-39"/>
        </w:rPr>
        <w:t> </w:t>
      </w:r>
      <w:r>
        <w:rPr/>
        <w:t>National</w:t>
      </w:r>
      <w:r>
        <w:rPr>
          <w:spacing w:val="-28"/>
        </w:rPr>
        <w:t> </w:t>
      </w:r>
      <w:r>
        <w:rPr/>
        <w:t>FCERM</w:t>
      </w:r>
      <w:r>
        <w:rPr>
          <w:spacing w:val="-30"/>
        </w:rPr>
        <w:t> </w:t>
      </w:r>
      <w:r>
        <w:rPr/>
        <w:t>Strategy</w:t>
      </w:r>
      <w:r>
        <w:rPr>
          <w:spacing w:val="-31"/>
        </w:rPr>
        <w:t> </w:t>
      </w:r>
      <w:r>
        <w:rPr/>
        <w:t>for</w:t>
      </w:r>
      <w:r>
        <w:rPr>
          <w:spacing w:val="-36"/>
        </w:rPr>
        <w:t> </w:t>
      </w:r>
      <w:r>
        <w:rPr/>
        <w:t>England</w:t>
      </w:r>
      <w:r>
        <w:rPr>
          <w:spacing w:val="-30"/>
        </w:rPr>
        <w:t> </w:t>
      </w:r>
      <w:r>
        <w:rPr/>
        <w:t>listed in Section 2. All RMAs should have regard to these objectives when undertaking their flood risk management</w:t>
      </w:r>
      <w:r>
        <w:rPr>
          <w:spacing w:val="-23"/>
        </w:rPr>
        <w:t> </w:t>
      </w:r>
      <w:r>
        <w:rPr/>
        <w:t>activities.</w:t>
      </w:r>
      <w:r>
        <w:rPr>
          <w:spacing w:val="-22"/>
        </w:rPr>
        <w:t> </w:t>
      </w:r>
      <w:r>
        <w:rPr/>
        <w:t>Measures</w:t>
      </w:r>
      <w:r>
        <w:rPr>
          <w:spacing w:val="-29"/>
        </w:rPr>
        <w:t> </w:t>
      </w:r>
      <w:r>
        <w:rPr/>
        <w:t>for</w:t>
      </w:r>
      <w:r>
        <w:rPr>
          <w:spacing w:val="-36"/>
        </w:rPr>
        <w:t> </w:t>
      </w:r>
      <w:r>
        <w:rPr/>
        <w:t>local</w:t>
      </w:r>
      <w:r>
        <w:rPr>
          <w:spacing w:val="-28"/>
        </w:rPr>
        <w:t> </w:t>
      </w:r>
      <w:r>
        <w:rPr/>
        <w:t>flood</w:t>
      </w:r>
      <w:r>
        <w:rPr>
          <w:spacing w:val="-33"/>
        </w:rPr>
        <w:t> </w:t>
      </w:r>
      <w:r>
        <w:rPr/>
        <w:t>risk</w:t>
      </w:r>
      <w:r>
        <w:rPr>
          <w:spacing w:val="-33"/>
        </w:rPr>
        <w:t> </w:t>
      </w:r>
      <w:r>
        <w:rPr/>
        <w:t>management,</w:t>
      </w:r>
      <w:r>
        <w:rPr>
          <w:spacing w:val="-21"/>
        </w:rPr>
        <w:t> </w:t>
      </w:r>
      <w:r>
        <w:rPr/>
        <w:t>based</w:t>
      </w:r>
      <w:r>
        <w:rPr>
          <w:spacing w:val="-29"/>
        </w:rPr>
        <w:t> </w:t>
      </w:r>
      <w:r>
        <w:rPr/>
        <w:t>on</w:t>
      </w:r>
      <w:r>
        <w:rPr>
          <w:spacing w:val="-35"/>
        </w:rPr>
        <w:t> </w:t>
      </w:r>
      <w:r>
        <w:rPr/>
        <w:t>these</w:t>
      </w:r>
      <w:r>
        <w:rPr>
          <w:spacing w:val="-30"/>
        </w:rPr>
        <w:t> </w:t>
      </w:r>
      <w:r>
        <w:rPr/>
        <w:t>objectives,</w:t>
      </w:r>
      <w:r>
        <w:rPr>
          <w:spacing w:val="-21"/>
        </w:rPr>
        <w:t> </w:t>
      </w:r>
      <w:r>
        <w:rPr/>
        <w:t>are outlined</w:t>
      </w:r>
      <w:r>
        <w:rPr>
          <w:spacing w:val="-8"/>
        </w:rPr>
        <w:t> </w:t>
      </w:r>
      <w:r>
        <w:rPr/>
        <w:t>in</w:t>
      </w:r>
      <w:r>
        <w:rPr>
          <w:spacing w:val="-19"/>
        </w:rPr>
        <w:t> </w:t>
      </w:r>
      <w:r>
        <w:rPr/>
        <w:t>the</w:t>
      </w:r>
      <w:r>
        <w:rPr>
          <w:spacing w:val="-21"/>
        </w:rPr>
        <w:t> </w:t>
      </w:r>
      <w:r>
        <w:rPr/>
        <w:t>‘List</w:t>
      </w:r>
      <w:r>
        <w:rPr>
          <w:spacing w:val="-8"/>
        </w:rPr>
        <w:t> </w:t>
      </w:r>
      <w:r>
        <w:rPr/>
        <w:t>of</w:t>
      </w:r>
      <w:r>
        <w:rPr>
          <w:spacing w:val="-12"/>
        </w:rPr>
        <w:t> </w:t>
      </w:r>
      <w:r>
        <w:rPr/>
        <w:t>Measures’ in</w:t>
      </w:r>
      <w:r>
        <w:rPr>
          <w:spacing w:val="-17"/>
        </w:rPr>
        <w:t> </w:t>
      </w:r>
      <w:r>
        <w:rPr/>
        <w:t>Section</w:t>
      </w:r>
      <w:r>
        <w:rPr>
          <w:spacing w:val="-3"/>
        </w:rPr>
        <w:t> </w:t>
      </w:r>
      <w:r>
        <w:rPr/>
        <w:t>6</w:t>
      </w:r>
      <w:r>
        <w:rPr>
          <w:spacing w:val="-19"/>
        </w:rPr>
        <w:t> </w:t>
      </w:r>
      <w:r>
        <w:rPr/>
        <w:t>and</w:t>
      </w:r>
      <w:r>
        <w:rPr>
          <w:spacing w:val="-20"/>
        </w:rPr>
        <w:t> </w:t>
      </w:r>
      <w:r>
        <w:rPr/>
        <w:t>presented</w:t>
      </w:r>
      <w:r>
        <w:rPr>
          <w:spacing w:val="-14"/>
        </w:rPr>
        <w:t> </w:t>
      </w:r>
      <w:r>
        <w:rPr/>
        <w:t>in</w:t>
      </w:r>
      <w:r>
        <w:rPr>
          <w:spacing w:val="-18"/>
        </w:rPr>
        <w:t> </w:t>
      </w:r>
      <w:r>
        <w:rPr/>
        <w:t>Appendix</w:t>
      </w:r>
      <w:r>
        <w:rPr>
          <w:spacing w:val="-4"/>
        </w:rPr>
        <w:t> </w:t>
      </w:r>
      <w:r>
        <w:rPr/>
        <w:t>C</w:t>
      </w:r>
      <w:r>
        <w:rPr>
          <w:spacing w:val="-18"/>
        </w:rPr>
        <w:t> </w:t>
      </w:r>
      <w:r>
        <w:rPr/>
        <w:t>of</w:t>
      </w:r>
      <w:r>
        <w:rPr>
          <w:spacing w:val="-20"/>
        </w:rPr>
        <w:t> </w:t>
      </w:r>
      <w:r>
        <w:rPr/>
        <w:t>this</w:t>
      </w:r>
      <w:r>
        <w:rPr>
          <w:spacing w:val="-14"/>
        </w:rPr>
        <w:t> </w:t>
      </w:r>
      <w:r>
        <w:rPr/>
        <w:t>strategy.</w:t>
      </w:r>
    </w:p>
    <w:p>
      <w:pPr>
        <w:pStyle w:val="ListParagraph"/>
        <w:numPr>
          <w:ilvl w:val="0"/>
          <w:numId w:val="17"/>
        </w:numPr>
        <w:tabs>
          <w:tab w:pos="1267" w:val="left" w:leader="none"/>
        </w:tabs>
        <w:spacing w:line="266" w:lineRule="auto" w:before="117" w:after="0"/>
        <w:ind w:left="1263" w:right="215" w:hanging="279"/>
        <w:jc w:val="left"/>
        <w:rPr>
          <w:sz w:val="23"/>
        </w:rPr>
      </w:pPr>
      <w:r>
        <w:rPr>
          <w:sz w:val="23"/>
        </w:rPr>
        <w:t>Improve</w:t>
      </w:r>
      <w:r>
        <w:rPr>
          <w:spacing w:val="-37"/>
          <w:sz w:val="23"/>
        </w:rPr>
        <w:t> </w:t>
      </w:r>
      <w:r>
        <w:rPr>
          <w:sz w:val="23"/>
        </w:rPr>
        <w:t>procedural</w:t>
      </w:r>
      <w:r>
        <w:rPr>
          <w:spacing w:val="-31"/>
          <w:sz w:val="23"/>
        </w:rPr>
        <w:t> </w:t>
      </w:r>
      <w:r>
        <w:rPr>
          <w:sz w:val="23"/>
        </w:rPr>
        <w:t>cooperation</w:t>
      </w:r>
      <w:r>
        <w:rPr>
          <w:spacing w:val="-31"/>
          <w:sz w:val="23"/>
        </w:rPr>
        <w:t> </w:t>
      </w:r>
      <w:r>
        <w:rPr>
          <w:sz w:val="23"/>
        </w:rPr>
        <w:t>between</w:t>
      </w:r>
      <w:r>
        <w:rPr>
          <w:spacing w:val="-29"/>
          <w:sz w:val="23"/>
        </w:rPr>
        <w:t> </w:t>
      </w:r>
      <w:r>
        <w:rPr>
          <w:sz w:val="23"/>
        </w:rPr>
        <w:t>LLFA</w:t>
      </w:r>
      <w:r>
        <w:rPr>
          <w:spacing w:val="-35"/>
          <w:sz w:val="23"/>
        </w:rPr>
        <w:t> </w:t>
      </w:r>
      <w:r>
        <w:rPr>
          <w:sz w:val="23"/>
        </w:rPr>
        <w:t>and</w:t>
      </w:r>
      <w:r>
        <w:rPr>
          <w:spacing w:val="-38"/>
          <w:sz w:val="23"/>
        </w:rPr>
        <w:t> </w:t>
      </w:r>
      <w:r>
        <w:rPr>
          <w:sz w:val="23"/>
        </w:rPr>
        <w:t>other</w:t>
      </w:r>
      <w:r>
        <w:rPr>
          <w:spacing w:val="-36"/>
          <w:sz w:val="23"/>
        </w:rPr>
        <w:t> </w:t>
      </w:r>
      <w:r>
        <w:rPr>
          <w:sz w:val="23"/>
        </w:rPr>
        <w:t>RMAs</w:t>
      </w:r>
      <w:r>
        <w:rPr>
          <w:spacing w:val="-38"/>
          <w:sz w:val="23"/>
        </w:rPr>
        <w:t> </w:t>
      </w:r>
      <w:r>
        <w:rPr>
          <w:sz w:val="23"/>
        </w:rPr>
        <w:t>to</w:t>
      </w:r>
      <w:r>
        <w:rPr>
          <w:spacing w:val="-43"/>
          <w:sz w:val="23"/>
        </w:rPr>
        <w:t> </w:t>
      </w:r>
      <w:r>
        <w:rPr>
          <w:sz w:val="23"/>
        </w:rPr>
        <w:t>meet</w:t>
      </w:r>
      <w:r>
        <w:rPr>
          <w:spacing w:val="-36"/>
          <w:sz w:val="23"/>
        </w:rPr>
        <w:t> </w:t>
      </w:r>
      <w:r>
        <w:rPr>
          <w:sz w:val="23"/>
        </w:rPr>
        <w:t>the</w:t>
      </w:r>
      <w:r>
        <w:rPr>
          <w:spacing w:val="-41"/>
          <w:sz w:val="23"/>
        </w:rPr>
        <w:t> </w:t>
      </w:r>
      <w:r>
        <w:rPr>
          <w:sz w:val="23"/>
        </w:rPr>
        <w:t>requirements</w:t>
      </w:r>
      <w:r>
        <w:rPr>
          <w:spacing w:val="-30"/>
          <w:sz w:val="23"/>
        </w:rPr>
        <w:t> </w:t>
      </w:r>
      <w:r>
        <w:rPr>
          <w:sz w:val="23"/>
        </w:rPr>
        <w:t>of</w:t>
      </w:r>
      <w:r>
        <w:rPr>
          <w:spacing w:val="-40"/>
          <w:sz w:val="23"/>
        </w:rPr>
        <w:t> </w:t>
      </w:r>
      <w:r>
        <w:rPr>
          <w:sz w:val="23"/>
        </w:rPr>
        <w:t>new legislation and achieve catchment-wide solutions to identified risks and problems, such as emergency</w:t>
      </w:r>
      <w:r>
        <w:rPr>
          <w:spacing w:val="11"/>
          <w:sz w:val="23"/>
        </w:rPr>
        <w:t> </w:t>
      </w:r>
      <w:r>
        <w:rPr>
          <w:sz w:val="23"/>
        </w:rPr>
        <w:t>planning.</w:t>
      </w:r>
    </w:p>
    <w:p>
      <w:pPr>
        <w:pStyle w:val="ListParagraph"/>
        <w:numPr>
          <w:ilvl w:val="0"/>
          <w:numId w:val="17"/>
        </w:numPr>
        <w:tabs>
          <w:tab w:pos="1271" w:val="left" w:leader="none"/>
        </w:tabs>
        <w:spacing w:line="254" w:lineRule="auto" w:before="89" w:after="0"/>
        <w:ind w:left="1269" w:right="1222" w:hanging="287"/>
        <w:jc w:val="left"/>
        <w:rPr>
          <w:sz w:val="26"/>
        </w:rPr>
      </w:pPr>
      <w:r>
        <w:rPr>
          <w:w w:val="95"/>
          <w:sz w:val="23"/>
        </w:rPr>
        <w:t>Promote sustainable flood risk management through WFD compliance, climate change </w:t>
      </w:r>
      <w:r>
        <w:rPr>
          <w:sz w:val="23"/>
        </w:rPr>
        <w:t>adaptation, land management, habitat protection and</w:t>
      </w:r>
      <w:r>
        <w:rPr>
          <w:spacing w:val="5"/>
          <w:sz w:val="23"/>
        </w:rPr>
        <w:t> </w:t>
      </w:r>
      <w:r>
        <w:rPr>
          <w:sz w:val="23"/>
        </w:rPr>
        <w:t>creation.</w:t>
      </w:r>
    </w:p>
    <w:p>
      <w:pPr>
        <w:pStyle w:val="ListParagraph"/>
        <w:numPr>
          <w:ilvl w:val="0"/>
          <w:numId w:val="17"/>
        </w:numPr>
        <w:tabs>
          <w:tab w:pos="1271" w:val="left" w:leader="none"/>
        </w:tabs>
        <w:spacing w:line="261" w:lineRule="auto" w:before="132" w:after="0"/>
        <w:ind w:left="1263" w:right="469" w:hanging="283"/>
        <w:jc w:val="left"/>
        <w:rPr>
          <w:sz w:val="23"/>
        </w:rPr>
      </w:pPr>
      <w:r>
        <w:rPr>
          <w:sz w:val="23"/>
        </w:rPr>
        <w:t>Develop</w:t>
      </w:r>
      <w:r>
        <w:rPr>
          <w:spacing w:val="-34"/>
          <w:sz w:val="23"/>
        </w:rPr>
        <w:t> </w:t>
      </w:r>
      <w:r>
        <w:rPr>
          <w:sz w:val="23"/>
        </w:rPr>
        <w:t>a</w:t>
      </w:r>
      <w:r>
        <w:rPr>
          <w:spacing w:val="-42"/>
          <w:sz w:val="23"/>
        </w:rPr>
        <w:t> </w:t>
      </w:r>
      <w:r>
        <w:rPr>
          <w:sz w:val="23"/>
        </w:rPr>
        <w:t>consistent,</w:t>
      </w:r>
      <w:r>
        <w:rPr>
          <w:spacing w:val="-32"/>
          <w:sz w:val="23"/>
        </w:rPr>
        <w:t> </w:t>
      </w:r>
      <w:r>
        <w:rPr>
          <w:sz w:val="23"/>
        </w:rPr>
        <w:t>affordable</w:t>
      </w:r>
      <w:r>
        <w:rPr>
          <w:spacing w:val="-33"/>
          <w:sz w:val="23"/>
        </w:rPr>
        <w:t> </w:t>
      </w:r>
      <w:r>
        <w:rPr>
          <w:sz w:val="23"/>
        </w:rPr>
        <w:t>and</w:t>
      </w:r>
      <w:r>
        <w:rPr>
          <w:spacing w:val="-39"/>
          <w:sz w:val="23"/>
        </w:rPr>
        <w:t> </w:t>
      </w:r>
      <w:r>
        <w:rPr>
          <w:sz w:val="23"/>
        </w:rPr>
        <w:t>sustainable</w:t>
      </w:r>
      <w:r>
        <w:rPr>
          <w:spacing w:val="-33"/>
          <w:sz w:val="23"/>
        </w:rPr>
        <w:t> </w:t>
      </w:r>
      <w:r>
        <w:rPr>
          <w:sz w:val="23"/>
        </w:rPr>
        <w:t>approach</w:t>
      </w:r>
      <w:r>
        <w:rPr>
          <w:spacing w:val="-40"/>
          <w:sz w:val="23"/>
        </w:rPr>
        <w:t> </w:t>
      </w:r>
      <w:r>
        <w:rPr>
          <w:sz w:val="23"/>
        </w:rPr>
        <w:t>to</w:t>
      </w:r>
      <w:r>
        <w:rPr>
          <w:spacing w:val="-44"/>
          <w:sz w:val="23"/>
        </w:rPr>
        <w:t> </w:t>
      </w:r>
      <w:r>
        <w:rPr>
          <w:sz w:val="23"/>
        </w:rPr>
        <w:t>planning</w:t>
      </w:r>
      <w:r>
        <w:rPr>
          <w:spacing w:val="-34"/>
          <w:sz w:val="23"/>
        </w:rPr>
        <w:t> </w:t>
      </w:r>
      <w:r>
        <w:rPr>
          <w:sz w:val="23"/>
        </w:rPr>
        <w:t>and</w:t>
      </w:r>
      <w:r>
        <w:rPr>
          <w:spacing w:val="-43"/>
          <w:sz w:val="23"/>
        </w:rPr>
        <w:t> </w:t>
      </w:r>
      <w:r>
        <w:rPr>
          <w:sz w:val="23"/>
        </w:rPr>
        <w:t>investment</w:t>
      </w:r>
      <w:r>
        <w:rPr>
          <w:spacing w:val="-33"/>
          <w:sz w:val="23"/>
        </w:rPr>
        <w:t> </w:t>
      </w:r>
      <w:r>
        <w:rPr>
          <w:sz w:val="23"/>
        </w:rPr>
        <w:t>in</w:t>
      </w:r>
      <w:r>
        <w:rPr>
          <w:spacing w:val="-41"/>
          <w:sz w:val="23"/>
        </w:rPr>
        <w:t> </w:t>
      </w:r>
      <w:r>
        <w:rPr>
          <w:sz w:val="23"/>
        </w:rPr>
        <w:t>flood risk management; such as land allocation and</w:t>
      </w:r>
      <w:r>
        <w:rPr>
          <w:spacing w:val="-24"/>
          <w:sz w:val="23"/>
        </w:rPr>
        <w:t> </w:t>
      </w:r>
      <w:r>
        <w:rPr>
          <w:sz w:val="23"/>
        </w:rPr>
        <w:t>SuDS.</w:t>
      </w:r>
    </w:p>
    <w:p>
      <w:pPr>
        <w:pStyle w:val="ListParagraph"/>
        <w:numPr>
          <w:ilvl w:val="0"/>
          <w:numId w:val="17"/>
        </w:numPr>
        <w:tabs>
          <w:tab w:pos="1268" w:val="left" w:leader="none"/>
        </w:tabs>
        <w:spacing w:line="240" w:lineRule="auto" w:before="124" w:after="0"/>
        <w:ind w:left="1267" w:right="0" w:hanging="280"/>
        <w:jc w:val="left"/>
        <w:rPr>
          <w:sz w:val="23"/>
        </w:rPr>
      </w:pPr>
      <w:r>
        <w:rPr>
          <w:sz w:val="22"/>
        </w:rPr>
        <w:t>Increase internal skills and the capacity for flood risk</w:t>
      </w:r>
      <w:r>
        <w:rPr>
          <w:spacing w:val="45"/>
          <w:sz w:val="22"/>
        </w:rPr>
        <w:t> </w:t>
      </w:r>
      <w:r>
        <w:rPr>
          <w:sz w:val="22"/>
        </w:rPr>
        <w:t>management.</w:t>
      </w:r>
    </w:p>
    <w:p>
      <w:pPr>
        <w:pStyle w:val="ListParagraph"/>
        <w:numPr>
          <w:ilvl w:val="0"/>
          <w:numId w:val="17"/>
        </w:numPr>
        <w:tabs>
          <w:tab w:pos="1267" w:val="left" w:leader="none"/>
        </w:tabs>
        <w:spacing w:line="261" w:lineRule="auto" w:before="148" w:after="0"/>
        <w:ind w:left="1269" w:right="668" w:hanging="289"/>
        <w:jc w:val="left"/>
        <w:rPr>
          <w:sz w:val="23"/>
        </w:rPr>
      </w:pPr>
      <w:r>
        <w:rPr>
          <w:sz w:val="23"/>
        </w:rPr>
        <w:t>Increase</w:t>
      </w:r>
      <w:r>
        <w:rPr>
          <w:spacing w:val="-27"/>
          <w:sz w:val="23"/>
        </w:rPr>
        <w:t> </w:t>
      </w:r>
      <w:r>
        <w:rPr>
          <w:sz w:val="23"/>
        </w:rPr>
        <w:t>community</w:t>
      </w:r>
      <w:r>
        <w:rPr>
          <w:spacing w:val="-20"/>
          <w:sz w:val="23"/>
        </w:rPr>
        <w:t> </w:t>
      </w:r>
      <w:r>
        <w:rPr>
          <w:sz w:val="23"/>
        </w:rPr>
        <w:t>awareness</w:t>
      </w:r>
      <w:r>
        <w:rPr>
          <w:spacing w:val="-26"/>
          <w:sz w:val="23"/>
        </w:rPr>
        <w:t> </w:t>
      </w:r>
      <w:r>
        <w:rPr>
          <w:sz w:val="23"/>
        </w:rPr>
        <w:t>of</w:t>
      </w:r>
      <w:r>
        <w:rPr>
          <w:spacing w:val="-31"/>
          <w:sz w:val="23"/>
        </w:rPr>
        <w:t> </w:t>
      </w:r>
      <w:r>
        <w:rPr>
          <w:sz w:val="23"/>
        </w:rPr>
        <w:t>flood</w:t>
      </w:r>
      <w:r>
        <w:rPr>
          <w:spacing w:val="-32"/>
          <w:sz w:val="23"/>
        </w:rPr>
        <w:t> </w:t>
      </w:r>
      <w:r>
        <w:rPr>
          <w:sz w:val="23"/>
        </w:rPr>
        <w:t>risk,</w:t>
      </w:r>
      <w:r>
        <w:rPr>
          <w:spacing w:val="-27"/>
          <w:sz w:val="23"/>
        </w:rPr>
        <w:t> </w:t>
      </w:r>
      <w:r>
        <w:rPr>
          <w:sz w:val="23"/>
        </w:rPr>
        <w:t>and</w:t>
      </w:r>
      <w:r>
        <w:rPr>
          <w:spacing w:val="-33"/>
          <w:sz w:val="23"/>
        </w:rPr>
        <w:t> </w:t>
      </w:r>
      <w:r>
        <w:rPr>
          <w:sz w:val="23"/>
        </w:rPr>
        <w:t>the</w:t>
      </w:r>
      <w:r>
        <w:rPr>
          <w:spacing w:val="-33"/>
          <w:sz w:val="23"/>
        </w:rPr>
        <w:t> </w:t>
      </w:r>
      <w:r>
        <w:rPr>
          <w:sz w:val="23"/>
        </w:rPr>
        <w:t>work</w:t>
      </w:r>
      <w:r>
        <w:rPr>
          <w:spacing w:val="-25"/>
          <w:sz w:val="23"/>
        </w:rPr>
        <w:t> </w:t>
      </w:r>
      <w:r>
        <w:rPr>
          <w:sz w:val="23"/>
        </w:rPr>
        <w:t>of</w:t>
      </w:r>
      <w:r>
        <w:rPr>
          <w:spacing w:val="-33"/>
          <w:sz w:val="23"/>
        </w:rPr>
        <w:t> </w:t>
      </w:r>
      <w:r>
        <w:rPr>
          <w:sz w:val="23"/>
        </w:rPr>
        <w:t>the</w:t>
      </w:r>
      <w:r>
        <w:rPr>
          <w:spacing w:val="-31"/>
          <w:sz w:val="23"/>
        </w:rPr>
        <w:t> </w:t>
      </w:r>
      <w:r>
        <w:rPr>
          <w:sz w:val="23"/>
        </w:rPr>
        <w:t>LLFA</w:t>
      </w:r>
      <w:r>
        <w:rPr>
          <w:spacing w:val="-32"/>
          <w:sz w:val="23"/>
        </w:rPr>
        <w:t> </w:t>
      </w:r>
      <w:r>
        <w:rPr>
          <w:sz w:val="23"/>
        </w:rPr>
        <w:t>in</w:t>
      </w:r>
      <w:r>
        <w:rPr>
          <w:spacing w:val="-29"/>
          <w:sz w:val="23"/>
        </w:rPr>
        <w:t> </w:t>
      </w:r>
      <w:r>
        <w:rPr>
          <w:sz w:val="23"/>
        </w:rPr>
        <w:t>managing</w:t>
      </w:r>
      <w:r>
        <w:rPr>
          <w:spacing w:val="-26"/>
          <w:sz w:val="23"/>
        </w:rPr>
        <w:t> </w:t>
      </w:r>
      <w:r>
        <w:rPr>
          <w:sz w:val="23"/>
        </w:rPr>
        <w:t>this</w:t>
      </w:r>
      <w:r>
        <w:rPr>
          <w:spacing w:val="-34"/>
          <w:sz w:val="23"/>
        </w:rPr>
        <w:t> </w:t>
      </w:r>
      <w:r>
        <w:rPr>
          <w:sz w:val="23"/>
        </w:rPr>
        <w:t>risk. Engage with local communities and involve them in decision</w:t>
      </w:r>
      <w:r>
        <w:rPr>
          <w:spacing w:val="-20"/>
          <w:sz w:val="23"/>
        </w:rPr>
        <w:t> </w:t>
      </w:r>
      <w:r>
        <w:rPr>
          <w:sz w:val="23"/>
        </w:rPr>
        <w:t>making.</w:t>
      </w:r>
    </w:p>
    <w:p>
      <w:pPr>
        <w:pStyle w:val="ListParagraph"/>
        <w:numPr>
          <w:ilvl w:val="0"/>
          <w:numId w:val="17"/>
        </w:numPr>
        <w:tabs>
          <w:tab w:pos="1267" w:val="left" w:leader="none"/>
        </w:tabs>
        <w:spacing w:line="271" w:lineRule="auto" w:before="124" w:after="0"/>
        <w:ind w:left="1263" w:right="383" w:hanging="282"/>
        <w:jc w:val="left"/>
        <w:rPr>
          <w:sz w:val="23"/>
        </w:rPr>
      </w:pPr>
      <w:r>
        <w:rPr>
          <w:sz w:val="23"/>
        </w:rPr>
        <w:t>Improve the understanding of local flood risk and seek to decrease this risk through the implementation</w:t>
      </w:r>
      <w:r>
        <w:rPr>
          <w:spacing w:val="-44"/>
          <w:sz w:val="23"/>
        </w:rPr>
        <w:t> </w:t>
      </w:r>
      <w:r>
        <w:rPr>
          <w:sz w:val="23"/>
        </w:rPr>
        <w:t>of</w:t>
      </w:r>
      <w:r>
        <w:rPr>
          <w:spacing w:val="-39"/>
          <w:sz w:val="23"/>
        </w:rPr>
        <w:t> </w:t>
      </w:r>
      <w:r>
        <w:rPr>
          <w:sz w:val="23"/>
        </w:rPr>
        <w:t>affordable,</w:t>
      </w:r>
      <w:r>
        <w:rPr>
          <w:spacing w:val="-32"/>
          <w:sz w:val="23"/>
        </w:rPr>
        <w:t> </w:t>
      </w:r>
      <w:r>
        <w:rPr>
          <w:sz w:val="23"/>
        </w:rPr>
        <w:t>high</w:t>
      </w:r>
      <w:r>
        <w:rPr>
          <w:spacing w:val="-35"/>
          <w:sz w:val="23"/>
        </w:rPr>
        <w:t> </w:t>
      </w:r>
      <w:r>
        <w:rPr>
          <w:sz w:val="23"/>
        </w:rPr>
        <w:t>quality</w:t>
      </w:r>
      <w:r>
        <w:rPr>
          <w:spacing w:val="-38"/>
          <w:sz w:val="23"/>
        </w:rPr>
        <w:t> </w:t>
      </w:r>
      <w:r>
        <w:rPr>
          <w:sz w:val="23"/>
        </w:rPr>
        <w:t>measures</w:t>
      </w:r>
      <w:r>
        <w:rPr>
          <w:spacing w:val="-36"/>
          <w:sz w:val="23"/>
        </w:rPr>
        <w:t> </w:t>
      </w:r>
      <w:r>
        <w:rPr>
          <w:sz w:val="23"/>
        </w:rPr>
        <w:t>to</w:t>
      </w:r>
      <w:r>
        <w:rPr>
          <w:spacing w:val="-42"/>
          <w:sz w:val="23"/>
        </w:rPr>
        <w:t> </w:t>
      </w:r>
      <w:r>
        <w:rPr>
          <w:sz w:val="23"/>
        </w:rPr>
        <w:t>alleviate</w:t>
      </w:r>
      <w:r>
        <w:rPr>
          <w:spacing w:val="-36"/>
          <w:sz w:val="23"/>
        </w:rPr>
        <w:t> </w:t>
      </w:r>
      <w:r>
        <w:rPr>
          <w:sz w:val="23"/>
        </w:rPr>
        <w:t>flooding,</w:t>
      </w:r>
      <w:r>
        <w:rPr>
          <w:spacing w:val="-33"/>
          <w:sz w:val="23"/>
        </w:rPr>
        <w:t> </w:t>
      </w:r>
      <w:r>
        <w:rPr>
          <w:sz w:val="23"/>
        </w:rPr>
        <w:t>where</w:t>
      </w:r>
      <w:r>
        <w:rPr>
          <w:spacing w:val="-42"/>
          <w:sz w:val="23"/>
        </w:rPr>
        <w:t> </w:t>
      </w:r>
      <w:r>
        <w:rPr>
          <w:sz w:val="23"/>
        </w:rPr>
        <w:t>it</w:t>
      </w:r>
      <w:r>
        <w:rPr>
          <w:spacing w:val="-42"/>
          <w:sz w:val="23"/>
        </w:rPr>
        <w:t> </w:t>
      </w:r>
      <w:r>
        <w:rPr>
          <w:sz w:val="23"/>
        </w:rPr>
        <w:t>is</w:t>
      </w:r>
      <w:r>
        <w:rPr>
          <w:spacing w:val="-44"/>
          <w:sz w:val="23"/>
        </w:rPr>
        <w:t> </w:t>
      </w:r>
      <w:r>
        <w:rPr>
          <w:sz w:val="23"/>
        </w:rPr>
        <w:t>practicable.</w:t>
      </w:r>
    </w:p>
    <w:p>
      <w:pPr>
        <w:spacing w:after="0" w:line="271" w:lineRule="auto"/>
        <w:jc w:val="left"/>
        <w:rPr>
          <w:sz w:val="23"/>
        </w:rPr>
        <w:sectPr>
          <w:pgSz w:w="11920" w:h="16850"/>
          <w:pgMar w:header="0" w:footer="1246" w:top="580" w:bottom="1440" w:left="440" w:right="560"/>
        </w:sect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ListParagraph"/>
        <w:numPr>
          <w:ilvl w:val="0"/>
          <w:numId w:val="13"/>
        </w:numPr>
        <w:tabs>
          <w:tab w:pos="976" w:val="left" w:leader="none"/>
          <w:tab w:pos="977" w:val="left" w:leader="none"/>
        </w:tabs>
        <w:spacing w:line="240" w:lineRule="auto" w:before="90" w:after="0"/>
        <w:ind w:left="976" w:right="0" w:hanging="853"/>
        <w:jc w:val="left"/>
        <w:rPr>
          <w:sz w:val="32"/>
        </w:rPr>
      </w:pPr>
      <w:r>
        <w:rPr/>
        <w:pict>
          <v:line style="position:absolute;mso-position-horizontal-relative:page;mso-position-vertical-relative:paragraph;z-index:944;mso-wrap-distance-left:0;mso-wrap-distance-right:0" from="27.837641pt,26.34725pt" to="562.272212pt,26.34725pt" stroked="true" strokeweight="1.1999pt" strokecolor="#bc5460">
            <v:stroke dashstyle="solid"/>
            <w10:wrap type="topAndBottom"/>
          </v:line>
        </w:pict>
      </w:r>
      <w:r>
        <w:rPr/>
        <w:pict>
          <v:group style="position:absolute;margin-left:537.554504pt;margin-top:-50.3265pt;width:5.8pt;height:34.6pt;mso-position-horizontal-relative:page;mso-position-vertical-relative:paragraph;z-index:3016" coordorigin="10751,-1007" coordsize="116,692">
            <v:shape style="position:absolute;left:10751;top:-1007;width:116;height:39" type="#_x0000_t75" stroked="false">
              <v:imagedata r:id="rId27" o:title=""/>
            </v:shape>
            <v:shape style="position:absolute;left:10827;top:-393;width:39;height:77" type="#_x0000_t75" stroked="false">
              <v:imagedata r:id="rId28" o:title=""/>
            </v:shape>
            <v:line style="position:absolute" from="10804,-1007" to="10804,-325" stroked="true" strokeweight="5.279551pt" strokecolor="#d85970">
              <v:stroke dashstyle="solid"/>
            </v:line>
            <w10:wrap type="none"/>
          </v:group>
        </w:pict>
      </w:r>
      <w:bookmarkStart w:name="Leeds LFRMS 2018 Update_Page_42" w:id="58"/>
      <w:bookmarkEnd w:id="58"/>
      <w:r>
        <w:rPr/>
      </w:r>
      <w:bookmarkStart w:name="Leeds LFRMS 2018 Update_Page_42" w:id="59"/>
      <w:bookmarkEnd w:id="59"/>
      <w:r>
        <w:rPr>
          <w:sz w:val="32"/>
        </w:rPr>
        <w:t>LIS</w:t>
      </w:r>
      <w:r>
        <w:rPr>
          <w:sz w:val="32"/>
        </w:rPr>
        <w:t>T OF</w:t>
      </w:r>
      <w:r>
        <w:rPr>
          <w:spacing w:val="18"/>
          <w:sz w:val="32"/>
        </w:rPr>
        <w:t> </w:t>
      </w:r>
      <w:r>
        <w:rPr>
          <w:sz w:val="32"/>
        </w:rPr>
        <w:t>MEASURES</w:t>
      </w:r>
    </w:p>
    <w:p>
      <w:pPr>
        <w:pStyle w:val="BodyText"/>
        <w:spacing w:line="264" w:lineRule="auto" w:before="211"/>
        <w:ind w:left="975" w:right="221" w:firstLine="5"/>
      </w:pPr>
      <w:r>
        <w:rPr/>
        <w:t>A</w:t>
      </w:r>
      <w:r>
        <w:rPr>
          <w:spacing w:val="-22"/>
        </w:rPr>
        <w:t> </w:t>
      </w:r>
      <w:r>
        <w:rPr/>
        <w:t>List</w:t>
      </w:r>
      <w:r>
        <w:rPr>
          <w:spacing w:val="-18"/>
        </w:rPr>
        <w:t> </w:t>
      </w:r>
      <w:r>
        <w:rPr/>
        <w:t>of</w:t>
      </w:r>
      <w:r>
        <w:rPr>
          <w:spacing w:val="-26"/>
        </w:rPr>
        <w:t> </w:t>
      </w:r>
      <w:r>
        <w:rPr/>
        <w:t>Measures</w:t>
      </w:r>
      <w:r>
        <w:rPr>
          <w:spacing w:val="-24"/>
        </w:rPr>
        <w:t> </w:t>
      </w:r>
      <w:r>
        <w:rPr/>
        <w:t>has</w:t>
      </w:r>
      <w:r>
        <w:rPr>
          <w:spacing w:val="-36"/>
        </w:rPr>
        <w:t> </w:t>
      </w:r>
      <w:r>
        <w:rPr/>
        <w:t>been</w:t>
      </w:r>
      <w:r>
        <w:rPr>
          <w:spacing w:val="-21"/>
        </w:rPr>
        <w:t> </w:t>
      </w:r>
      <w:r>
        <w:rPr/>
        <w:t>developed</w:t>
      </w:r>
      <w:r>
        <w:rPr>
          <w:spacing w:val="-15"/>
        </w:rPr>
        <w:t> </w:t>
      </w:r>
      <w:r>
        <w:rPr/>
        <w:t>for</w:t>
      </w:r>
      <w:r>
        <w:rPr>
          <w:spacing w:val="-28"/>
        </w:rPr>
        <w:t> </w:t>
      </w:r>
      <w:r>
        <w:rPr/>
        <w:t>the</w:t>
      </w:r>
      <w:r>
        <w:rPr>
          <w:spacing w:val="-24"/>
        </w:rPr>
        <w:t> </w:t>
      </w:r>
      <w:r>
        <w:rPr/>
        <w:t>LFRMS</w:t>
      </w:r>
      <w:r>
        <w:rPr>
          <w:spacing w:val="-18"/>
        </w:rPr>
        <w:t> </w:t>
      </w:r>
      <w:r>
        <w:rPr/>
        <w:t>which</w:t>
      </w:r>
      <w:r>
        <w:rPr>
          <w:spacing w:val="-27"/>
        </w:rPr>
        <w:t> </w:t>
      </w:r>
      <w:r>
        <w:rPr/>
        <w:t>is</w:t>
      </w:r>
      <w:r>
        <w:rPr>
          <w:spacing w:val="-31"/>
        </w:rPr>
        <w:t> </w:t>
      </w:r>
      <w:r>
        <w:rPr/>
        <w:t>based</w:t>
      </w:r>
      <w:r>
        <w:rPr>
          <w:spacing w:val="-24"/>
        </w:rPr>
        <w:t> </w:t>
      </w:r>
      <w:r>
        <w:rPr/>
        <w:t>upon</w:t>
      </w:r>
      <w:r>
        <w:rPr>
          <w:spacing w:val="-24"/>
        </w:rPr>
        <w:t> </w:t>
      </w:r>
      <w:r>
        <w:rPr/>
        <w:t>the</w:t>
      </w:r>
      <w:r>
        <w:rPr>
          <w:spacing w:val="-25"/>
        </w:rPr>
        <w:t> </w:t>
      </w:r>
      <w:r>
        <w:rPr/>
        <w:t>six</w:t>
      </w:r>
      <w:r>
        <w:rPr>
          <w:spacing w:val="-27"/>
        </w:rPr>
        <w:t> </w:t>
      </w:r>
      <w:r>
        <w:rPr/>
        <w:t>objectives</w:t>
      </w:r>
      <w:r>
        <w:rPr>
          <w:spacing w:val="-17"/>
        </w:rPr>
        <w:t> </w:t>
      </w:r>
      <w:r>
        <w:rPr/>
        <w:t>for managing local flood risk listed in Section S. The List of Measures sets out a broad range of schemes,</w:t>
      </w:r>
      <w:r>
        <w:rPr>
          <w:spacing w:val="-30"/>
        </w:rPr>
        <w:t> </w:t>
      </w:r>
      <w:r>
        <w:rPr/>
        <w:t>actions,</w:t>
      </w:r>
      <w:r>
        <w:rPr>
          <w:spacing w:val="-32"/>
        </w:rPr>
        <w:t> </w:t>
      </w:r>
      <w:r>
        <w:rPr/>
        <w:t>initiatives,</w:t>
      </w:r>
      <w:r>
        <w:rPr>
          <w:spacing w:val="-31"/>
        </w:rPr>
        <w:t> </w:t>
      </w:r>
      <w:r>
        <w:rPr/>
        <w:t>plans</w:t>
      </w:r>
      <w:r>
        <w:rPr>
          <w:spacing w:val="-34"/>
        </w:rPr>
        <w:t> </w:t>
      </w:r>
      <w:r>
        <w:rPr/>
        <w:t>and</w:t>
      </w:r>
      <w:r>
        <w:rPr>
          <w:spacing w:val="-30"/>
        </w:rPr>
        <w:t> </w:t>
      </w:r>
      <w:r>
        <w:rPr/>
        <w:t>strategies</w:t>
      </w:r>
      <w:r>
        <w:rPr>
          <w:spacing w:val="-37"/>
        </w:rPr>
        <w:t> </w:t>
      </w:r>
      <w:r>
        <w:rPr/>
        <w:t>for</w:t>
      </w:r>
      <w:r>
        <w:rPr>
          <w:spacing w:val="-38"/>
        </w:rPr>
        <w:t> </w:t>
      </w:r>
      <w:r>
        <w:rPr/>
        <w:t>managing</w:t>
      </w:r>
      <w:r>
        <w:rPr>
          <w:spacing w:val="-30"/>
        </w:rPr>
        <w:t> </w:t>
      </w:r>
      <w:r>
        <w:rPr/>
        <w:t>local</w:t>
      </w:r>
      <w:r>
        <w:rPr>
          <w:spacing w:val="-35"/>
        </w:rPr>
        <w:t> </w:t>
      </w:r>
      <w:r>
        <w:rPr/>
        <w:t>flood</w:t>
      </w:r>
      <w:r>
        <w:rPr>
          <w:spacing w:val="-36"/>
        </w:rPr>
        <w:t> </w:t>
      </w:r>
      <w:r>
        <w:rPr/>
        <w:t>risk</w:t>
      </w:r>
      <w:r>
        <w:rPr>
          <w:spacing w:val="-35"/>
        </w:rPr>
        <w:t> </w:t>
      </w:r>
      <w:r>
        <w:rPr/>
        <w:t>in</w:t>
      </w:r>
      <w:r>
        <w:rPr>
          <w:spacing w:val="-38"/>
        </w:rPr>
        <w:t> </w:t>
      </w:r>
      <w:r>
        <w:rPr/>
        <w:t>the</w:t>
      </w:r>
      <w:r>
        <w:rPr>
          <w:spacing w:val="-35"/>
        </w:rPr>
        <w:t> </w:t>
      </w:r>
      <w:r>
        <w:rPr/>
        <w:t>Leeds</w:t>
      </w:r>
      <w:r>
        <w:rPr>
          <w:spacing w:val="-37"/>
        </w:rPr>
        <w:t> </w:t>
      </w:r>
      <w:r>
        <w:rPr/>
        <w:t>district. Some</w:t>
      </w:r>
      <w:r>
        <w:rPr>
          <w:spacing w:val="-23"/>
        </w:rPr>
        <w:t> </w:t>
      </w:r>
      <w:r>
        <w:rPr/>
        <w:t>of</w:t>
      </w:r>
      <w:r>
        <w:rPr>
          <w:spacing w:val="-28"/>
        </w:rPr>
        <w:t> </w:t>
      </w:r>
      <w:r>
        <w:rPr/>
        <w:t>the</w:t>
      </w:r>
      <w:r>
        <w:rPr>
          <w:spacing w:val="-30"/>
        </w:rPr>
        <w:t> </w:t>
      </w:r>
      <w:r>
        <w:rPr/>
        <w:t>measures</w:t>
      </w:r>
      <w:r>
        <w:rPr>
          <w:spacing w:val="-17"/>
        </w:rPr>
        <w:t> </w:t>
      </w:r>
      <w:r>
        <w:rPr/>
        <w:t>are</w:t>
      </w:r>
      <w:r>
        <w:rPr>
          <w:spacing w:val="-31"/>
        </w:rPr>
        <w:t> </w:t>
      </w:r>
      <w:r>
        <w:rPr/>
        <w:t>localised</w:t>
      </w:r>
      <w:r>
        <w:rPr>
          <w:spacing w:val="-20"/>
        </w:rPr>
        <w:t> </w:t>
      </w:r>
      <w:r>
        <w:rPr/>
        <w:t>and</w:t>
      </w:r>
      <w:r>
        <w:rPr>
          <w:spacing w:val="-28"/>
        </w:rPr>
        <w:t> </w:t>
      </w:r>
      <w:r>
        <w:rPr/>
        <w:t>relate</w:t>
      </w:r>
      <w:r>
        <w:rPr>
          <w:spacing w:val="-28"/>
        </w:rPr>
        <w:t> </w:t>
      </w:r>
      <w:r>
        <w:rPr/>
        <w:t>to</w:t>
      </w:r>
      <w:r>
        <w:rPr>
          <w:spacing w:val="-27"/>
        </w:rPr>
        <w:t> </w:t>
      </w:r>
      <w:r>
        <w:rPr/>
        <w:t>a</w:t>
      </w:r>
      <w:r>
        <w:rPr>
          <w:spacing w:val="-31"/>
        </w:rPr>
        <w:t> </w:t>
      </w:r>
      <w:r>
        <w:rPr/>
        <w:t>very</w:t>
      </w:r>
      <w:r>
        <w:rPr>
          <w:spacing w:val="-21"/>
        </w:rPr>
        <w:t> </w:t>
      </w:r>
      <w:r>
        <w:rPr/>
        <w:t>specific</w:t>
      </w:r>
      <w:r>
        <w:rPr>
          <w:spacing w:val="-21"/>
        </w:rPr>
        <w:t> </w:t>
      </w:r>
      <w:r>
        <w:rPr/>
        <w:t>part</w:t>
      </w:r>
      <w:r>
        <w:rPr>
          <w:spacing w:val="-21"/>
        </w:rPr>
        <w:t> </w:t>
      </w:r>
      <w:r>
        <w:rPr/>
        <w:t>of</w:t>
      </w:r>
      <w:r>
        <w:rPr>
          <w:spacing w:val="-33"/>
        </w:rPr>
        <w:t> </w:t>
      </w:r>
      <w:r>
        <w:rPr/>
        <w:t>the</w:t>
      </w:r>
      <w:r>
        <w:rPr>
          <w:spacing w:val="-21"/>
        </w:rPr>
        <w:t> </w:t>
      </w:r>
      <w:r>
        <w:rPr/>
        <w:t>district,</w:t>
      </w:r>
      <w:r>
        <w:rPr>
          <w:spacing w:val="-20"/>
        </w:rPr>
        <w:t> </w:t>
      </w:r>
      <w:r>
        <w:rPr/>
        <w:t>whereas</w:t>
      </w:r>
      <w:r>
        <w:rPr>
          <w:spacing w:val="-19"/>
        </w:rPr>
        <w:t> </w:t>
      </w:r>
      <w:r>
        <w:rPr/>
        <w:t>other measures are higher level district wide proposals. Where appropriate each measure has been assigned</w:t>
      </w:r>
      <w:r>
        <w:rPr>
          <w:spacing w:val="-22"/>
        </w:rPr>
        <w:t> </w:t>
      </w:r>
      <w:r>
        <w:rPr/>
        <w:t>a</w:t>
      </w:r>
      <w:r>
        <w:rPr>
          <w:spacing w:val="-37"/>
        </w:rPr>
        <w:t> </w:t>
      </w:r>
      <w:r>
        <w:rPr/>
        <w:t>priority</w:t>
      </w:r>
      <w:r>
        <w:rPr>
          <w:spacing w:val="-28"/>
        </w:rPr>
        <w:t> </w:t>
      </w:r>
      <w:r>
        <w:rPr/>
        <w:t>ranking</w:t>
      </w:r>
      <w:r>
        <w:rPr>
          <w:spacing w:val="-29"/>
        </w:rPr>
        <w:t> </w:t>
      </w:r>
      <w:r>
        <w:rPr/>
        <w:t>(high,</w:t>
      </w:r>
      <w:r>
        <w:rPr>
          <w:spacing w:val="-28"/>
        </w:rPr>
        <w:t> </w:t>
      </w:r>
      <w:r>
        <w:rPr/>
        <w:t>medium,</w:t>
      </w:r>
      <w:r>
        <w:rPr>
          <w:spacing w:val="-23"/>
        </w:rPr>
        <w:t> </w:t>
      </w:r>
      <w:r>
        <w:rPr/>
        <w:t>low)</w:t>
      </w:r>
      <w:r>
        <w:rPr>
          <w:spacing w:val="-33"/>
        </w:rPr>
        <w:t> </w:t>
      </w:r>
      <w:r>
        <w:rPr/>
        <w:t>based</w:t>
      </w:r>
      <w:r>
        <w:rPr>
          <w:spacing w:val="-27"/>
        </w:rPr>
        <w:t> </w:t>
      </w:r>
      <w:r>
        <w:rPr/>
        <w:t>on</w:t>
      </w:r>
      <w:r>
        <w:rPr>
          <w:spacing w:val="-33"/>
        </w:rPr>
        <w:t> </w:t>
      </w:r>
      <w:r>
        <w:rPr/>
        <w:t>the</w:t>
      </w:r>
      <w:r>
        <w:rPr>
          <w:spacing w:val="-30"/>
        </w:rPr>
        <w:t> </w:t>
      </w:r>
      <w:r>
        <w:rPr/>
        <w:t>expected</w:t>
      </w:r>
      <w:r>
        <w:rPr>
          <w:spacing w:val="-25"/>
        </w:rPr>
        <w:t> </w:t>
      </w:r>
      <w:r>
        <w:rPr/>
        <w:t>timescale</w:t>
      </w:r>
      <w:r>
        <w:rPr>
          <w:spacing w:val="-26"/>
        </w:rPr>
        <w:t> </w:t>
      </w:r>
      <w:r>
        <w:rPr/>
        <w:t>to</w:t>
      </w:r>
      <w:r>
        <w:rPr>
          <w:spacing w:val="-35"/>
        </w:rPr>
        <w:t> </w:t>
      </w:r>
      <w:r>
        <w:rPr/>
        <w:t>implement</w:t>
      </w:r>
      <w:r>
        <w:rPr>
          <w:spacing w:val="-31"/>
        </w:rPr>
        <w:t> </w:t>
      </w:r>
      <w:r>
        <w:rPr/>
        <w:t>the measure, the associated costs and benefits of the measure have also been assigned where available.</w:t>
      </w:r>
    </w:p>
    <w:p>
      <w:pPr>
        <w:pStyle w:val="BodyText"/>
        <w:spacing w:line="261" w:lineRule="auto" w:before="120"/>
        <w:ind w:left="975" w:firstLine="9"/>
      </w:pPr>
      <w:r>
        <w:rPr/>
        <w:t>The</w:t>
      </w:r>
      <w:r>
        <w:rPr>
          <w:spacing w:val="-31"/>
        </w:rPr>
        <w:t> </w:t>
      </w:r>
      <w:r>
        <w:rPr/>
        <w:t>Action</w:t>
      </w:r>
      <w:r>
        <w:rPr>
          <w:spacing w:val="-25"/>
        </w:rPr>
        <w:t> </w:t>
      </w:r>
      <w:r>
        <w:rPr/>
        <w:t>Plans</w:t>
      </w:r>
      <w:r>
        <w:rPr>
          <w:spacing w:val="-34"/>
        </w:rPr>
        <w:t> </w:t>
      </w:r>
      <w:r>
        <w:rPr/>
        <w:t>for</w:t>
      </w:r>
      <w:r>
        <w:rPr>
          <w:spacing w:val="-32"/>
        </w:rPr>
        <w:t> </w:t>
      </w:r>
      <w:r>
        <w:rPr/>
        <w:t>the</w:t>
      </w:r>
      <w:r>
        <w:rPr>
          <w:spacing w:val="-29"/>
        </w:rPr>
        <w:t> </w:t>
      </w:r>
      <w:r>
        <w:rPr/>
        <w:t>Leeds</w:t>
      </w:r>
      <w:r>
        <w:rPr>
          <w:spacing w:val="-26"/>
        </w:rPr>
        <w:t> </w:t>
      </w:r>
      <w:r>
        <w:rPr/>
        <w:t>Policy</w:t>
      </w:r>
      <w:r>
        <w:rPr>
          <w:spacing w:val="-24"/>
        </w:rPr>
        <w:t> </w:t>
      </w:r>
      <w:r>
        <w:rPr/>
        <w:t>Units</w:t>
      </w:r>
      <w:r>
        <w:rPr>
          <w:spacing w:val="-29"/>
        </w:rPr>
        <w:t> </w:t>
      </w:r>
      <w:r>
        <w:rPr/>
        <w:t>contained</w:t>
      </w:r>
      <w:r>
        <w:rPr>
          <w:spacing w:val="-21"/>
        </w:rPr>
        <w:t> </w:t>
      </w:r>
      <w:r>
        <w:rPr/>
        <w:t>in</w:t>
      </w:r>
      <w:r>
        <w:rPr>
          <w:spacing w:val="-32"/>
        </w:rPr>
        <w:t> </w:t>
      </w:r>
      <w:r>
        <w:rPr/>
        <w:t>the</w:t>
      </w:r>
      <w:r>
        <w:rPr>
          <w:spacing w:val="-29"/>
        </w:rPr>
        <w:t> </w:t>
      </w:r>
      <w:r>
        <w:rPr/>
        <w:t>River</w:t>
      </w:r>
      <w:r>
        <w:rPr>
          <w:spacing w:val="-27"/>
        </w:rPr>
        <w:t> </w:t>
      </w:r>
      <w:r>
        <w:rPr/>
        <w:t>Aire</w:t>
      </w:r>
      <w:r>
        <w:rPr>
          <w:spacing w:val="-29"/>
        </w:rPr>
        <w:t> </w:t>
      </w:r>
      <w:r>
        <w:rPr/>
        <w:t>and</w:t>
      </w:r>
      <w:r>
        <w:rPr>
          <w:spacing w:val="-28"/>
        </w:rPr>
        <w:t> </w:t>
      </w:r>
      <w:r>
        <w:rPr/>
        <w:t>Ouse</w:t>
      </w:r>
      <w:r>
        <w:rPr>
          <w:spacing w:val="-29"/>
        </w:rPr>
        <w:t> </w:t>
      </w:r>
      <w:r>
        <w:rPr/>
        <w:t>CFMPs</w:t>
      </w:r>
      <w:r>
        <w:rPr>
          <w:spacing w:val="-30"/>
        </w:rPr>
        <w:t> </w:t>
      </w:r>
      <w:r>
        <w:rPr/>
        <w:t>have</w:t>
      </w:r>
      <w:r>
        <w:rPr>
          <w:spacing w:val="-30"/>
        </w:rPr>
        <w:t> </w:t>
      </w:r>
      <w:r>
        <w:rPr/>
        <w:t>been reviewed</w:t>
      </w:r>
      <w:r>
        <w:rPr>
          <w:spacing w:val="-1"/>
        </w:rPr>
        <w:t> </w:t>
      </w:r>
      <w:r>
        <w:rPr/>
        <w:t>and</w:t>
      </w:r>
      <w:r>
        <w:rPr>
          <w:spacing w:val="-13"/>
        </w:rPr>
        <w:t> </w:t>
      </w:r>
      <w:r>
        <w:rPr/>
        <w:t>the</w:t>
      </w:r>
      <w:r>
        <w:rPr>
          <w:spacing w:val="-18"/>
        </w:rPr>
        <w:t> </w:t>
      </w:r>
      <w:r>
        <w:rPr/>
        <w:t>relevant actions</w:t>
      </w:r>
      <w:r>
        <w:rPr>
          <w:spacing w:val="-13"/>
        </w:rPr>
        <w:t> </w:t>
      </w:r>
      <w:r>
        <w:rPr/>
        <w:t>incorporated</w:t>
      </w:r>
      <w:r>
        <w:rPr>
          <w:spacing w:val="7"/>
        </w:rPr>
        <w:t> </w:t>
      </w:r>
      <w:r>
        <w:rPr/>
        <w:t>within</w:t>
      </w:r>
      <w:r>
        <w:rPr>
          <w:spacing w:val="-12"/>
        </w:rPr>
        <w:t> </w:t>
      </w:r>
      <w:r>
        <w:rPr/>
        <w:t>the</w:t>
      </w:r>
      <w:r>
        <w:rPr>
          <w:spacing w:val="-12"/>
        </w:rPr>
        <w:t> </w:t>
      </w:r>
      <w:r>
        <w:rPr/>
        <w:t>LFRMS</w:t>
      </w:r>
      <w:r>
        <w:rPr>
          <w:spacing w:val="-6"/>
        </w:rPr>
        <w:t> </w:t>
      </w:r>
      <w:r>
        <w:rPr/>
        <w:t>‘List</w:t>
      </w:r>
      <w:r>
        <w:rPr>
          <w:spacing w:val="-4"/>
        </w:rPr>
        <w:t> </w:t>
      </w:r>
      <w:r>
        <w:rPr/>
        <w:t>of</w:t>
      </w:r>
      <w:r>
        <w:rPr>
          <w:spacing w:val="-9"/>
        </w:rPr>
        <w:t> </w:t>
      </w:r>
      <w:r>
        <w:rPr/>
        <w:t>Measures’.</w:t>
      </w:r>
    </w:p>
    <w:p>
      <w:pPr>
        <w:pStyle w:val="BodyText"/>
        <w:spacing w:line="266" w:lineRule="auto" w:before="124"/>
        <w:ind w:left="976" w:right="221" w:firstLine="7"/>
      </w:pPr>
      <w:r>
        <w:rPr/>
        <w:t>The</w:t>
      </w:r>
      <w:r>
        <w:rPr>
          <w:spacing w:val="-33"/>
        </w:rPr>
        <w:t> </w:t>
      </w:r>
      <w:r>
        <w:rPr/>
        <w:t>‘List</w:t>
      </w:r>
      <w:r>
        <w:rPr>
          <w:spacing w:val="-24"/>
        </w:rPr>
        <w:t> </w:t>
      </w:r>
      <w:r>
        <w:rPr/>
        <w:t>of</w:t>
      </w:r>
      <w:r>
        <w:rPr>
          <w:spacing w:val="-32"/>
        </w:rPr>
        <w:t> </w:t>
      </w:r>
      <w:r>
        <w:rPr/>
        <w:t>Measures’</w:t>
      </w:r>
      <w:r>
        <w:rPr>
          <w:spacing w:val="-20"/>
        </w:rPr>
        <w:t> </w:t>
      </w:r>
      <w:r>
        <w:rPr/>
        <w:t>is</w:t>
      </w:r>
      <w:r>
        <w:rPr>
          <w:spacing w:val="-36"/>
        </w:rPr>
        <w:t> </w:t>
      </w:r>
      <w:r>
        <w:rPr/>
        <w:t>designed</w:t>
      </w:r>
      <w:r>
        <w:rPr>
          <w:spacing w:val="-24"/>
        </w:rPr>
        <w:t> </w:t>
      </w:r>
      <w:r>
        <w:rPr/>
        <w:t>to</w:t>
      </w:r>
      <w:r>
        <w:rPr>
          <w:spacing w:val="-35"/>
        </w:rPr>
        <w:t> </w:t>
      </w:r>
      <w:r>
        <w:rPr/>
        <w:t>be</w:t>
      </w:r>
      <w:r>
        <w:rPr>
          <w:spacing w:val="-31"/>
        </w:rPr>
        <w:t> </w:t>
      </w:r>
      <w:r>
        <w:rPr/>
        <w:t>a</w:t>
      </w:r>
      <w:r>
        <w:rPr>
          <w:spacing w:val="-36"/>
        </w:rPr>
        <w:t> </w:t>
      </w:r>
      <w:r>
        <w:rPr/>
        <w:t>‘living</w:t>
      </w:r>
      <w:r>
        <w:rPr>
          <w:spacing w:val="-25"/>
        </w:rPr>
        <w:t> </w:t>
      </w:r>
      <w:r>
        <w:rPr/>
        <w:t>document’</w:t>
      </w:r>
      <w:r>
        <w:rPr>
          <w:spacing w:val="-20"/>
        </w:rPr>
        <w:t> </w:t>
      </w:r>
      <w:r>
        <w:rPr/>
        <w:t>which</w:t>
      </w:r>
      <w:r>
        <w:rPr>
          <w:spacing w:val="-27"/>
        </w:rPr>
        <w:t> </w:t>
      </w:r>
      <w:r>
        <w:rPr/>
        <w:t>will</w:t>
      </w:r>
      <w:r>
        <w:rPr>
          <w:spacing w:val="-33"/>
        </w:rPr>
        <w:t> </w:t>
      </w:r>
      <w:r>
        <w:rPr/>
        <w:t>be</w:t>
      </w:r>
      <w:r>
        <w:rPr>
          <w:spacing w:val="-35"/>
        </w:rPr>
        <w:t> </w:t>
      </w:r>
      <w:r>
        <w:rPr/>
        <w:t>monitored</w:t>
      </w:r>
      <w:r>
        <w:rPr>
          <w:spacing w:val="-16"/>
        </w:rPr>
        <w:t> </w:t>
      </w:r>
      <w:r>
        <w:rPr/>
        <w:t>and</w:t>
      </w:r>
      <w:r>
        <w:rPr>
          <w:spacing w:val="-32"/>
        </w:rPr>
        <w:t> </w:t>
      </w:r>
      <w:r>
        <w:rPr/>
        <w:t>updated</w:t>
      </w:r>
      <w:r>
        <w:rPr>
          <w:spacing w:val="-23"/>
        </w:rPr>
        <w:t> </w:t>
      </w:r>
      <w:r>
        <w:rPr/>
        <w:t>on a</w:t>
      </w:r>
      <w:r>
        <w:rPr>
          <w:spacing w:val="-30"/>
        </w:rPr>
        <w:t> </w:t>
      </w:r>
      <w:r>
        <w:rPr/>
        <w:t>regular</w:t>
      </w:r>
      <w:r>
        <w:rPr>
          <w:spacing w:val="-22"/>
        </w:rPr>
        <w:t> </w:t>
      </w:r>
      <w:r>
        <w:rPr/>
        <w:t>basis</w:t>
      </w:r>
      <w:r>
        <w:rPr>
          <w:spacing w:val="-20"/>
        </w:rPr>
        <w:t> </w:t>
      </w:r>
      <w:r>
        <w:rPr/>
        <w:t>when</w:t>
      </w:r>
      <w:r>
        <w:rPr>
          <w:spacing w:val="-21"/>
        </w:rPr>
        <w:t> </w:t>
      </w:r>
      <w:r>
        <w:rPr/>
        <w:t>measures</w:t>
      </w:r>
      <w:r>
        <w:rPr>
          <w:spacing w:val="-12"/>
        </w:rPr>
        <w:t> </w:t>
      </w:r>
      <w:r>
        <w:rPr/>
        <w:t>are</w:t>
      </w:r>
      <w:r>
        <w:rPr>
          <w:spacing w:val="-25"/>
        </w:rPr>
        <w:t> </w:t>
      </w:r>
      <w:r>
        <w:rPr/>
        <w:t>completed</w:t>
      </w:r>
      <w:r>
        <w:rPr>
          <w:spacing w:val="-8"/>
        </w:rPr>
        <w:t> </w:t>
      </w:r>
      <w:r>
        <w:rPr/>
        <w:t>or</w:t>
      </w:r>
      <w:r>
        <w:rPr>
          <w:spacing w:val="-28"/>
        </w:rPr>
        <w:t> </w:t>
      </w:r>
      <w:r>
        <w:rPr/>
        <w:t>new</w:t>
      </w:r>
      <w:r>
        <w:rPr>
          <w:spacing w:val="-12"/>
        </w:rPr>
        <w:t> </w:t>
      </w:r>
      <w:r>
        <w:rPr/>
        <w:t>ones</w:t>
      </w:r>
      <w:r>
        <w:rPr>
          <w:spacing w:val="-21"/>
        </w:rPr>
        <w:t> </w:t>
      </w:r>
      <w:r>
        <w:rPr/>
        <w:t>added</w:t>
      </w:r>
      <w:r>
        <w:rPr>
          <w:spacing w:val="-17"/>
        </w:rPr>
        <w:t> </w:t>
      </w:r>
      <w:r>
        <w:rPr/>
        <w:t>and</w:t>
      </w:r>
      <w:r>
        <w:rPr>
          <w:spacing w:val="-26"/>
        </w:rPr>
        <w:t> </w:t>
      </w:r>
      <w:r>
        <w:rPr/>
        <w:t>is</w:t>
      </w:r>
      <w:r>
        <w:rPr>
          <w:spacing w:val="-26"/>
        </w:rPr>
        <w:t> </w:t>
      </w:r>
      <w:r>
        <w:rPr/>
        <w:t>found</w:t>
      </w:r>
      <w:r>
        <w:rPr>
          <w:spacing w:val="-24"/>
        </w:rPr>
        <w:t> </w:t>
      </w:r>
      <w:r>
        <w:rPr/>
        <w:t>in</w:t>
      </w:r>
      <w:r>
        <w:rPr>
          <w:spacing w:val="-16"/>
        </w:rPr>
        <w:t> </w:t>
      </w:r>
      <w:r>
        <w:rPr/>
        <w:t>Appendix</w:t>
      </w:r>
      <w:r>
        <w:rPr>
          <w:spacing w:val="-12"/>
        </w:rPr>
        <w:t> </w:t>
      </w:r>
      <w:r>
        <w:rPr/>
        <w:t>C</w:t>
      </w:r>
      <w:r>
        <w:rPr>
          <w:spacing w:val="-31"/>
        </w:rPr>
        <w:t> </w:t>
      </w:r>
      <w:r>
        <w:rPr/>
        <w:t>of this strategy. The ‘List of Measures’ form the basis of the Council’s</w:t>
      </w:r>
      <w:r>
        <w:rPr>
          <w:spacing w:val="-17"/>
        </w:rPr>
        <w:t> </w:t>
      </w:r>
      <w:r>
        <w:rPr/>
        <w:t>MTP.</w:t>
      </w:r>
    </w:p>
    <w:p>
      <w:pPr>
        <w:pStyle w:val="BodyText"/>
        <w:spacing w:before="118"/>
        <w:ind w:left="984"/>
      </w:pPr>
      <w:r>
        <w:rPr/>
        <w:t>The List of Measures has been split into the four categories outlined below.</w:t>
      </w:r>
    </w:p>
    <w:p>
      <w:pPr>
        <w:pStyle w:val="ListParagraph"/>
        <w:numPr>
          <w:ilvl w:val="0"/>
          <w:numId w:val="18"/>
        </w:numPr>
        <w:tabs>
          <w:tab w:pos="1404" w:val="left" w:leader="none"/>
        </w:tabs>
        <w:spacing w:line="266" w:lineRule="auto" w:before="139" w:after="0"/>
        <w:ind w:left="1397" w:right="204" w:hanging="266"/>
        <w:jc w:val="left"/>
        <w:rPr>
          <w:color w:val="FF2626"/>
          <w:sz w:val="23"/>
        </w:rPr>
      </w:pPr>
      <w:r>
        <w:rPr>
          <w:sz w:val="23"/>
        </w:rPr>
        <w:t>Flood awareness, response and recovery </w:t>
      </w:r>
      <w:r>
        <w:rPr>
          <w:w w:val="90"/>
          <w:sz w:val="23"/>
        </w:rPr>
        <w:t>— </w:t>
      </w:r>
      <w:r>
        <w:rPr>
          <w:sz w:val="23"/>
        </w:rPr>
        <w:t>this includes initiatives to improve engagement with</w:t>
      </w:r>
      <w:r>
        <w:rPr>
          <w:spacing w:val="-38"/>
          <w:sz w:val="23"/>
        </w:rPr>
        <w:t> </w:t>
      </w:r>
      <w:r>
        <w:rPr>
          <w:sz w:val="23"/>
        </w:rPr>
        <w:t>internal</w:t>
      </w:r>
      <w:r>
        <w:rPr>
          <w:spacing w:val="-29"/>
          <w:sz w:val="23"/>
        </w:rPr>
        <w:t> </w:t>
      </w:r>
      <w:r>
        <w:rPr>
          <w:sz w:val="23"/>
        </w:rPr>
        <w:t>and</w:t>
      </w:r>
      <w:r>
        <w:rPr>
          <w:spacing w:val="-36"/>
          <w:sz w:val="23"/>
        </w:rPr>
        <w:t> </w:t>
      </w:r>
      <w:r>
        <w:rPr>
          <w:sz w:val="23"/>
        </w:rPr>
        <w:t>external</w:t>
      </w:r>
      <w:r>
        <w:rPr>
          <w:spacing w:val="-36"/>
          <w:sz w:val="23"/>
        </w:rPr>
        <w:t> </w:t>
      </w:r>
      <w:r>
        <w:rPr>
          <w:sz w:val="23"/>
        </w:rPr>
        <w:t>partners,</w:t>
      </w:r>
      <w:r>
        <w:rPr>
          <w:spacing w:val="-35"/>
          <w:sz w:val="23"/>
        </w:rPr>
        <w:t> </w:t>
      </w:r>
      <w:r>
        <w:rPr>
          <w:sz w:val="23"/>
        </w:rPr>
        <w:t>raise</w:t>
      </w:r>
      <w:r>
        <w:rPr>
          <w:spacing w:val="-35"/>
          <w:sz w:val="23"/>
        </w:rPr>
        <w:t> </w:t>
      </w:r>
      <w:r>
        <w:rPr>
          <w:sz w:val="23"/>
        </w:rPr>
        <w:t>awareness</w:t>
      </w:r>
      <w:r>
        <w:rPr>
          <w:spacing w:val="-28"/>
          <w:sz w:val="23"/>
        </w:rPr>
        <w:t> </w:t>
      </w:r>
      <w:r>
        <w:rPr>
          <w:sz w:val="23"/>
        </w:rPr>
        <w:t>of</w:t>
      </w:r>
      <w:r>
        <w:rPr>
          <w:spacing w:val="-39"/>
          <w:sz w:val="23"/>
        </w:rPr>
        <w:t> </w:t>
      </w:r>
      <w:r>
        <w:rPr>
          <w:sz w:val="23"/>
        </w:rPr>
        <w:t>the</w:t>
      </w:r>
      <w:r>
        <w:rPr>
          <w:spacing w:val="-37"/>
          <w:sz w:val="23"/>
        </w:rPr>
        <w:t> </w:t>
      </w:r>
      <w:r>
        <w:rPr>
          <w:sz w:val="23"/>
        </w:rPr>
        <w:t>LFRMS,</w:t>
      </w:r>
      <w:r>
        <w:rPr>
          <w:spacing w:val="-31"/>
          <w:sz w:val="23"/>
        </w:rPr>
        <w:t> </w:t>
      </w:r>
      <w:r>
        <w:rPr>
          <w:sz w:val="23"/>
        </w:rPr>
        <w:t>involve</w:t>
      </w:r>
      <w:r>
        <w:rPr>
          <w:spacing w:val="-32"/>
          <w:sz w:val="23"/>
        </w:rPr>
        <w:t> </w:t>
      </w:r>
      <w:r>
        <w:rPr>
          <w:sz w:val="23"/>
        </w:rPr>
        <w:t>local</w:t>
      </w:r>
      <w:r>
        <w:rPr>
          <w:spacing w:val="-36"/>
          <w:sz w:val="23"/>
        </w:rPr>
        <w:t> </w:t>
      </w:r>
      <w:r>
        <w:rPr>
          <w:sz w:val="23"/>
        </w:rPr>
        <w:t>communities</w:t>
      </w:r>
      <w:r>
        <w:rPr>
          <w:spacing w:val="-33"/>
          <w:sz w:val="23"/>
        </w:rPr>
        <w:t> </w:t>
      </w:r>
      <w:r>
        <w:rPr>
          <w:sz w:val="23"/>
        </w:rPr>
        <w:t>in decision</w:t>
      </w:r>
      <w:r>
        <w:rPr>
          <w:spacing w:val="-28"/>
          <w:sz w:val="23"/>
        </w:rPr>
        <w:t> </w:t>
      </w:r>
      <w:r>
        <w:rPr>
          <w:sz w:val="23"/>
        </w:rPr>
        <w:t>making,</w:t>
      </w:r>
      <w:r>
        <w:rPr>
          <w:spacing w:val="-31"/>
          <w:sz w:val="23"/>
        </w:rPr>
        <w:t> </w:t>
      </w:r>
      <w:r>
        <w:rPr>
          <w:sz w:val="23"/>
        </w:rPr>
        <w:t>improve</w:t>
      </w:r>
      <w:r>
        <w:rPr>
          <w:spacing w:val="-31"/>
          <w:sz w:val="23"/>
        </w:rPr>
        <w:t> </w:t>
      </w:r>
      <w:r>
        <w:rPr>
          <w:sz w:val="23"/>
        </w:rPr>
        <w:t>cooperation</w:t>
      </w:r>
      <w:r>
        <w:rPr>
          <w:spacing w:val="-26"/>
          <w:sz w:val="23"/>
        </w:rPr>
        <w:t> </w:t>
      </w:r>
      <w:r>
        <w:rPr>
          <w:sz w:val="23"/>
        </w:rPr>
        <w:t>between</w:t>
      </w:r>
      <w:r>
        <w:rPr>
          <w:spacing w:val="-28"/>
          <w:sz w:val="23"/>
        </w:rPr>
        <w:t> </w:t>
      </w:r>
      <w:r>
        <w:rPr>
          <w:sz w:val="23"/>
        </w:rPr>
        <w:t>RMAs</w:t>
      </w:r>
      <w:r>
        <w:rPr>
          <w:spacing w:val="-31"/>
          <w:sz w:val="23"/>
        </w:rPr>
        <w:t> </w:t>
      </w:r>
      <w:r>
        <w:rPr>
          <w:sz w:val="23"/>
        </w:rPr>
        <w:t>and</w:t>
      </w:r>
      <w:r>
        <w:rPr>
          <w:spacing w:val="-33"/>
          <w:sz w:val="23"/>
        </w:rPr>
        <w:t> </w:t>
      </w:r>
      <w:r>
        <w:rPr>
          <w:sz w:val="23"/>
        </w:rPr>
        <w:t>plans</w:t>
      </w:r>
      <w:r>
        <w:rPr>
          <w:spacing w:val="-34"/>
          <w:sz w:val="23"/>
        </w:rPr>
        <w:t> </w:t>
      </w:r>
      <w:r>
        <w:rPr>
          <w:sz w:val="23"/>
        </w:rPr>
        <w:t>for</w:t>
      </w:r>
      <w:r>
        <w:rPr>
          <w:spacing w:val="-34"/>
          <w:sz w:val="23"/>
        </w:rPr>
        <w:t> </w:t>
      </w:r>
      <w:r>
        <w:rPr>
          <w:sz w:val="23"/>
        </w:rPr>
        <w:t>emergency</w:t>
      </w:r>
      <w:r>
        <w:rPr>
          <w:spacing w:val="-26"/>
          <w:sz w:val="23"/>
        </w:rPr>
        <w:t> </w:t>
      </w:r>
      <w:r>
        <w:rPr>
          <w:sz w:val="23"/>
        </w:rPr>
        <w:t>response</w:t>
      </w:r>
      <w:r>
        <w:rPr>
          <w:spacing w:val="-30"/>
          <w:sz w:val="23"/>
        </w:rPr>
        <w:t> </w:t>
      </w:r>
      <w:r>
        <w:rPr>
          <w:sz w:val="23"/>
        </w:rPr>
        <w:t>and recovery.</w:t>
      </w:r>
    </w:p>
    <w:p>
      <w:pPr>
        <w:pStyle w:val="ListParagraph"/>
        <w:numPr>
          <w:ilvl w:val="0"/>
          <w:numId w:val="18"/>
        </w:numPr>
        <w:tabs>
          <w:tab w:pos="1403" w:val="left" w:leader="none"/>
        </w:tabs>
        <w:spacing w:line="261" w:lineRule="auto" w:before="0" w:after="0"/>
        <w:ind w:left="1397" w:right="813" w:hanging="266"/>
        <w:jc w:val="left"/>
        <w:rPr>
          <w:color w:val="F0522A"/>
          <w:sz w:val="23"/>
        </w:rPr>
      </w:pPr>
      <w:r>
        <w:rPr>
          <w:sz w:val="23"/>
        </w:rPr>
        <w:t>Spatial</w:t>
      </w:r>
      <w:r>
        <w:rPr>
          <w:spacing w:val="-13"/>
          <w:sz w:val="23"/>
        </w:rPr>
        <w:t> </w:t>
      </w:r>
      <w:r>
        <w:rPr>
          <w:sz w:val="23"/>
        </w:rPr>
        <w:t>planning</w:t>
      </w:r>
      <w:r>
        <w:rPr>
          <w:spacing w:val="-3"/>
          <w:sz w:val="23"/>
        </w:rPr>
        <w:t> </w:t>
      </w:r>
      <w:r>
        <w:rPr>
          <w:sz w:val="23"/>
        </w:rPr>
        <w:t>and</w:t>
      </w:r>
      <w:r>
        <w:rPr>
          <w:spacing w:val="-12"/>
          <w:sz w:val="23"/>
        </w:rPr>
        <w:t> </w:t>
      </w:r>
      <w:r>
        <w:rPr>
          <w:sz w:val="23"/>
        </w:rPr>
        <w:t>development</w:t>
      </w:r>
      <w:r>
        <w:rPr>
          <w:spacing w:val="-6"/>
          <w:sz w:val="23"/>
        </w:rPr>
        <w:t> </w:t>
      </w:r>
      <w:r>
        <w:rPr>
          <w:sz w:val="23"/>
        </w:rPr>
        <w:t>control</w:t>
      </w:r>
      <w:r>
        <w:rPr>
          <w:spacing w:val="-13"/>
          <w:sz w:val="23"/>
        </w:rPr>
        <w:t> </w:t>
      </w:r>
      <w:r>
        <w:rPr>
          <w:w w:val="90"/>
          <w:sz w:val="23"/>
        </w:rPr>
        <w:t>—</w:t>
      </w:r>
      <w:r>
        <w:rPr>
          <w:spacing w:val="-36"/>
          <w:w w:val="90"/>
          <w:sz w:val="23"/>
        </w:rPr>
        <w:t> </w:t>
      </w:r>
      <w:r>
        <w:rPr>
          <w:sz w:val="23"/>
        </w:rPr>
        <w:t>this</w:t>
      </w:r>
      <w:r>
        <w:rPr>
          <w:spacing w:val="-22"/>
          <w:sz w:val="23"/>
        </w:rPr>
        <w:t> </w:t>
      </w:r>
      <w:r>
        <w:rPr>
          <w:sz w:val="23"/>
        </w:rPr>
        <w:t>includes</w:t>
      </w:r>
      <w:r>
        <w:rPr>
          <w:spacing w:val="-17"/>
          <w:sz w:val="23"/>
        </w:rPr>
        <w:t> </w:t>
      </w:r>
      <w:r>
        <w:rPr>
          <w:sz w:val="23"/>
        </w:rPr>
        <w:t>implementation</w:t>
      </w:r>
      <w:r>
        <w:rPr>
          <w:spacing w:val="-19"/>
          <w:sz w:val="23"/>
        </w:rPr>
        <w:t> </w:t>
      </w:r>
      <w:r>
        <w:rPr>
          <w:sz w:val="23"/>
        </w:rPr>
        <w:t>of</w:t>
      </w:r>
      <w:r>
        <w:rPr>
          <w:spacing w:val="-18"/>
          <w:sz w:val="23"/>
        </w:rPr>
        <w:t> </w:t>
      </w:r>
      <w:r>
        <w:rPr>
          <w:sz w:val="23"/>
        </w:rPr>
        <w:t>SuDS</w:t>
      </w:r>
      <w:r>
        <w:rPr>
          <w:spacing w:val="-11"/>
          <w:sz w:val="23"/>
        </w:rPr>
        <w:t> </w:t>
      </w:r>
      <w:r>
        <w:rPr>
          <w:sz w:val="23"/>
        </w:rPr>
        <w:t>and promoting</w:t>
      </w:r>
      <w:r>
        <w:rPr>
          <w:spacing w:val="-7"/>
          <w:sz w:val="23"/>
        </w:rPr>
        <w:t> </w:t>
      </w:r>
      <w:r>
        <w:rPr>
          <w:sz w:val="23"/>
        </w:rPr>
        <w:t>sustainability</w:t>
      </w:r>
      <w:r>
        <w:rPr>
          <w:spacing w:val="-13"/>
          <w:sz w:val="23"/>
        </w:rPr>
        <w:t> </w:t>
      </w:r>
      <w:r>
        <w:rPr>
          <w:sz w:val="23"/>
        </w:rPr>
        <w:t>and</w:t>
      </w:r>
      <w:r>
        <w:rPr>
          <w:spacing w:val="-15"/>
          <w:sz w:val="23"/>
        </w:rPr>
        <w:t> </w:t>
      </w:r>
      <w:r>
        <w:rPr>
          <w:sz w:val="23"/>
        </w:rPr>
        <w:t>climate</w:t>
      </w:r>
      <w:r>
        <w:rPr>
          <w:spacing w:val="-13"/>
          <w:sz w:val="23"/>
        </w:rPr>
        <w:t> </w:t>
      </w:r>
      <w:r>
        <w:rPr>
          <w:sz w:val="23"/>
        </w:rPr>
        <w:t>change</w:t>
      </w:r>
      <w:r>
        <w:rPr>
          <w:spacing w:val="-10"/>
          <w:sz w:val="23"/>
        </w:rPr>
        <w:t> </w:t>
      </w:r>
      <w:r>
        <w:rPr>
          <w:sz w:val="23"/>
        </w:rPr>
        <w:t>adaptation</w:t>
      </w:r>
      <w:r>
        <w:rPr>
          <w:spacing w:val="-10"/>
          <w:sz w:val="23"/>
        </w:rPr>
        <w:t> </w:t>
      </w:r>
      <w:r>
        <w:rPr>
          <w:sz w:val="23"/>
        </w:rPr>
        <w:t>in</w:t>
      </w:r>
      <w:r>
        <w:rPr>
          <w:spacing w:val="-19"/>
          <w:sz w:val="23"/>
        </w:rPr>
        <w:t> </w:t>
      </w:r>
      <w:r>
        <w:rPr>
          <w:sz w:val="23"/>
        </w:rPr>
        <w:t>future</w:t>
      </w:r>
      <w:r>
        <w:rPr>
          <w:spacing w:val="-15"/>
          <w:sz w:val="23"/>
        </w:rPr>
        <w:t> </w:t>
      </w:r>
      <w:r>
        <w:rPr>
          <w:sz w:val="23"/>
        </w:rPr>
        <w:t>developments.</w:t>
      </w:r>
    </w:p>
    <w:p>
      <w:pPr>
        <w:pStyle w:val="ListParagraph"/>
        <w:numPr>
          <w:ilvl w:val="0"/>
          <w:numId w:val="18"/>
        </w:numPr>
        <w:tabs>
          <w:tab w:pos="1403" w:val="left" w:leader="none"/>
        </w:tabs>
        <w:spacing w:line="271" w:lineRule="auto" w:before="0" w:after="0"/>
        <w:ind w:left="1404" w:right="517" w:hanging="273"/>
        <w:jc w:val="left"/>
        <w:rPr>
          <w:color w:val="EB3D31"/>
          <w:sz w:val="23"/>
        </w:rPr>
      </w:pPr>
      <w:r>
        <w:rPr>
          <w:sz w:val="23"/>
        </w:rPr>
        <w:t>Studies,</w:t>
      </w:r>
      <w:r>
        <w:rPr>
          <w:spacing w:val="-18"/>
          <w:sz w:val="23"/>
        </w:rPr>
        <w:t> </w:t>
      </w:r>
      <w:r>
        <w:rPr>
          <w:sz w:val="23"/>
        </w:rPr>
        <w:t>schemes,</w:t>
      </w:r>
      <w:r>
        <w:rPr>
          <w:spacing w:val="-17"/>
          <w:sz w:val="23"/>
        </w:rPr>
        <w:t> </w:t>
      </w:r>
      <w:r>
        <w:rPr>
          <w:sz w:val="23"/>
        </w:rPr>
        <w:t>assessments</w:t>
      </w:r>
      <w:r>
        <w:rPr>
          <w:spacing w:val="-19"/>
          <w:sz w:val="23"/>
        </w:rPr>
        <w:t> </w:t>
      </w:r>
      <w:r>
        <w:rPr>
          <w:sz w:val="23"/>
        </w:rPr>
        <w:t>and</w:t>
      </w:r>
      <w:r>
        <w:rPr>
          <w:spacing w:val="-28"/>
          <w:sz w:val="23"/>
        </w:rPr>
        <w:t> </w:t>
      </w:r>
      <w:r>
        <w:rPr>
          <w:sz w:val="23"/>
        </w:rPr>
        <w:t>plans</w:t>
      </w:r>
      <w:r>
        <w:rPr>
          <w:spacing w:val="-22"/>
          <w:sz w:val="23"/>
        </w:rPr>
        <w:t> </w:t>
      </w:r>
      <w:r>
        <w:rPr>
          <w:w w:val="90"/>
          <w:sz w:val="23"/>
        </w:rPr>
        <w:t>—</w:t>
      </w:r>
      <w:r>
        <w:rPr>
          <w:spacing w:val="-40"/>
          <w:w w:val="90"/>
          <w:sz w:val="23"/>
        </w:rPr>
        <w:t> </w:t>
      </w:r>
      <w:r>
        <w:rPr>
          <w:sz w:val="23"/>
        </w:rPr>
        <w:t>this</w:t>
      </w:r>
      <w:r>
        <w:rPr>
          <w:spacing w:val="-32"/>
          <w:sz w:val="23"/>
        </w:rPr>
        <w:t> </w:t>
      </w:r>
      <w:r>
        <w:rPr>
          <w:sz w:val="23"/>
        </w:rPr>
        <w:t>includes</w:t>
      </w:r>
      <w:r>
        <w:rPr>
          <w:spacing w:val="-26"/>
          <w:sz w:val="23"/>
        </w:rPr>
        <w:t> </w:t>
      </w:r>
      <w:r>
        <w:rPr>
          <w:sz w:val="23"/>
        </w:rPr>
        <w:t>investigating</w:t>
      </w:r>
      <w:r>
        <w:rPr>
          <w:spacing w:val="-17"/>
          <w:sz w:val="23"/>
        </w:rPr>
        <w:t> </w:t>
      </w:r>
      <w:r>
        <w:rPr>
          <w:sz w:val="23"/>
        </w:rPr>
        <w:t>flooding</w:t>
      </w:r>
      <w:r>
        <w:rPr>
          <w:spacing w:val="-24"/>
          <w:sz w:val="23"/>
        </w:rPr>
        <w:t> </w:t>
      </w:r>
      <w:r>
        <w:rPr>
          <w:sz w:val="23"/>
        </w:rPr>
        <w:t>incidents, assessing</w:t>
      </w:r>
      <w:r>
        <w:rPr>
          <w:spacing w:val="-6"/>
          <w:sz w:val="23"/>
        </w:rPr>
        <w:t> </w:t>
      </w:r>
      <w:r>
        <w:rPr>
          <w:sz w:val="23"/>
        </w:rPr>
        <w:t>flood</w:t>
      </w:r>
      <w:r>
        <w:rPr>
          <w:spacing w:val="-11"/>
          <w:sz w:val="23"/>
        </w:rPr>
        <w:t> </w:t>
      </w:r>
      <w:r>
        <w:rPr>
          <w:sz w:val="23"/>
        </w:rPr>
        <w:t>risk</w:t>
      </w:r>
      <w:r>
        <w:rPr>
          <w:spacing w:val="-11"/>
          <w:sz w:val="23"/>
        </w:rPr>
        <w:t> </w:t>
      </w:r>
      <w:r>
        <w:rPr>
          <w:sz w:val="23"/>
        </w:rPr>
        <w:t>and</w:t>
      </w:r>
      <w:r>
        <w:rPr>
          <w:spacing w:val="-15"/>
          <w:sz w:val="23"/>
        </w:rPr>
        <w:t> </w:t>
      </w:r>
      <w:r>
        <w:rPr>
          <w:sz w:val="23"/>
        </w:rPr>
        <w:t>developing</w:t>
      </w:r>
      <w:r>
        <w:rPr>
          <w:spacing w:val="6"/>
          <w:sz w:val="23"/>
        </w:rPr>
        <w:t> </w:t>
      </w:r>
      <w:r>
        <w:rPr>
          <w:sz w:val="23"/>
        </w:rPr>
        <w:t>and</w:t>
      </w:r>
      <w:r>
        <w:rPr>
          <w:spacing w:val="-21"/>
          <w:sz w:val="23"/>
        </w:rPr>
        <w:t> </w:t>
      </w:r>
      <w:r>
        <w:rPr>
          <w:sz w:val="23"/>
        </w:rPr>
        <w:t>promoting</w:t>
      </w:r>
      <w:r>
        <w:rPr>
          <w:spacing w:val="3"/>
          <w:sz w:val="23"/>
        </w:rPr>
        <w:t> </w:t>
      </w:r>
      <w:r>
        <w:rPr>
          <w:sz w:val="23"/>
        </w:rPr>
        <w:t>schemes</w:t>
      </w:r>
      <w:r>
        <w:rPr>
          <w:spacing w:val="-14"/>
          <w:sz w:val="23"/>
        </w:rPr>
        <w:t> </w:t>
      </w:r>
      <w:r>
        <w:rPr>
          <w:sz w:val="23"/>
        </w:rPr>
        <w:t>to</w:t>
      </w:r>
      <w:r>
        <w:rPr>
          <w:spacing w:val="-18"/>
          <w:sz w:val="23"/>
        </w:rPr>
        <w:t> </w:t>
      </w:r>
      <w:r>
        <w:rPr>
          <w:sz w:val="23"/>
        </w:rPr>
        <w:t>alleviate</w:t>
      </w:r>
      <w:r>
        <w:rPr>
          <w:spacing w:val="-16"/>
          <w:sz w:val="23"/>
        </w:rPr>
        <w:t> </w:t>
      </w:r>
      <w:r>
        <w:rPr>
          <w:sz w:val="23"/>
        </w:rPr>
        <w:t>flood</w:t>
      </w:r>
      <w:r>
        <w:rPr>
          <w:spacing w:val="-17"/>
          <w:sz w:val="23"/>
        </w:rPr>
        <w:t> </w:t>
      </w:r>
      <w:r>
        <w:rPr>
          <w:sz w:val="23"/>
        </w:rPr>
        <w:t>risk.</w:t>
      </w:r>
    </w:p>
    <w:p>
      <w:pPr>
        <w:pStyle w:val="ListParagraph"/>
        <w:numPr>
          <w:ilvl w:val="0"/>
          <w:numId w:val="18"/>
        </w:numPr>
        <w:tabs>
          <w:tab w:pos="1404" w:val="left" w:leader="none"/>
        </w:tabs>
        <w:spacing w:line="266" w:lineRule="auto" w:before="0" w:after="0"/>
        <w:ind w:left="1397" w:right="239" w:hanging="266"/>
        <w:jc w:val="left"/>
        <w:rPr>
          <w:color w:val="F93834"/>
          <w:sz w:val="23"/>
        </w:rPr>
      </w:pPr>
      <w:r>
        <w:rPr>
          <w:sz w:val="23"/>
        </w:rPr>
        <w:t>Asset</w:t>
      </w:r>
      <w:r>
        <w:rPr>
          <w:spacing w:val="-26"/>
          <w:sz w:val="23"/>
        </w:rPr>
        <w:t> </w:t>
      </w:r>
      <w:r>
        <w:rPr>
          <w:sz w:val="23"/>
        </w:rPr>
        <w:t>management</w:t>
      </w:r>
      <w:r>
        <w:rPr>
          <w:spacing w:val="-9"/>
          <w:sz w:val="23"/>
        </w:rPr>
        <w:t> </w:t>
      </w:r>
      <w:r>
        <w:rPr>
          <w:sz w:val="23"/>
        </w:rPr>
        <w:t>and</w:t>
      </w:r>
      <w:r>
        <w:rPr>
          <w:spacing w:val="-26"/>
          <w:sz w:val="23"/>
        </w:rPr>
        <w:t> </w:t>
      </w:r>
      <w:r>
        <w:rPr>
          <w:sz w:val="23"/>
        </w:rPr>
        <w:t>maintenance</w:t>
      </w:r>
      <w:r>
        <w:rPr>
          <w:spacing w:val="-21"/>
          <w:sz w:val="23"/>
        </w:rPr>
        <w:t> </w:t>
      </w:r>
      <w:r>
        <w:rPr>
          <w:w w:val="90"/>
          <w:sz w:val="23"/>
        </w:rPr>
        <w:t>—</w:t>
      </w:r>
      <w:r>
        <w:rPr>
          <w:spacing w:val="-37"/>
          <w:w w:val="90"/>
          <w:sz w:val="23"/>
        </w:rPr>
        <w:t> </w:t>
      </w:r>
      <w:r>
        <w:rPr>
          <w:sz w:val="23"/>
        </w:rPr>
        <w:t>this</w:t>
      </w:r>
      <w:r>
        <w:rPr>
          <w:spacing w:val="-30"/>
          <w:sz w:val="23"/>
        </w:rPr>
        <w:t> </w:t>
      </w:r>
      <w:r>
        <w:rPr>
          <w:sz w:val="23"/>
        </w:rPr>
        <w:t>includes</w:t>
      </w:r>
      <w:r>
        <w:rPr>
          <w:spacing w:val="-21"/>
          <w:sz w:val="23"/>
        </w:rPr>
        <w:t> </w:t>
      </w:r>
      <w:r>
        <w:rPr>
          <w:sz w:val="23"/>
        </w:rPr>
        <w:t>developing</w:t>
      </w:r>
      <w:r>
        <w:rPr>
          <w:spacing w:val="-11"/>
          <w:sz w:val="23"/>
        </w:rPr>
        <w:t> </w:t>
      </w:r>
      <w:r>
        <w:rPr>
          <w:sz w:val="23"/>
        </w:rPr>
        <w:t>a</w:t>
      </w:r>
      <w:r>
        <w:rPr>
          <w:spacing w:val="-33"/>
          <w:sz w:val="23"/>
        </w:rPr>
        <w:t> </w:t>
      </w:r>
      <w:r>
        <w:rPr>
          <w:sz w:val="23"/>
        </w:rPr>
        <w:t>register</w:t>
      </w:r>
      <w:r>
        <w:rPr>
          <w:spacing w:val="-25"/>
          <w:sz w:val="23"/>
        </w:rPr>
        <w:t> </w:t>
      </w:r>
      <w:r>
        <w:rPr>
          <w:sz w:val="23"/>
        </w:rPr>
        <w:t>for</w:t>
      </w:r>
      <w:r>
        <w:rPr>
          <w:spacing w:val="-30"/>
          <w:sz w:val="23"/>
        </w:rPr>
        <w:t> </w:t>
      </w:r>
      <w:r>
        <w:rPr>
          <w:sz w:val="23"/>
        </w:rPr>
        <w:t>recording</w:t>
      </w:r>
      <w:r>
        <w:rPr>
          <w:spacing w:val="-19"/>
          <w:sz w:val="23"/>
        </w:rPr>
        <w:t> </w:t>
      </w:r>
      <w:r>
        <w:rPr>
          <w:sz w:val="23"/>
        </w:rPr>
        <w:t>flood risk assets, planning routine inspection and maintenance of assets and undertaking asset maintenance</w:t>
      </w:r>
      <w:r>
        <w:rPr>
          <w:spacing w:val="12"/>
          <w:sz w:val="23"/>
        </w:rPr>
        <w:t> </w:t>
      </w:r>
      <w:r>
        <w:rPr>
          <w:sz w:val="23"/>
        </w:rPr>
        <w:t>works.</w:t>
      </w:r>
    </w:p>
    <w:p>
      <w:pPr>
        <w:spacing w:after="0" w:line="266" w:lineRule="auto"/>
        <w:jc w:val="left"/>
        <w:rPr>
          <w:sz w:val="23"/>
        </w:rPr>
        <w:sectPr>
          <w:pgSz w:w="11920" w:h="16850"/>
          <w:pgMar w:header="0" w:footer="1246" w:top="580" w:bottom="1440" w:left="440" w:right="560"/>
        </w:sect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ListParagraph"/>
        <w:numPr>
          <w:ilvl w:val="0"/>
          <w:numId w:val="13"/>
        </w:numPr>
        <w:tabs>
          <w:tab w:pos="974" w:val="left" w:leader="none"/>
          <w:tab w:pos="975" w:val="left" w:leader="none"/>
        </w:tabs>
        <w:spacing w:line="240" w:lineRule="auto" w:before="90" w:after="0"/>
        <w:ind w:left="974" w:right="0" w:hanging="854"/>
        <w:jc w:val="left"/>
        <w:rPr>
          <w:sz w:val="32"/>
        </w:rPr>
      </w:pPr>
      <w:r>
        <w:rPr/>
        <w:pict>
          <v:line style="position:absolute;mso-position-horizontal-relative:page;mso-position-vertical-relative:paragraph;z-index:992;mso-wrap-distance-left:0;mso-wrap-distance-right:0" from="27.837641pt,25.867392pt" to="562.272212pt,25.867392pt" stroked="true" strokeweight="1.1999pt" strokecolor="#bc5460">
            <v:stroke dashstyle="solid"/>
            <w10:wrap type="topAndBottom"/>
          </v:line>
        </w:pict>
      </w:r>
      <w:r>
        <w:rPr/>
        <w:pict>
          <v:group style="position:absolute;margin-left:123.349602pt;margin-top:-50.806358pt;width:5.3pt;height:35.050pt;mso-position-horizontal-relative:page;mso-position-vertical-relative:paragraph;z-index:3064" coordorigin="2467,-1016" coordsize="106,701">
            <v:shape style="position:absolute;left:2467;top:-1017;width:106;height:48" type="#_x0000_t75" stroked="false">
              <v:imagedata r:id="rId14" o:title=""/>
            </v:shape>
            <v:shape style="position:absolute;left:2486;top:-354;width:87;height:39" type="#_x0000_t75" stroked="false">
              <v:imagedata r:id="rId15" o:title=""/>
            </v:shape>
            <v:line style="position:absolute" from="2515,-1016" to="2515,-325" stroked="true" strokeweight="4.799592pt" strokecolor="#ff6477">
              <v:stroke dashstyle="solid"/>
            </v:line>
            <w10:wrap type="none"/>
          </v:group>
        </w:pict>
      </w:r>
      <w:bookmarkStart w:name="Leeds LFRMS 2018 Update_Page_43" w:id="60"/>
      <w:bookmarkEnd w:id="60"/>
      <w:r>
        <w:rPr/>
      </w:r>
      <w:bookmarkStart w:name="Leeds LFRMS 2018 Update_Page_43" w:id="61"/>
      <w:bookmarkEnd w:id="61"/>
      <w:r>
        <w:rPr>
          <w:sz w:val="32"/>
        </w:rPr>
        <w:t>REVIEWIN</w:t>
      </w:r>
      <w:r>
        <w:rPr>
          <w:sz w:val="32"/>
        </w:rPr>
        <w:t>G AND MONITORING THE</w:t>
      </w:r>
      <w:r>
        <w:rPr>
          <w:spacing w:val="-10"/>
          <w:sz w:val="32"/>
        </w:rPr>
        <w:t> </w:t>
      </w:r>
      <w:r>
        <w:rPr>
          <w:sz w:val="32"/>
        </w:rPr>
        <w:t>STRATEGY</w:t>
      </w:r>
    </w:p>
    <w:p>
      <w:pPr>
        <w:pStyle w:val="BodyText"/>
        <w:spacing w:line="266" w:lineRule="auto" w:before="211"/>
        <w:ind w:left="975" w:firstLine="3"/>
      </w:pPr>
      <w:r>
        <w:rPr/>
        <w:t>It is expected that this strategy will be reviewed once every six years, which will link the LFRMS review</w:t>
      </w:r>
      <w:r>
        <w:rPr>
          <w:spacing w:val="-22"/>
        </w:rPr>
        <w:t> </w:t>
      </w:r>
      <w:r>
        <w:rPr/>
        <w:t>with</w:t>
      </w:r>
      <w:r>
        <w:rPr>
          <w:spacing w:val="-27"/>
        </w:rPr>
        <w:t> </w:t>
      </w:r>
      <w:r>
        <w:rPr/>
        <w:t>the</w:t>
      </w:r>
      <w:r>
        <w:rPr>
          <w:spacing w:val="-27"/>
        </w:rPr>
        <w:t> </w:t>
      </w:r>
      <w:r>
        <w:rPr/>
        <w:t>cycle</w:t>
      </w:r>
      <w:r>
        <w:rPr>
          <w:spacing w:val="-21"/>
        </w:rPr>
        <w:t> </w:t>
      </w:r>
      <w:r>
        <w:rPr/>
        <w:t>for</w:t>
      </w:r>
      <w:r>
        <w:rPr>
          <w:spacing w:val="-30"/>
        </w:rPr>
        <w:t> </w:t>
      </w:r>
      <w:r>
        <w:rPr/>
        <w:t>reviewing</w:t>
      </w:r>
      <w:r>
        <w:rPr>
          <w:spacing w:val="-20"/>
        </w:rPr>
        <w:t> </w:t>
      </w:r>
      <w:r>
        <w:rPr/>
        <w:t>the</w:t>
      </w:r>
      <w:r>
        <w:rPr>
          <w:spacing w:val="-27"/>
        </w:rPr>
        <w:t> </w:t>
      </w:r>
      <w:r>
        <w:rPr/>
        <w:t>PFRA,</w:t>
      </w:r>
      <w:r>
        <w:rPr>
          <w:spacing w:val="-19"/>
        </w:rPr>
        <w:t> </w:t>
      </w:r>
      <w:r>
        <w:rPr/>
        <w:t>as</w:t>
      </w:r>
      <w:r>
        <w:rPr>
          <w:spacing w:val="-27"/>
        </w:rPr>
        <w:t> </w:t>
      </w:r>
      <w:r>
        <w:rPr/>
        <w:t>outlined</w:t>
      </w:r>
      <w:r>
        <w:rPr>
          <w:spacing w:val="-26"/>
        </w:rPr>
        <w:t> </w:t>
      </w:r>
      <w:r>
        <w:rPr/>
        <w:t>in</w:t>
      </w:r>
      <w:r>
        <w:rPr>
          <w:spacing w:val="-29"/>
        </w:rPr>
        <w:t> </w:t>
      </w:r>
      <w:r>
        <w:rPr/>
        <w:t>the</w:t>
      </w:r>
      <w:r>
        <w:rPr>
          <w:spacing w:val="-21"/>
        </w:rPr>
        <w:t> </w:t>
      </w:r>
      <w:r>
        <w:rPr/>
        <w:t>FRR.</w:t>
      </w:r>
      <w:r>
        <w:rPr>
          <w:spacing w:val="-28"/>
        </w:rPr>
        <w:t> </w:t>
      </w:r>
      <w:r>
        <w:rPr/>
        <w:t>As</w:t>
      </w:r>
      <w:r>
        <w:rPr>
          <w:spacing w:val="-27"/>
        </w:rPr>
        <w:t> </w:t>
      </w:r>
      <w:r>
        <w:rPr/>
        <w:t>such,</w:t>
      </w:r>
      <w:r>
        <w:rPr>
          <w:spacing w:val="-24"/>
        </w:rPr>
        <w:t> </w:t>
      </w:r>
      <w:r>
        <w:rPr/>
        <w:t>the</w:t>
      </w:r>
      <w:r>
        <w:rPr>
          <w:spacing w:val="-29"/>
        </w:rPr>
        <w:t> </w:t>
      </w:r>
      <w:r>
        <w:rPr/>
        <w:t>third</w:t>
      </w:r>
      <w:r>
        <w:rPr>
          <w:spacing w:val="-28"/>
        </w:rPr>
        <w:t> </w:t>
      </w:r>
      <w:r>
        <w:rPr/>
        <w:t>review</w:t>
      </w:r>
      <w:r>
        <w:rPr>
          <w:spacing w:val="-13"/>
        </w:rPr>
        <w:t> </w:t>
      </w:r>
      <w:r>
        <w:rPr/>
        <w:t>of</w:t>
      </w:r>
      <w:r>
        <w:rPr>
          <w:spacing w:val="-30"/>
        </w:rPr>
        <w:t> </w:t>
      </w:r>
      <w:r>
        <w:rPr/>
        <w:t>the LFRMS is expected to be completed by December</w:t>
      </w:r>
      <w:r>
        <w:rPr>
          <w:spacing w:val="-8"/>
        </w:rPr>
        <w:t> </w:t>
      </w:r>
      <w:r>
        <w:rPr/>
        <w:t>2024.</w:t>
      </w:r>
    </w:p>
    <w:p>
      <w:pPr>
        <w:pStyle w:val="BodyText"/>
        <w:spacing w:line="266" w:lineRule="auto" w:before="108"/>
        <w:ind w:left="975" w:right="221" w:firstLine="3"/>
      </w:pPr>
      <w:r>
        <w:rPr/>
        <w:t>In</w:t>
      </w:r>
      <w:r>
        <w:rPr>
          <w:spacing w:val="-23"/>
        </w:rPr>
        <w:t> </w:t>
      </w:r>
      <w:r>
        <w:rPr/>
        <w:t>order</w:t>
      </w:r>
      <w:r>
        <w:rPr>
          <w:spacing w:val="-27"/>
        </w:rPr>
        <w:t> </w:t>
      </w:r>
      <w:r>
        <w:rPr/>
        <w:t>to</w:t>
      </w:r>
      <w:r>
        <w:rPr>
          <w:spacing w:val="-30"/>
        </w:rPr>
        <w:t> </w:t>
      </w:r>
      <w:r>
        <w:rPr/>
        <w:t>monitor</w:t>
      </w:r>
      <w:r>
        <w:rPr>
          <w:spacing w:val="-21"/>
        </w:rPr>
        <w:t> </w:t>
      </w:r>
      <w:r>
        <w:rPr/>
        <w:t>the</w:t>
      </w:r>
      <w:r>
        <w:rPr>
          <w:spacing w:val="-27"/>
        </w:rPr>
        <w:t> </w:t>
      </w:r>
      <w:r>
        <w:rPr/>
        <w:t>implementation</w:t>
      </w:r>
      <w:r>
        <w:rPr>
          <w:spacing w:val="-24"/>
        </w:rPr>
        <w:t> </w:t>
      </w:r>
      <w:r>
        <w:rPr/>
        <w:t>of</w:t>
      </w:r>
      <w:r>
        <w:rPr>
          <w:spacing w:val="-31"/>
        </w:rPr>
        <w:t> </w:t>
      </w:r>
      <w:r>
        <w:rPr/>
        <w:t>the</w:t>
      </w:r>
      <w:r>
        <w:rPr>
          <w:spacing w:val="-23"/>
        </w:rPr>
        <w:t> </w:t>
      </w:r>
      <w:r>
        <w:rPr/>
        <w:t>LFRMS</w:t>
      </w:r>
      <w:r>
        <w:rPr>
          <w:spacing w:val="-20"/>
        </w:rPr>
        <w:t> </w:t>
      </w:r>
      <w:r>
        <w:rPr/>
        <w:t>in</w:t>
      </w:r>
      <w:r>
        <w:rPr>
          <w:spacing w:val="-26"/>
        </w:rPr>
        <w:t> </w:t>
      </w:r>
      <w:r>
        <w:rPr/>
        <w:t>the</w:t>
      </w:r>
      <w:r>
        <w:rPr>
          <w:spacing w:val="-27"/>
        </w:rPr>
        <w:t> </w:t>
      </w:r>
      <w:r>
        <w:rPr/>
        <w:t>last</w:t>
      </w:r>
      <w:r>
        <w:rPr>
          <w:spacing w:val="-24"/>
        </w:rPr>
        <w:t> </w:t>
      </w:r>
      <w:r>
        <w:rPr/>
        <w:t>review</w:t>
      </w:r>
      <w:r>
        <w:rPr>
          <w:spacing w:val="-10"/>
        </w:rPr>
        <w:t> </w:t>
      </w:r>
      <w:r>
        <w:rPr/>
        <w:t>cycle,</w:t>
      </w:r>
      <w:r>
        <w:rPr>
          <w:spacing w:val="-16"/>
        </w:rPr>
        <w:t> </w:t>
      </w:r>
      <w:r>
        <w:rPr/>
        <w:t>eight</w:t>
      </w:r>
      <w:r>
        <w:rPr>
          <w:spacing w:val="-21"/>
        </w:rPr>
        <w:t> </w:t>
      </w:r>
      <w:r>
        <w:rPr/>
        <w:t>monitoring indicators</w:t>
      </w:r>
      <w:r>
        <w:rPr>
          <w:spacing w:val="-31"/>
        </w:rPr>
        <w:t> </w:t>
      </w:r>
      <w:r>
        <w:rPr/>
        <w:t>were</w:t>
      </w:r>
      <w:r>
        <w:rPr>
          <w:spacing w:val="-32"/>
        </w:rPr>
        <w:t> </w:t>
      </w:r>
      <w:r>
        <w:rPr/>
        <w:t>used.</w:t>
      </w:r>
      <w:r>
        <w:rPr>
          <w:spacing w:val="-21"/>
        </w:rPr>
        <w:t> </w:t>
      </w:r>
      <w:r>
        <w:rPr/>
        <w:t>These</w:t>
      </w:r>
      <w:r>
        <w:rPr>
          <w:spacing w:val="-32"/>
        </w:rPr>
        <w:t> </w:t>
      </w:r>
      <w:r>
        <w:rPr/>
        <w:t>indicators</w:t>
      </w:r>
      <w:r>
        <w:rPr>
          <w:spacing w:val="-30"/>
        </w:rPr>
        <w:t> </w:t>
      </w:r>
      <w:r>
        <w:rPr/>
        <w:t>were</w:t>
      </w:r>
      <w:r>
        <w:rPr>
          <w:spacing w:val="-32"/>
        </w:rPr>
        <w:t> </w:t>
      </w:r>
      <w:r>
        <w:rPr/>
        <w:t>identified</w:t>
      </w:r>
      <w:r>
        <w:rPr>
          <w:spacing w:val="-23"/>
        </w:rPr>
        <w:t> </w:t>
      </w:r>
      <w:r>
        <w:rPr/>
        <w:t>as</w:t>
      </w:r>
      <w:r>
        <w:rPr>
          <w:spacing w:val="-41"/>
        </w:rPr>
        <w:t> </w:t>
      </w:r>
      <w:r>
        <w:rPr/>
        <w:t>part</w:t>
      </w:r>
      <w:r>
        <w:rPr>
          <w:spacing w:val="-32"/>
        </w:rPr>
        <w:t> </w:t>
      </w:r>
      <w:r>
        <w:rPr/>
        <w:t>of</w:t>
      </w:r>
      <w:r>
        <w:rPr>
          <w:spacing w:val="-32"/>
        </w:rPr>
        <w:t> </w:t>
      </w:r>
      <w:r>
        <w:rPr/>
        <w:t>the</w:t>
      </w:r>
      <w:r>
        <w:rPr>
          <w:spacing w:val="-32"/>
        </w:rPr>
        <w:t> </w:t>
      </w:r>
      <w:r>
        <w:rPr/>
        <w:t>SEA</w:t>
      </w:r>
      <w:r>
        <w:rPr>
          <w:spacing w:val="-34"/>
        </w:rPr>
        <w:t> </w:t>
      </w:r>
      <w:r>
        <w:rPr/>
        <w:t>process,</w:t>
      </w:r>
      <w:r>
        <w:rPr>
          <w:spacing w:val="-27"/>
        </w:rPr>
        <w:t> </w:t>
      </w:r>
      <w:r>
        <w:rPr/>
        <w:t>and</w:t>
      </w:r>
      <w:r>
        <w:rPr>
          <w:spacing w:val="-29"/>
        </w:rPr>
        <w:t> </w:t>
      </w:r>
      <w:r>
        <w:rPr/>
        <w:t>are</w:t>
      </w:r>
      <w:r>
        <w:rPr>
          <w:spacing w:val="-35"/>
        </w:rPr>
        <w:t> </w:t>
      </w:r>
      <w:r>
        <w:rPr/>
        <w:t>listed below:</w:t>
      </w:r>
    </w:p>
    <w:p>
      <w:pPr>
        <w:pStyle w:val="ListParagraph"/>
        <w:numPr>
          <w:ilvl w:val="0"/>
          <w:numId w:val="19"/>
        </w:numPr>
        <w:tabs>
          <w:tab w:pos="1407" w:val="left" w:leader="none"/>
          <w:tab w:pos="1408" w:val="left" w:leader="none"/>
        </w:tabs>
        <w:spacing w:line="240" w:lineRule="auto" w:before="118" w:after="0"/>
        <w:ind w:left="1397" w:right="0" w:hanging="413"/>
        <w:jc w:val="left"/>
        <w:rPr>
          <w:sz w:val="23"/>
        </w:rPr>
      </w:pPr>
      <w:r>
        <w:rPr>
          <w:sz w:val="23"/>
        </w:rPr>
        <w:t>The number of measures in the List of Measures’ which have been</w:t>
      </w:r>
      <w:r>
        <w:rPr>
          <w:spacing w:val="-34"/>
          <w:sz w:val="23"/>
        </w:rPr>
        <w:t> </w:t>
      </w:r>
      <w:r>
        <w:rPr>
          <w:sz w:val="23"/>
        </w:rPr>
        <w:t>completed?</w:t>
      </w:r>
    </w:p>
    <w:p>
      <w:pPr>
        <w:pStyle w:val="ListParagraph"/>
        <w:numPr>
          <w:ilvl w:val="0"/>
          <w:numId w:val="19"/>
        </w:numPr>
        <w:tabs>
          <w:tab w:pos="1403" w:val="left" w:leader="none"/>
          <w:tab w:pos="1404" w:val="left" w:leader="none"/>
        </w:tabs>
        <w:spacing w:line="271" w:lineRule="auto" w:before="23" w:after="0"/>
        <w:ind w:left="1397" w:right="407" w:hanging="414"/>
        <w:jc w:val="left"/>
        <w:rPr>
          <w:sz w:val="23"/>
        </w:rPr>
      </w:pPr>
      <w:r>
        <w:rPr>
          <w:sz w:val="23"/>
        </w:rPr>
        <w:t>Are</w:t>
      </w:r>
      <w:r>
        <w:rPr>
          <w:spacing w:val="-32"/>
          <w:sz w:val="23"/>
        </w:rPr>
        <w:t> </w:t>
      </w:r>
      <w:r>
        <w:rPr>
          <w:sz w:val="23"/>
        </w:rPr>
        <w:t>there</w:t>
      </w:r>
      <w:r>
        <w:rPr>
          <w:spacing w:val="-28"/>
          <w:sz w:val="23"/>
        </w:rPr>
        <w:t> </w:t>
      </w:r>
      <w:r>
        <w:rPr>
          <w:sz w:val="23"/>
        </w:rPr>
        <w:t>active</w:t>
      </w:r>
      <w:r>
        <w:rPr>
          <w:spacing w:val="-32"/>
          <w:sz w:val="23"/>
        </w:rPr>
        <w:t> </w:t>
      </w:r>
      <w:r>
        <w:rPr>
          <w:sz w:val="23"/>
        </w:rPr>
        <w:t>measures</w:t>
      </w:r>
      <w:r>
        <w:rPr>
          <w:spacing w:val="-28"/>
          <w:sz w:val="23"/>
        </w:rPr>
        <w:t> </w:t>
      </w:r>
      <w:r>
        <w:rPr>
          <w:sz w:val="23"/>
        </w:rPr>
        <w:t>in</w:t>
      </w:r>
      <w:r>
        <w:rPr>
          <w:spacing w:val="-26"/>
          <w:sz w:val="23"/>
        </w:rPr>
        <w:t> </w:t>
      </w:r>
      <w:r>
        <w:rPr>
          <w:sz w:val="23"/>
        </w:rPr>
        <w:t>the</w:t>
      </w:r>
      <w:r>
        <w:rPr>
          <w:spacing w:val="-33"/>
          <w:sz w:val="23"/>
        </w:rPr>
        <w:t> </w:t>
      </w:r>
      <w:r>
        <w:rPr>
          <w:sz w:val="23"/>
        </w:rPr>
        <w:t>‘List</w:t>
      </w:r>
      <w:r>
        <w:rPr>
          <w:spacing w:val="-23"/>
          <w:sz w:val="23"/>
        </w:rPr>
        <w:t> </w:t>
      </w:r>
      <w:r>
        <w:rPr>
          <w:sz w:val="23"/>
        </w:rPr>
        <w:t>of</w:t>
      </w:r>
      <w:r>
        <w:rPr>
          <w:spacing w:val="-31"/>
          <w:sz w:val="23"/>
        </w:rPr>
        <w:t> </w:t>
      </w:r>
      <w:r>
        <w:rPr>
          <w:sz w:val="23"/>
        </w:rPr>
        <w:t>Measures’</w:t>
      </w:r>
      <w:r>
        <w:rPr>
          <w:spacing w:val="-15"/>
          <w:sz w:val="23"/>
        </w:rPr>
        <w:t> </w:t>
      </w:r>
      <w:r>
        <w:rPr>
          <w:sz w:val="23"/>
        </w:rPr>
        <w:t>which</w:t>
      </w:r>
      <w:r>
        <w:rPr>
          <w:spacing w:val="-25"/>
          <w:sz w:val="23"/>
        </w:rPr>
        <w:t> </w:t>
      </w:r>
      <w:r>
        <w:rPr>
          <w:sz w:val="23"/>
        </w:rPr>
        <w:t>cover</w:t>
      </w:r>
      <w:r>
        <w:rPr>
          <w:spacing w:val="-26"/>
          <w:sz w:val="23"/>
        </w:rPr>
        <w:t> </w:t>
      </w:r>
      <w:r>
        <w:rPr>
          <w:sz w:val="23"/>
        </w:rPr>
        <w:t>each</w:t>
      </w:r>
      <w:r>
        <w:rPr>
          <w:spacing w:val="-25"/>
          <w:sz w:val="23"/>
        </w:rPr>
        <w:t> </w:t>
      </w:r>
      <w:r>
        <w:rPr>
          <w:sz w:val="23"/>
        </w:rPr>
        <w:t>of</w:t>
      </w:r>
      <w:r>
        <w:rPr>
          <w:spacing w:val="-30"/>
          <w:sz w:val="23"/>
        </w:rPr>
        <w:t> </w:t>
      </w:r>
      <w:r>
        <w:rPr>
          <w:sz w:val="23"/>
        </w:rPr>
        <w:t>the</w:t>
      </w:r>
      <w:r>
        <w:rPr>
          <w:spacing w:val="-28"/>
          <w:sz w:val="23"/>
        </w:rPr>
        <w:t> </w:t>
      </w:r>
      <w:r>
        <w:rPr>
          <w:sz w:val="23"/>
        </w:rPr>
        <w:t>six</w:t>
      </w:r>
      <w:r>
        <w:rPr>
          <w:spacing w:val="-32"/>
          <w:sz w:val="23"/>
        </w:rPr>
        <w:t> </w:t>
      </w:r>
      <w:r>
        <w:rPr>
          <w:sz w:val="23"/>
        </w:rPr>
        <w:t>‘Objectives</w:t>
      </w:r>
      <w:r>
        <w:rPr>
          <w:spacing w:val="-23"/>
          <w:sz w:val="23"/>
        </w:rPr>
        <w:t> </w:t>
      </w:r>
      <w:r>
        <w:rPr>
          <w:sz w:val="23"/>
        </w:rPr>
        <w:t>for managing flood</w:t>
      </w:r>
      <w:r>
        <w:rPr>
          <w:spacing w:val="25"/>
          <w:sz w:val="23"/>
        </w:rPr>
        <w:t> </w:t>
      </w:r>
      <w:r>
        <w:rPr>
          <w:sz w:val="23"/>
        </w:rPr>
        <w:t>risk’?</w:t>
      </w:r>
    </w:p>
    <w:p>
      <w:pPr>
        <w:pStyle w:val="ListParagraph"/>
        <w:numPr>
          <w:ilvl w:val="0"/>
          <w:numId w:val="19"/>
        </w:numPr>
        <w:tabs>
          <w:tab w:pos="1400" w:val="left" w:leader="none"/>
          <w:tab w:pos="1401" w:val="left" w:leader="none"/>
        </w:tabs>
        <w:spacing w:line="261" w:lineRule="auto" w:before="0" w:after="0"/>
        <w:ind w:left="1402" w:right="304" w:hanging="422"/>
        <w:jc w:val="left"/>
        <w:rPr>
          <w:sz w:val="23"/>
        </w:rPr>
      </w:pPr>
      <w:r>
        <w:rPr>
          <w:sz w:val="23"/>
        </w:rPr>
        <w:t>Improving</w:t>
      </w:r>
      <w:r>
        <w:rPr>
          <w:spacing w:val="-31"/>
          <w:sz w:val="23"/>
        </w:rPr>
        <w:t> </w:t>
      </w:r>
      <w:r>
        <w:rPr>
          <w:sz w:val="23"/>
        </w:rPr>
        <w:t>engagement</w:t>
      </w:r>
      <w:r>
        <w:rPr>
          <w:spacing w:val="-28"/>
          <w:sz w:val="23"/>
        </w:rPr>
        <w:t> </w:t>
      </w:r>
      <w:r>
        <w:rPr>
          <w:sz w:val="23"/>
        </w:rPr>
        <w:t>on</w:t>
      </w:r>
      <w:r>
        <w:rPr>
          <w:spacing w:val="-38"/>
          <w:sz w:val="23"/>
        </w:rPr>
        <w:t> </w:t>
      </w:r>
      <w:r>
        <w:rPr>
          <w:sz w:val="23"/>
        </w:rPr>
        <w:t>flood</w:t>
      </w:r>
      <w:r>
        <w:rPr>
          <w:spacing w:val="-37"/>
          <w:sz w:val="23"/>
        </w:rPr>
        <w:t> </w:t>
      </w:r>
      <w:r>
        <w:rPr>
          <w:sz w:val="23"/>
        </w:rPr>
        <w:t>risk</w:t>
      </w:r>
      <w:r>
        <w:rPr>
          <w:spacing w:val="-40"/>
          <w:sz w:val="23"/>
        </w:rPr>
        <w:t> </w:t>
      </w:r>
      <w:r>
        <w:rPr>
          <w:sz w:val="23"/>
        </w:rPr>
        <w:t>-</w:t>
      </w:r>
      <w:r>
        <w:rPr>
          <w:spacing w:val="-38"/>
          <w:sz w:val="23"/>
        </w:rPr>
        <w:t> </w:t>
      </w:r>
      <w:r>
        <w:rPr>
          <w:sz w:val="23"/>
        </w:rPr>
        <w:t>How</w:t>
      </w:r>
      <w:r>
        <w:rPr>
          <w:spacing w:val="-32"/>
          <w:sz w:val="23"/>
        </w:rPr>
        <w:t> </w:t>
      </w:r>
      <w:r>
        <w:rPr>
          <w:sz w:val="23"/>
        </w:rPr>
        <w:t>many</w:t>
      </w:r>
      <w:r>
        <w:rPr>
          <w:spacing w:val="-35"/>
          <w:sz w:val="23"/>
        </w:rPr>
        <w:t> </w:t>
      </w:r>
      <w:r>
        <w:rPr>
          <w:sz w:val="23"/>
        </w:rPr>
        <w:t>public</w:t>
      </w:r>
      <w:r>
        <w:rPr>
          <w:spacing w:val="-35"/>
          <w:sz w:val="23"/>
        </w:rPr>
        <w:t> </w:t>
      </w:r>
      <w:r>
        <w:rPr>
          <w:sz w:val="23"/>
        </w:rPr>
        <w:t>engagement</w:t>
      </w:r>
      <w:r>
        <w:rPr>
          <w:spacing w:val="-25"/>
          <w:sz w:val="23"/>
        </w:rPr>
        <w:t> </w:t>
      </w:r>
      <w:r>
        <w:rPr>
          <w:sz w:val="23"/>
        </w:rPr>
        <w:t>events</w:t>
      </w:r>
      <w:r>
        <w:rPr>
          <w:spacing w:val="-36"/>
          <w:sz w:val="23"/>
        </w:rPr>
        <w:t> </w:t>
      </w:r>
      <w:r>
        <w:rPr>
          <w:sz w:val="23"/>
        </w:rPr>
        <w:t>have</w:t>
      </w:r>
      <w:r>
        <w:rPr>
          <w:spacing w:val="-38"/>
          <w:sz w:val="23"/>
        </w:rPr>
        <w:t> </w:t>
      </w:r>
      <w:r>
        <w:rPr>
          <w:sz w:val="23"/>
        </w:rPr>
        <w:t>taken</w:t>
      </w:r>
      <w:r>
        <w:rPr>
          <w:spacing w:val="-33"/>
          <w:sz w:val="23"/>
        </w:rPr>
        <w:t> </w:t>
      </w:r>
      <w:r>
        <w:rPr>
          <w:sz w:val="23"/>
        </w:rPr>
        <w:t>place? School events, flood fairs, flood action group</w:t>
      </w:r>
      <w:r>
        <w:rPr>
          <w:spacing w:val="42"/>
          <w:sz w:val="23"/>
        </w:rPr>
        <w:t> </w:t>
      </w:r>
      <w:r>
        <w:rPr>
          <w:sz w:val="23"/>
        </w:rPr>
        <w:t>meetings.</w:t>
      </w:r>
    </w:p>
    <w:p>
      <w:pPr>
        <w:pStyle w:val="ListParagraph"/>
        <w:numPr>
          <w:ilvl w:val="0"/>
          <w:numId w:val="19"/>
        </w:numPr>
        <w:tabs>
          <w:tab w:pos="1407" w:val="left" w:leader="none"/>
          <w:tab w:pos="1408" w:val="left" w:leader="none"/>
        </w:tabs>
        <w:spacing w:line="261" w:lineRule="auto" w:before="0" w:after="0"/>
        <w:ind w:left="1403" w:right="722" w:hanging="416"/>
        <w:jc w:val="left"/>
        <w:rPr>
          <w:sz w:val="23"/>
        </w:rPr>
      </w:pPr>
      <w:r>
        <w:rPr>
          <w:sz w:val="23"/>
        </w:rPr>
        <w:t>The</w:t>
      </w:r>
      <w:r>
        <w:rPr>
          <w:spacing w:val="-42"/>
          <w:sz w:val="23"/>
        </w:rPr>
        <w:t> </w:t>
      </w:r>
      <w:r>
        <w:rPr>
          <w:sz w:val="23"/>
        </w:rPr>
        <w:t>number</w:t>
      </w:r>
      <w:r>
        <w:rPr>
          <w:spacing w:val="-33"/>
          <w:sz w:val="23"/>
        </w:rPr>
        <w:t> </w:t>
      </w:r>
      <w:r>
        <w:rPr>
          <w:sz w:val="23"/>
        </w:rPr>
        <w:t>of</w:t>
      </w:r>
      <w:r>
        <w:rPr>
          <w:spacing w:val="-40"/>
          <w:sz w:val="23"/>
        </w:rPr>
        <w:t> </w:t>
      </w:r>
      <w:r>
        <w:rPr>
          <w:sz w:val="23"/>
        </w:rPr>
        <w:t>new</w:t>
      </w:r>
      <w:r>
        <w:rPr>
          <w:spacing w:val="-31"/>
          <w:sz w:val="23"/>
        </w:rPr>
        <w:t> </w:t>
      </w:r>
      <w:r>
        <w:rPr>
          <w:sz w:val="23"/>
        </w:rPr>
        <w:t>developments</w:t>
      </w:r>
      <w:r>
        <w:rPr>
          <w:spacing w:val="-33"/>
          <w:sz w:val="23"/>
        </w:rPr>
        <w:t> </w:t>
      </w:r>
      <w:r>
        <w:rPr>
          <w:sz w:val="23"/>
        </w:rPr>
        <w:t>where</w:t>
      </w:r>
      <w:r>
        <w:rPr>
          <w:spacing w:val="-39"/>
          <w:sz w:val="23"/>
        </w:rPr>
        <w:t> </w:t>
      </w:r>
      <w:r>
        <w:rPr>
          <w:sz w:val="23"/>
        </w:rPr>
        <w:t>SuDS</w:t>
      </w:r>
      <w:r>
        <w:rPr>
          <w:spacing w:val="-35"/>
          <w:sz w:val="23"/>
        </w:rPr>
        <w:t> </w:t>
      </w:r>
      <w:r>
        <w:rPr>
          <w:sz w:val="23"/>
        </w:rPr>
        <w:t>have</w:t>
      </w:r>
      <w:r>
        <w:rPr>
          <w:spacing w:val="-36"/>
          <w:sz w:val="23"/>
        </w:rPr>
        <w:t> </w:t>
      </w:r>
      <w:r>
        <w:rPr>
          <w:sz w:val="23"/>
        </w:rPr>
        <w:t>been</w:t>
      </w:r>
      <w:r>
        <w:rPr>
          <w:spacing w:val="-39"/>
          <w:sz w:val="23"/>
        </w:rPr>
        <w:t> </w:t>
      </w:r>
      <w:r>
        <w:rPr>
          <w:sz w:val="23"/>
        </w:rPr>
        <w:t>installed?</w:t>
      </w:r>
      <w:r>
        <w:rPr>
          <w:spacing w:val="-38"/>
          <w:sz w:val="23"/>
        </w:rPr>
        <w:t> </w:t>
      </w:r>
      <w:r>
        <w:rPr>
          <w:sz w:val="23"/>
        </w:rPr>
        <w:t>Include</w:t>
      </w:r>
      <w:r>
        <w:rPr>
          <w:spacing w:val="-33"/>
          <w:sz w:val="23"/>
        </w:rPr>
        <w:t> </w:t>
      </w:r>
      <w:r>
        <w:rPr>
          <w:sz w:val="23"/>
        </w:rPr>
        <w:t>SuDS,</w:t>
      </w:r>
      <w:r>
        <w:rPr>
          <w:spacing w:val="-32"/>
          <w:sz w:val="23"/>
        </w:rPr>
        <w:t> </w:t>
      </w:r>
      <w:r>
        <w:rPr>
          <w:sz w:val="23"/>
        </w:rPr>
        <w:t>green corridors,</w:t>
      </w:r>
      <w:r>
        <w:rPr>
          <w:spacing w:val="-11"/>
          <w:sz w:val="23"/>
        </w:rPr>
        <w:t> </w:t>
      </w:r>
      <w:r>
        <w:rPr>
          <w:sz w:val="23"/>
        </w:rPr>
        <w:t>rainwater</w:t>
      </w:r>
      <w:r>
        <w:rPr>
          <w:spacing w:val="-11"/>
          <w:sz w:val="23"/>
        </w:rPr>
        <w:t> </w:t>
      </w:r>
      <w:r>
        <w:rPr>
          <w:sz w:val="23"/>
        </w:rPr>
        <w:t>harvesting,</w:t>
      </w:r>
      <w:r>
        <w:rPr>
          <w:spacing w:val="6"/>
          <w:sz w:val="23"/>
        </w:rPr>
        <w:t> </w:t>
      </w:r>
      <w:r>
        <w:rPr>
          <w:sz w:val="23"/>
        </w:rPr>
        <w:t>green</w:t>
      </w:r>
      <w:r>
        <w:rPr>
          <w:spacing w:val="-5"/>
          <w:sz w:val="23"/>
        </w:rPr>
        <w:t> </w:t>
      </w:r>
      <w:r>
        <w:rPr>
          <w:sz w:val="23"/>
        </w:rPr>
        <w:t>roofs,</w:t>
      </w:r>
      <w:r>
        <w:rPr>
          <w:spacing w:val="-17"/>
          <w:sz w:val="23"/>
        </w:rPr>
        <w:t> </w:t>
      </w:r>
      <w:r>
        <w:rPr>
          <w:sz w:val="23"/>
        </w:rPr>
        <w:t>land</w:t>
      </w:r>
      <w:r>
        <w:rPr>
          <w:spacing w:val="-17"/>
          <w:sz w:val="23"/>
        </w:rPr>
        <w:t> </w:t>
      </w:r>
      <w:r>
        <w:rPr>
          <w:sz w:val="23"/>
        </w:rPr>
        <w:t>management</w:t>
      </w:r>
      <w:r>
        <w:rPr>
          <w:spacing w:val="-3"/>
          <w:sz w:val="23"/>
        </w:rPr>
        <w:t> </w:t>
      </w:r>
      <w:r>
        <w:rPr>
          <w:sz w:val="23"/>
        </w:rPr>
        <w:t>(tree</w:t>
      </w:r>
      <w:r>
        <w:rPr>
          <w:spacing w:val="-17"/>
          <w:sz w:val="23"/>
        </w:rPr>
        <w:t> </w:t>
      </w:r>
      <w:r>
        <w:rPr>
          <w:sz w:val="23"/>
        </w:rPr>
        <w:t>planting).</w:t>
      </w:r>
    </w:p>
    <w:p>
      <w:pPr>
        <w:pStyle w:val="ListParagraph"/>
        <w:numPr>
          <w:ilvl w:val="0"/>
          <w:numId w:val="19"/>
        </w:numPr>
        <w:tabs>
          <w:tab w:pos="1403" w:val="left" w:leader="none"/>
          <w:tab w:pos="1404" w:val="left" w:leader="none"/>
        </w:tabs>
        <w:spacing w:line="261" w:lineRule="auto" w:before="0" w:after="0"/>
        <w:ind w:left="1402" w:right="507" w:hanging="422"/>
        <w:jc w:val="left"/>
        <w:rPr>
          <w:sz w:val="23"/>
        </w:rPr>
      </w:pPr>
      <w:r>
        <w:rPr>
          <w:sz w:val="23"/>
        </w:rPr>
        <w:t>Are</w:t>
      </w:r>
      <w:r>
        <w:rPr>
          <w:spacing w:val="-43"/>
          <w:sz w:val="23"/>
        </w:rPr>
        <w:t> </w:t>
      </w:r>
      <w:r>
        <w:rPr>
          <w:sz w:val="23"/>
        </w:rPr>
        <w:t>property</w:t>
      </w:r>
      <w:r>
        <w:rPr>
          <w:spacing w:val="-36"/>
          <w:sz w:val="23"/>
        </w:rPr>
        <w:t> </w:t>
      </w:r>
      <w:r>
        <w:rPr>
          <w:sz w:val="23"/>
        </w:rPr>
        <w:t>level</w:t>
      </w:r>
      <w:r>
        <w:rPr>
          <w:spacing w:val="-40"/>
          <w:sz w:val="23"/>
        </w:rPr>
        <w:t> </w:t>
      </w:r>
      <w:r>
        <w:rPr>
          <w:sz w:val="23"/>
        </w:rPr>
        <w:t>flood</w:t>
      </w:r>
      <w:r>
        <w:rPr>
          <w:spacing w:val="-41"/>
          <w:sz w:val="23"/>
        </w:rPr>
        <w:t> </w:t>
      </w:r>
      <w:r>
        <w:rPr>
          <w:sz w:val="23"/>
        </w:rPr>
        <w:t>protection</w:t>
      </w:r>
      <w:r>
        <w:rPr>
          <w:spacing w:val="-33"/>
          <w:sz w:val="23"/>
        </w:rPr>
        <w:t> </w:t>
      </w:r>
      <w:r>
        <w:rPr>
          <w:sz w:val="23"/>
        </w:rPr>
        <w:t>(PLP)</w:t>
      </w:r>
      <w:r>
        <w:rPr>
          <w:spacing w:val="-39"/>
          <w:sz w:val="23"/>
        </w:rPr>
        <w:t> </w:t>
      </w:r>
      <w:r>
        <w:rPr>
          <w:sz w:val="23"/>
        </w:rPr>
        <w:t>schemes</w:t>
      </w:r>
      <w:r>
        <w:rPr>
          <w:spacing w:val="-40"/>
          <w:sz w:val="23"/>
        </w:rPr>
        <w:t> </w:t>
      </w:r>
      <w:r>
        <w:rPr>
          <w:sz w:val="23"/>
        </w:rPr>
        <w:t>reducing</w:t>
      </w:r>
      <w:r>
        <w:rPr>
          <w:spacing w:val="-37"/>
          <w:sz w:val="23"/>
        </w:rPr>
        <w:t> </w:t>
      </w:r>
      <w:r>
        <w:rPr>
          <w:sz w:val="23"/>
        </w:rPr>
        <w:t>flood</w:t>
      </w:r>
      <w:r>
        <w:rPr>
          <w:spacing w:val="-41"/>
          <w:sz w:val="23"/>
        </w:rPr>
        <w:t> </w:t>
      </w:r>
      <w:r>
        <w:rPr>
          <w:sz w:val="23"/>
        </w:rPr>
        <w:t>risk</w:t>
      </w:r>
      <w:r>
        <w:rPr>
          <w:spacing w:val="-39"/>
          <w:sz w:val="23"/>
        </w:rPr>
        <w:t> </w:t>
      </w:r>
      <w:r>
        <w:rPr>
          <w:w w:val="90"/>
          <w:sz w:val="23"/>
        </w:rPr>
        <w:t>—</w:t>
      </w:r>
      <w:r>
        <w:rPr>
          <w:spacing w:val="-45"/>
          <w:w w:val="90"/>
          <w:sz w:val="23"/>
        </w:rPr>
        <w:t> </w:t>
      </w:r>
      <w:r>
        <w:rPr>
          <w:sz w:val="23"/>
        </w:rPr>
        <w:t>Number</w:t>
      </w:r>
      <w:r>
        <w:rPr>
          <w:spacing w:val="-38"/>
          <w:sz w:val="23"/>
        </w:rPr>
        <w:t> </w:t>
      </w:r>
      <w:r>
        <w:rPr>
          <w:sz w:val="23"/>
        </w:rPr>
        <w:t>of</w:t>
      </w:r>
      <w:r>
        <w:rPr>
          <w:spacing w:val="-45"/>
          <w:sz w:val="23"/>
        </w:rPr>
        <w:t> </w:t>
      </w:r>
      <w:r>
        <w:rPr>
          <w:sz w:val="23"/>
        </w:rPr>
        <w:t>properties where</w:t>
      </w:r>
      <w:r>
        <w:rPr>
          <w:spacing w:val="-17"/>
          <w:sz w:val="23"/>
        </w:rPr>
        <w:t> </w:t>
      </w:r>
      <w:r>
        <w:rPr>
          <w:sz w:val="23"/>
        </w:rPr>
        <w:t>PLP</w:t>
      </w:r>
      <w:r>
        <w:rPr>
          <w:spacing w:val="-9"/>
          <w:sz w:val="23"/>
        </w:rPr>
        <w:t> </w:t>
      </w:r>
      <w:r>
        <w:rPr>
          <w:sz w:val="23"/>
        </w:rPr>
        <w:t>schemes</w:t>
      </w:r>
      <w:r>
        <w:rPr>
          <w:spacing w:val="-17"/>
          <w:sz w:val="23"/>
        </w:rPr>
        <w:t> </w:t>
      </w:r>
      <w:r>
        <w:rPr>
          <w:sz w:val="23"/>
        </w:rPr>
        <w:t>have</w:t>
      </w:r>
      <w:r>
        <w:rPr>
          <w:spacing w:val="-20"/>
          <w:sz w:val="23"/>
        </w:rPr>
        <w:t> </w:t>
      </w:r>
      <w:r>
        <w:rPr>
          <w:sz w:val="23"/>
        </w:rPr>
        <w:t>been</w:t>
      </w:r>
      <w:r>
        <w:rPr>
          <w:spacing w:val="-19"/>
          <w:sz w:val="23"/>
        </w:rPr>
        <w:t> </w:t>
      </w:r>
      <w:r>
        <w:rPr>
          <w:sz w:val="23"/>
        </w:rPr>
        <w:t>installed</w:t>
      </w:r>
      <w:r>
        <w:rPr>
          <w:spacing w:val="-9"/>
          <w:sz w:val="23"/>
        </w:rPr>
        <w:t> </w:t>
      </w:r>
      <w:r>
        <w:rPr>
          <w:sz w:val="23"/>
        </w:rPr>
        <w:t>and</w:t>
      </w:r>
      <w:r>
        <w:rPr>
          <w:spacing w:val="-14"/>
          <w:sz w:val="23"/>
        </w:rPr>
        <w:t> </w:t>
      </w:r>
      <w:r>
        <w:rPr>
          <w:sz w:val="23"/>
        </w:rPr>
        <w:t>operated</w:t>
      </w:r>
      <w:r>
        <w:rPr>
          <w:spacing w:val="-11"/>
          <w:sz w:val="23"/>
        </w:rPr>
        <w:t> </w:t>
      </w:r>
      <w:r>
        <w:rPr>
          <w:sz w:val="23"/>
        </w:rPr>
        <w:t>successfully</w:t>
      </w:r>
      <w:r>
        <w:rPr>
          <w:spacing w:val="-6"/>
          <w:sz w:val="23"/>
        </w:rPr>
        <w:t> </w:t>
      </w:r>
      <w:r>
        <w:rPr>
          <w:sz w:val="23"/>
        </w:rPr>
        <w:t>in</w:t>
      </w:r>
      <w:r>
        <w:rPr>
          <w:spacing w:val="-18"/>
          <w:sz w:val="23"/>
        </w:rPr>
        <w:t> </w:t>
      </w:r>
      <w:r>
        <w:rPr>
          <w:sz w:val="23"/>
        </w:rPr>
        <w:t>a</w:t>
      </w:r>
      <w:r>
        <w:rPr>
          <w:spacing w:val="-24"/>
          <w:sz w:val="23"/>
        </w:rPr>
        <w:t> </w:t>
      </w:r>
      <w:r>
        <w:rPr>
          <w:sz w:val="23"/>
        </w:rPr>
        <w:t>flood</w:t>
      </w:r>
      <w:r>
        <w:rPr>
          <w:spacing w:val="-14"/>
          <w:sz w:val="23"/>
        </w:rPr>
        <w:t> </w:t>
      </w:r>
      <w:r>
        <w:rPr>
          <w:sz w:val="23"/>
        </w:rPr>
        <w:t>event?</w:t>
      </w:r>
    </w:p>
    <w:p>
      <w:pPr>
        <w:pStyle w:val="ListParagraph"/>
        <w:numPr>
          <w:ilvl w:val="0"/>
          <w:numId w:val="19"/>
        </w:numPr>
        <w:tabs>
          <w:tab w:pos="1404" w:val="left" w:leader="none"/>
          <w:tab w:pos="1405" w:val="left" w:leader="none"/>
        </w:tabs>
        <w:spacing w:line="240" w:lineRule="auto" w:before="5" w:after="0"/>
        <w:ind w:left="1404" w:right="0" w:hanging="423"/>
        <w:jc w:val="left"/>
        <w:rPr>
          <w:sz w:val="23"/>
        </w:rPr>
      </w:pPr>
      <w:r>
        <w:rPr>
          <w:sz w:val="23"/>
        </w:rPr>
        <w:t>Number</w:t>
      </w:r>
      <w:r>
        <w:rPr>
          <w:spacing w:val="-4"/>
          <w:sz w:val="23"/>
        </w:rPr>
        <w:t> </w:t>
      </w:r>
      <w:r>
        <w:rPr>
          <w:sz w:val="23"/>
        </w:rPr>
        <w:t>of</w:t>
      </w:r>
      <w:r>
        <w:rPr>
          <w:spacing w:val="-8"/>
          <w:sz w:val="23"/>
        </w:rPr>
        <w:t> </w:t>
      </w:r>
      <w:r>
        <w:rPr>
          <w:sz w:val="23"/>
        </w:rPr>
        <w:t>Leeds</w:t>
      </w:r>
      <w:r>
        <w:rPr>
          <w:spacing w:val="-10"/>
          <w:sz w:val="23"/>
        </w:rPr>
        <w:t> </w:t>
      </w:r>
      <w:r>
        <w:rPr>
          <w:sz w:val="23"/>
        </w:rPr>
        <w:t>City</w:t>
      </w:r>
      <w:r>
        <w:rPr>
          <w:spacing w:val="-6"/>
          <w:sz w:val="23"/>
        </w:rPr>
        <w:t> </w:t>
      </w:r>
      <w:r>
        <w:rPr>
          <w:sz w:val="23"/>
        </w:rPr>
        <w:t>Council</w:t>
      </w:r>
      <w:r>
        <w:rPr>
          <w:spacing w:val="-2"/>
          <w:sz w:val="23"/>
        </w:rPr>
        <w:t> </w:t>
      </w:r>
      <w:r>
        <w:rPr>
          <w:sz w:val="23"/>
        </w:rPr>
        <w:t>staff</w:t>
      </w:r>
      <w:r>
        <w:rPr>
          <w:spacing w:val="-5"/>
          <w:sz w:val="23"/>
        </w:rPr>
        <w:t> </w:t>
      </w:r>
      <w:r>
        <w:rPr>
          <w:sz w:val="23"/>
        </w:rPr>
        <w:t>engaged in</w:t>
      </w:r>
      <w:r>
        <w:rPr>
          <w:spacing w:val="-13"/>
          <w:sz w:val="23"/>
        </w:rPr>
        <w:t> </w:t>
      </w:r>
      <w:r>
        <w:rPr>
          <w:sz w:val="23"/>
        </w:rPr>
        <w:t>flood</w:t>
      </w:r>
      <w:r>
        <w:rPr>
          <w:spacing w:val="-12"/>
          <w:sz w:val="23"/>
        </w:rPr>
        <w:t> </w:t>
      </w:r>
      <w:r>
        <w:rPr>
          <w:sz w:val="23"/>
        </w:rPr>
        <w:t>risk</w:t>
      </w:r>
      <w:r>
        <w:rPr>
          <w:spacing w:val="-11"/>
          <w:sz w:val="23"/>
        </w:rPr>
        <w:t> </w:t>
      </w:r>
      <w:r>
        <w:rPr>
          <w:sz w:val="23"/>
        </w:rPr>
        <w:t>management</w:t>
      </w:r>
      <w:r>
        <w:rPr>
          <w:spacing w:val="6"/>
          <w:sz w:val="23"/>
        </w:rPr>
        <w:t> </w:t>
      </w:r>
      <w:r>
        <w:rPr>
          <w:sz w:val="23"/>
        </w:rPr>
        <w:t>activities?</w:t>
      </w:r>
    </w:p>
    <w:p>
      <w:pPr>
        <w:pStyle w:val="ListParagraph"/>
        <w:numPr>
          <w:ilvl w:val="0"/>
          <w:numId w:val="19"/>
        </w:numPr>
        <w:tabs>
          <w:tab w:pos="1403" w:val="left" w:leader="none"/>
          <w:tab w:pos="1405" w:val="left" w:leader="none"/>
        </w:tabs>
        <w:spacing w:line="271" w:lineRule="auto" w:before="24" w:after="0"/>
        <w:ind w:left="1401" w:right="1600" w:hanging="422"/>
        <w:jc w:val="left"/>
        <w:rPr>
          <w:sz w:val="23"/>
        </w:rPr>
      </w:pPr>
      <w:r>
        <w:rPr>
          <w:sz w:val="23"/>
        </w:rPr>
        <w:t>Reliability</w:t>
      </w:r>
      <w:r>
        <w:rPr>
          <w:spacing w:val="-30"/>
          <w:sz w:val="23"/>
        </w:rPr>
        <w:t> </w:t>
      </w:r>
      <w:r>
        <w:rPr>
          <w:sz w:val="23"/>
        </w:rPr>
        <w:t>of</w:t>
      </w:r>
      <w:r>
        <w:rPr>
          <w:spacing w:val="-43"/>
          <w:sz w:val="23"/>
        </w:rPr>
        <w:t> </w:t>
      </w:r>
      <w:r>
        <w:rPr>
          <w:sz w:val="23"/>
        </w:rPr>
        <w:t>public</w:t>
      </w:r>
      <w:r>
        <w:rPr>
          <w:spacing w:val="-34"/>
          <w:sz w:val="23"/>
        </w:rPr>
        <w:t> </w:t>
      </w:r>
      <w:r>
        <w:rPr>
          <w:sz w:val="23"/>
        </w:rPr>
        <w:t>transport</w:t>
      </w:r>
      <w:r>
        <w:rPr>
          <w:spacing w:val="-34"/>
          <w:sz w:val="23"/>
        </w:rPr>
        <w:t> </w:t>
      </w:r>
      <w:r>
        <w:rPr>
          <w:w w:val="90"/>
          <w:sz w:val="23"/>
        </w:rPr>
        <w:t>—</w:t>
      </w:r>
      <w:r>
        <w:rPr>
          <w:spacing w:val="-41"/>
          <w:w w:val="90"/>
          <w:sz w:val="23"/>
        </w:rPr>
        <w:t> </w:t>
      </w:r>
      <w:r>
        <w:rPr>
          <w:sz w:val="23"/>
        </w:rPr>
        <w:t>Number</w:t>
      </w:r>
      <w:r>
        <w:rPr>
          <w:spacing w:val="-30"/>
          <w:sz w:val="23"/>
        </w:rPr>
        <w:t> </w:t>
      </w:r>
      <w:r>
        <w:rPr>
          <w:sz w:val="23"/>
        </w:rPr>
        <w:t>of</w:t>
      </w:r>
      <w:r>
        <w:rPr>
          <w:spacing w:val="-36"/>
          <w:sz w:val="23"/>
        </w:rPr>
        <w:t> </w:t>
      </w:r>
      <w:r>
        <w:rPr>
          <w:sz w:val="23"/>
        </w:rPr>
        <w:t>Metro</w:t>
      </w:r>
      <w:r>
        <w:rPr>
          <w:spacing w:val="-38"/>
          <w:sz w:val="23"/>
        </w:rPr>
        <w:t> </w:t>
      </w:r>
      <w:r>
        <w:rPr>
          <w:sz w:val="23"/>
        </w:rPr>
        <w:t>bus</w:t>
      </w:r>
      <w:r>
        <w:rPr>
          <w:spacing w:val="-37"/>
          <w:sz w:val="23"/>
        </w:rPr>
        <w:t> </w:t>
      </w:r>
      <w:r>
        <w:rPr>
          <w:sz w:val="23"/>
        </w:rPr>
        <w:t>and</w:t>
      </w:r>
      <w:r>
        <w:rPr>
          <w:spacing w:val="-37"/>
          <w:sz w:val="23"/>
        </w:rPr>
        <w:t> </w:t>
      </w:r>
      <w:r>
        <w:rPr>
          <w:sz w:val="23"/>
        </w:rPr>
        <w:t>train</w:t>
      </w:r>
      <w:r>
        <w:rPr>
          <w:spacing w:val="-39"/>
          <w:sz w:val="23"/>
        </w:rPr>
        <w:t> </w:t>
      </w:r>
      <w:r>
        <w:rPr>
          <w:sz w:val="23"/>
        </w:rPr>
        <w:t>routes</w:t>
      </w:r>
      <w:r>
        <w:rPr>
          <w:spacing w:val="-34"/>
          <w:sz w:val="23"/>
        </w:rPr>
        <w:t> </w:t>
      </w:r>
      <w:r>
        <w:rPr>
          <w:sz w:val="23"/>
        </w:rPr>
        <w:t>disrupted</w:t>
      </w:r>
      <w:r>
        <w:rPr>
          <w:spacing w:val="-35"/>
          <w:sz w:val="23"/>
        </w:rPr>
        <w:t> </w:t>
      </w:r>
      <w:r>
        <w:rPr>
          <w:sz w:val="23"/>
        </w:rPr>
        <w:t>by flooding/drainage</w:t>
      </w:r>
      <w:r>
        <w:rPr>
          <w:spacing w:val="-4"/>
          <w:sz w:val="23"/>
        </w:rPr>
        <w:t> </w:t>
      </w:r>
      <w:r>
        <w:rPr>
          <w:sz w:val="23"/>
        </w:rPr>
        <w:t>problems?</w:t>
      </w:r>
    </w:p>
    <w:p>
      <w:pPr>
        <w:pStyle w:val="ListParagraph"/>
        <w:numPr>
          <w:ilvl w:val="0"/>
          <w:numId w:val="19"/>
        </w:numPr>
        <w:tabs>
          <w:tab w:pos="1400" w:val="left" w:leader="none"/>
          <w:tab w:pos="1401" w:val="left" w:leader="none"/>
        </w:tabs>
        <w:spacing w:line="261" w:lineRule="auto" w:before="0" w:after="0"/>
        <w:ind w:left="1397" w:right="813" w:hanging="417"/>
        <w:jc w:val="left"/>
        <w:rPr>
          <w:sz w:val="23"/>
        </w:rPr>
      </w:pPr>
      <w:r>
        <w:rPr>
          <w:sz w:val="23"/>
        </w:rPr>
        <w:t>Is</w:t>
      </w:r>
      <w:r>
        <w:rPr>
          <w:spacing w:val="-38"/>
          <w:sz w:val="23"/>
        </w:rPr>
        <w:t> </w:t>
      </w:r>
      <w:r>
        <w:rPr>
          <w:sz w:val="23"/>
        </w:rPr>
        <w:t>the</w:t>
      </w:r>
      <w:r>
        <w:rPr>
          <w:spacing w:val="-34"/>
          <w:sz w:val="23"/>
        </w:rPr>
        <w:t> </w:t>
      </w:r>
      <w:r>
        <w:rPr>
          <w:sz w:val="23"/>
        </w:rPr>
        <w:t>LFRMS</w:t>
      </w:r>
      <w:r>
        <w:rPr>
          <w:spacing w:val="-28"/>
          <w:sz w:val="23"/>
        </w:rPr>
        <w:t> </w:t>
      </w:r>
      <w:r>
        <w:rPr>
          <w:sz w:val="23"/>
        </w:rPr>
        <w:t>consistent</w:t>
      </w:r>
      <w:r>
        <w:rPr>
          <w:spacing w:val="-27"/>
          <w:sz w:val="23"/>
        </w:rPr>
        <w:t> </w:t>
      </w:r>
      <w:r>
        <w:rPr>
          <w:sz w:val="23"/>
        </w:rPr>
        <w:t>with</w:t>
      </w:r>
      <w:r>
        <w:rPr>
          <w:spacing w:val="-34"/>
          <w:sz w:val="23"/>
        </w:rPr>
        <w:t> </w:t>
      </w:r>
      <w:r>
        <w:rPr>
          <w:sz w:val="23"/>
        </w:rPr>
        <w:t>the</w:t>
      </w:r>
      <w:r>
        <w:rPr>
          <w:spacing w:val="-38"/>
          <w:sz w:val="23"/>
        </w:rPr>
        <w:t> </w:t>
      </w:r>
      <w:r>
        <w:rPr>
          <w:sz w:val="23"/>
        </w:rPr>
        <w:t>plans</w:t>
      </w:r>
      <w:r>
        <w:rPr>
          <w:spacing w:val="-32"/>
          <w:sz w:val="23"/>
        </w:rPr>
        <w:t> </w:t>
      </w:r>
      <w:r>
        <w:rPr>
          <w:sz w:val="23"/>
        </w:rPr>
        <w:t>and</w:t>
      </w:r>
      <w:r>
        <w:rPr>
          <w:spacing w:val="-32"/>
          <w:sz w:val="23"/>
        </w:rPr>
        <w:t> </w:t>
      </w:r>
      <w:r>
        <w:rPr>
          <w:sz w:val="23"/>
        </w:rPr>
        <w:t>actions</w:t>
      </w:r>
      <w:r>
        <w:rPr>
          <w:spacing w:val="-30"/>
          <w:sz w:val="23"/>
        </w:rPr>
        <w:t> </w:t>
      </w:r>
      <w:r>
        <w:rPr>
          <w:sz w:val="23"/>
        </w:rPr>
        <w:t>of</w:t>
      </w:r>
      <w:r>
        <w:rPr>
          <w:spacing w:val="-37"/>
          <w:sz w:val="23"/>
        </w:rPr>
        <w:t> </w:t>
      </w:r>
      <w:r>
        <w:rPr>
          <w:sz w:val="23"/>
        </w:rPr>
        <w:t>partner</w:t>
      </w:r>
      <w:r>
        <w:rPr>
          <w:spacing w:val="-28"/>
          <w:sz w:val="23"/>
        </w:rPr>
        <w:t> </w:t>
      </w:r>
      <w:r>
        <w:rPr>
          <w:sz w:val="23"/>
        </w:rPr>
        <w:t>organisations?</w:t>
      </w:r>
      <w:r>
        <w:rPr>
          <w:spacing w:val="-37"/>
          <w:sz w:val="23"/>
        </w:rPr>
        <w:t> </w:t>
      </w:r>
      <w:r>
        <w:rPr>
          <w:sz w:val="23"/>
        </w:rPr>
        <w:t>Review</w:t>
      </w:r>
      <w:r>
        <w:rPr>
          <w:spacing w:val="-24"/>
          <w:sz w:val="23"/>
        </w:rPr>
        <w:t> </w:t>
      </w:r>
      <w:r>
        <w:rPr>
          <w:sz w:val="23"/>
        </w:rPr>
        <w:t>and incorporate</w:t>
      </w:r>
      <w:r>
        <w:rPr>
          <w:spacing w:val="-15"/>
          <w:sz w:val="23"/>
        </w:rPr>
        <w:t> </w:t>
      </w:r>
      <w:r>
        <w:rPr>
          <w:sz w:val="23"/>
        </w:rPr>
        <w:t>relevant</w:t>
      </w:r>
      <w:r>
        <w:rPr>
          <w:spacing w:val="-13"/>
          <w:sz w:val="23"/>
        </w:rPr>
        <w:t> </w:t>
      </w:r>
      <w:r>
        <w:rPr>
          <w:sz w:val="23"/>
        </w:rPr>
        <w:t>actions</w:t>
      </w:r>
      <w:r>
        <w:rPr>
          <w:spacing w:val="-21"/>
          <w:sz w:val="23"/>
        </w:rPr>
        <w:t> </w:t>
      </w:r>
      <w:r>
        <w:rPr>
          <w:sz w:val="23"/>
        </w:rPr>
        <w:t>from</w:t>
      </w:r>
      <w:r>
        <w:rPr>
          <w:spacing w:val="-16"/>
          <w:sz w:val="23"/>
        </w:rPr>
        <w:t> </w:t>
      </w:r>
      <w:r>
        <w:rPr>
          <w:sz w:val="23"/>
        </w:rPr>
        <w:t>the</w:t>
      </w:r>
      <w:r>
        <w:rPr>
          <w:spacing w:val="-23"/>
          <w:sz w:val="23"/>
        </w:rPr>
        <w:t> </w:t>
      </w:r>
      <w:r>
        <w:rPr>
          <w:sz w:val="23"/>
        </w:rPr>
        <w:t>Aire</w:t>
      </w:r>
      <w:r>
        <w:rPr>
          <w:spacing w:val="-22"/>
          <w:sz w:val="23"/>
        </w:rPr>
        <w:t> </w:t>
      </w:r>
      <w:r>
        <w:rPr>
          <w:sz w:val="23"/>
        </w:rPr>
        <w:t>and</w:t>
      </w:r>
      <w:r>
        <w:rPr>
          <w:spacing w:val="-19"/>
          <w:sz w:val="23"/>
        </w:rPr>
        <w:t> </w:t>
      </w:r>
      <w:r>
        <w:rPr>
          <w:sz w:val="23"/>
        </w:rPr>
        <w:t>Ouse</w:t>
      </w:r>
      <w:r>
        <w:rPr>
          <w:spacing w:val="-21"/>
          <w:sz w:val="23"/>
        </w:rPr>
        <w:t> </w:t>
      </w:r>
      <w:r>
        <w:rPr>
          <w:sz w:val="23"/>
        </w:rPr>
        <w:t>CFMPs</w:t>
      </w:r>
      <w:r>
        <w:rPr>
          <w:spacing w:val="-24"/>
          <w:sz w:val="23"/>
        </w:rPr>
        <w:t> </w:t>
      </w:r>
      <w:r>
        <w:rPr>
          <w:sz w:val="23"/>
        </w:rPr>
        <w:t>in</w:t>
      </w:r>
      <w:r>
        <w:rPr>
          <w:spacing w:val="-26"/>
          <w:sz w:val="23"/>
        </w:rPr>
        <w:t> </w:t>
      </w:r>
      <w:r>
        <w:rPr>
          <w:sz w:val="23"/>
        </w:rPr>
        <w:t>the</w:t>
      </w:r>
      <w:r>
        <w:rPr>
          <w:spacing w:val="-27"/>
          <w:sz w:val="23"/>
        </w:rPr>
        <w:t> </w:t>
      </w:r>
      <w:r>
        <w:rPr>
          <w:sz w:val="23"/>
        </w:rPr>
        <w:t>‘List</w:t>
      </w:r>
      <w:r>
        <w:rPr>
          <w:spacing w:val="-24"/>
          <w:sz w:val="23"/>
        </w:rPr>
        <w:t> </w:t>
      </w:r>
      <w:r>
        <w:rPr>
          <w:sz w:val="23"/>
        </w:rPr>
        <w:t>of</w:t>
      </w:r>
      <w:r>
        <w:rPr>
          <w:spacing w:val="-20"/>
          <w:sz w:val="23"/>
        </w:rPr>
        <w:t> </w:t>
      </w:r>
      <w:r>
        <w:rPr>
          <w:sz w:val="23"/>
        </w:rPr>
        <w:t>Measures’?</w:t>
      </w:r>
    </w:p>
    <w:p>
      <w:pPr>
        <w:pStyle w:val="BodyText"/>
        <w:spacing w:line="264" w:lineRule="auto" w:before="112"/>
        <w:ind w:left="975" w:right="221" w:firstLine="9"/>
      </w:pPr>
      <w:r>
        <w:rPr/>
        <w:t>These indicators are still relevant to the Council, and are considered during the planning and development</w:t>
      </w:r>
      <w:r>
        <w:rPr>
          <w:spacing w:val="-23"/>
        </w:rPr>
        <w:t> </w:t>
      </w:r>
      <w:r>
        <w:rPr/>
        <w:t>processes</w:t>
      </w:r>
      <w:r>
        <w:rPr>
          <w:spacing w:val="-35"/>
        </w:rPr>
        <w:t> </w:t>
      </w:r>
      <w:r>
        <w:rPr/>
        <w:t>for</w:t>
      </w:r>
      <w:r>
        <w:rPr>
          <w:spacing w:val="-36"/>
        </w:rPr>
        <w:t> </w:t>
      </w:r>
      <w:r>
        <w:rPr/>
        <w:t>managing</w:t>
      </w:r>
      <w:r>
        <w:rPr>
          <w:spacing w:val="-23"/>
        </w:rPr>
        <w:t> </w:t>
      </w:r>
      <w:r>
        <w:rPr/>
        <w:t>flood</w:t>
      </w:r>
      <w:r>
        <w:rPr>
          <w:spacing w:val="-33"/>
        </w:rPr>
        <w:t> </w:t>
      </w:r>
      <w:r>
        <w:rPr/>
        <w:t>risk;</w:t>
      </w:r>
      <w:r>
        <w:rPr>
          <w:spacing w:val="-32"/>
        </w:rPr>
        <w:t> </w:t>
      </w:r>
      <w:r>
        <w:rPr/>
        <w:t>however,</w:t>
      </w:r>
      <w:r>
        <w:rPr>
          <w:spacing w:val="-27"/>
        </w:rPr>
        <w:t> </w:t>
      </w:r>
      <w:r>
        <w:rPr/>
        <w:t>due</w:t>
      </w:r>
      <w:r>
        <w:rPr>
          <w:spacing w:val="-37"/>
        </w:rPr>
        <w:t> </w:t>
      </w:r>
      <w:r>
        <w:rPr/>
        <w:t>to</w:t>
      </w:r>
      <w:r>
        <w:rPr>
          <w:spacing w:val="-38"/>
        </w:rPr>
        <w:t> </w:t>
      </w:r>
      <w:r>
        <w:rPr/>
        <w:t>the</w:t>
      </w:r>
      <w:r>
        <w:rPr>
          <w:spacing w:val="-33"/>
        </w:rPr>
        <w:t> </w:t>
      </w:r>
      <w:r>
        <w:rPr/>
        <w:t>difficulty</w:t>
      </w:r>
      <w:r>
        <w:rPr>
          <w:spacing w:val="-31"/>
        </w:rPr>
        <w:t> </w:t>
      </w:r>
      <w:r>
        <w:rPr/>
        <w:t>in</w:t>
      </w:r>
      <w:r>
        <w:rPr>
          <w:spacing w:val="-29"/>
        </w:rPr>
        <w:t> </w:t>
      </w:r>
      <w:r>
        <w:rPr/>
        <w:t>obtaining</w:t>
      </w:r>
      <w:r>
        <w:rPr>
          <w:spacing w:val="-30"/>
        </w:rPr>
        <w:t> </w:t>
      </w:r>
      <w:r>
        <w:rPr/>
        <w:t>reliable and</w:t>
      </w:r>
      <w:r>
        <w:rPr>
          <w:spacing w:val="-34"/>
        </w:rPr>
        <w:t> </w:t>
      </w:r>
      <w:r>
        <w:rPr/>
        <w:t>representative</w:t>
      </w:r>
      <w:r>
        <w:rPr>
          <w:spacing w:val="-37"/>
        </w:rPr>
        <w:t> </w:t>
      </w:r>
      <w:r>
        <w:rPr/>
        <w:t>data,</w:t>
      </w:r>
      <w:r>
        <w:rPr>
          <w:spacing w:val="-25"/>
        </w:rPr>
        <w:t> </w:t>
      </w:r>
      <w:r>
        <w:rPr/>
        <w:t>there</w:t>
      </w:r>
      <w:r>
        <w:rPr>
          <w:spacing w:val="-33"/>
        </w:rPr>
        <w:t> </w:t>
      </w:r>
      <w:r>
        <w:rPr/>
        <w:t>has</w:t>
      </w:r>
      <w:r>
        <w:rPr>
          <w:spacing w:val="-33"/>
        </w:rPr>
        <w:t> </w:t>
      </w:r>
      <w:r>
        <w:rPr/>
        <w:t>been</w:t>
      </w:r>
      <w:r>
        <w:rPr>
          <w:spacing w:val="-30"/>
        </w:rPr>
        <w:t> </w:t>
      </w:r>
      <w:r>
        <w:rPr/>
        <w:t>limited</w:t>
      </w:r>
      <w:r>
        <w:rPr>
          <w:spacing w:val="-24"/>
        </w:rPr>
        <w:t> </w:t>
      </w:r>
      <w:r>
        <w:rPr/>
        <w:t>reporting</w:t>
      </w:r>
      <w:r>
        <w:rPr>
          <w:spacing w:val="-20"/>
        </w:rPr>
        <w:t> </w:t>
      </w:r>
      <w:r>
        <w:rPr/>
        <w:t>of</w:t>
      </w:r>
      <w:r>
        <w:rPr>
          <w:spacing w:val="-31"/>
        </w:rPr>
        <w:t> </w:t>
      </w:r>
      <w:r>
        <w:rPr/>
        <w:t>this</w:t>
      </w:r>
      <w:r>
        <w:rPr>
          <w:spacing w:val="-32"/>
        </w:rPr>
        <w:t> </w:t>
      </w:r>
      <w:r>
        <w:rPr/>
        <w:t>information</w:t>
      </w:r>
      <w:r>
        <w:rPr>
          <w:spacing w:val="-16"/>
        </w:rPr>
        <w:t> </w:t>
      </w:r>
      <w:r>
        <w:rPr/>
        <w:t>so</w:t>
      </w:r>
      <w:r>
        <w:rPr>
          <w:spacing w:val="-33"/>
        </w:rPr>
        <w:t> </w:t>
      </w:r>
      <w:r>
        <w:rPr/>
        <w:t>far.</w:t>
      </w:r>
      <w:r>
        <w:rPr>
          <w:spacing w:val="-23"/>
        </w:rPr>
        <w:t> </w:t>
      </w:r>
      <w:r>
        <w:rPr/>
        <w:t>The</w:t>
      </w:r>
      <w:r>
        <w:rPr>
          <w:spacing w:val="-30"/>
        </w:rPr>
        <w:t> </w:t>
      </w:r>
      <w:r>
        <w:rPr/>
        <w:t>questions remain</w:t>
      </w:r>
      <w:r>
        <w:rPr>
          <w:spacing w:val="-23"/>
        </w:rPr>
        <w:t> </w:t>
      </w:r>
      <w:r>
        <w:rPr/>
        <w:t>appended</w:t>
      </w:r>
      <w:r>
        <w:rPr>
          <w:spacing w:val="-19"/>
        </w:rPr>
        <w:t> </w:t>
      </w:r>
      <w:r>
        <w:rPr/>
        <w:t>to</w:t>
      </w:r>
      <w:r>
        <w:rPr>
          <w:spacing w:val="-31"/>
        </w:rPr>
        <w:t> </w:t>
      </w:r>
      <w:r>
        <w:rPr/>
        <w:t>the</w:t>
      </w:r>
      <w:r>
        <w:rPr>
          <w:spacing w:val="-27"/>
        </w:rPr>
        <w:t> </w:t>
      </w:r>
      <w:r>
        <w:rPr/>
        <w:t>List</w:t>
      </w:r>
      <w:r>
        <w:rPr>
          <w:spacing w:val="-27"/>
        </w:rPr>
        <w:t> </w:t>
      </w:r>
      <w:r>
        <w:rPr/>
        <w:t>of</w:t>
      </w:r>
      <w:r>
        <w:rPr>
          <w:spacing w:val="-25"/>
        </w:rPr>
        <w:t> </w:t>
      </w:r>
      <w:r>
        <w:rPr/>
        <w:t>Measures</w:t>
      </w:r>
      <w:r>
        <w:rPr>
          <w:spacing w:val="-23"/>
        </w:rPr>
        <w:t> </w:t>
      </w:r>
      <w:r>
        <w:rPr/>
        <w:t>found</w:t>
      </w:r>
      <w:r>
        <w:rPr>
          <w:spacing w:val="-28"/>
        </w:rPr>
        <w:t> </w:t>
      </w:r>
      <w:r>
        <w:rPr/>
        <w:t>in</w:t>
      </w:r>
      <w:r>
        <w:rPr>
          <w:spacing w:val="-27"/>
        </w:rPr>
        <w:t> </w:t>
      </w:r>
      <w:r>
        <w:rPr/>
        <w:t>Appendix</w:t>
      </w:r>
      <w:r>
        <w:rPr>
          <w:spacing w:val="-18"/>
        </w:rPr>
        <w:t> </w:t>
      </w:r>
      <w:r>
        <w:rPr/>
        <w:t>C,</w:t>
      </w:r>
      <w:r>
        <w:rPr>
          <w:spacing w:val="-31"/>
        </w:rPr>
        <w:t> </w:t>
      </w:r>
      <w:r>
        <w:rPr/>
        <w:t>for</w:t>
      </w:r>
      <w:r>
        <w:rPr>
          <w:spacing w:val="-31"/>
        </w:rPr>
        <w:t> </w:t>
      </w:r>
      <w:r>
        <w:rPr/>
        <w:t>use</w:t>
      </w:r>
      <w:r>
        <w:rPr>
          <w:spacing w:val="-31"/>
        </w:rPr>
        <w:t> </w:t>
      </w:r>
      <w:r>
        <w:rPr/>
        <w:t>in</w:t>
      </w:r>
      <w:r>
        <w:rPr>
          <w:spacing w:val="-29"/>
        </w:rPr>
        <w:t> </w:t>
      </w:r>
      <w:r>
        <w:rPr/>
        <w:t>the</w:t>
      </w:r>
      <w:r>
        <w:rPr>
          <w:spacing w:val="-26"/>
        </w:rPr>
        <w:t> </w:t>
      </w:r>
      <w:r>
        <w:rPr/>
        <w:t>2018</w:t>
      </w:r>
      <w:r>
        <w:rPr>
          <w:spacing w:val="-24"/>
        </w:rPr>
        <w:t> </w:t>
      </w:r>
      <w:r>
        <w:rPr/>
        <w:t>to</w:t>
      </w:r>
      <w:r>
        <w:rPr>
          <w:spacing w:val="-27"/>
        </w:rPr>
        <w:t> </w:t>
      </w:r>
      <w:r>
        <w:rPr/>
        <w:t>2024</w:t>
      </w:r>
      <w:r>
        <w:rPr>
          <w:spacing w:val="-25"/>
        </w:rPr>
        <w:t> </w:t>
      </w:r>
      <w:r>
        <w:rPr/>
        <w:t>LFRMS cycle.</w:t>
      </w:r>
    </w:p>
    <w:p>
      <w:pPr>
        <w:pStyle w:val="BodyText"/>
        <w:spacing w:line="261" w:lineRule="auto" w:before="119"/>
        <w:ind w:left="976" w:right="221" w:firstLine="6"/>
      </w:pPr>
      <w:r>
        <w:rPr/>
        <w:t>Leeds</w:t>
      </w:r>
      <w:r>
        <w:rPr>
          <w:spacing w:val="-35"/>
        </w:rPr>
        <w:t> </w:t>
      </w:r>
      <w:r>
        <w:rPr/>
        <w:t>City</w:t>
      </w:r>
      <w:r>
        <w:rPr>
          <w:spacing w:val="-34"/>
        </w:rPr>
        <w:t> </w:t>
      </w:r>
      <w:r>
        <w:rPr/>
        <w:t>Council</w:t>
      </w:r>
      <w:r>
        <w:rPr>
          <w:spacing w:val="-30"/>
        </w:rPr>
        <w:t> </w:t>
      </w:r>
      <w:r>
        <w:rPr/>
        <w:t>monitor</w:t>
      </w:r>
      <w:r>
        <w:rPr>
          <w:spacing w:val="-33"/>
        </w:rPr>
        <w:t> </w:t>
      </w:r>
      <w:r>
        <w:rPr/>
        <w:t>their</w:t>
      </w:r>
      <w:r>
        <w:rPr>
          <w:spacing w:val="-37"/>
        </w:rPr>
        <w:t> </w:t>
      </w:r>
      <w:r>
        <w:rPr/>
        <w:t>performance</w:t>
      </w:r>
      <w:r>
        <w:rPr>
          <w:spacing w:val="-26"/>
        </w:rPr>
        <w:t> </w:t>
      </w:r>
      <w:r>
        <w:rPr/>
        <w:t>of</w:t>
      </w:r>
      <w:r>
        <w:rPr>
          <w:spacing w:val="-38"/>
        </w:rPr>
        <w:t> </w:t>
      </w:r>
      <w:r>
        <w:rPr/>
        <w:t>meeting</w:t>
      </w:r>
      <w:r>
        <w:rPr>
          <w:spacing w:val="-32"/>
        </w:rPr>
        <w:t> </w:t>
      </w:r>
      <w:r>
        <w:rPr/>
        <w:t>the</w:t>
      </w:r>
      <w:r>
        <w:rPr>
          <w:spacing w:val="-36"/>
        </w:rPr>
        <w:t> </w:t>
      </w:r>
      <w:r>
        <w:rPr/>
        <w:t>objectives</w:t>
      </w:r>
      <w:r>
        <w:rPr>
          <w:spacing w:val="-28"/>
        </w:rPr>
        <w:t> </w:t>
      </w:r>
      <w:r>
        <w:rPr/>
        <w:t>of</w:t>
      </w:r>
      <w:r>
        <w:rPr>
          <w:spacing w:val="-39"/>
        </w:rPr>
        <w:t> </w:t>
      </w:r>
      <w:r>
        <w:rPr/>
        <w:t>managing</w:t>
      </w:r>
      <w:r>
        <w:rPr>
          <w:spacing w:val="-30"/>
        </w:rPr>
        <w:t> </w:t>
      </w:r>
      <w:r>
        <w:rPr/>
        <w:t>flood</w:t>
      </w:r>
      <w:r>
        <w:rPr>
          <w:spacing w:val="-37"/>
        </w:rPr>
        <w:t> </w:t>
      </w:r>
      <w:r>
        <w:rPr/>
        <w:t>risk through a number of forums and planning process, which</w:t>
      </w:r>
      <w:r>
        <w:rPr>
          <w:spacing w:val="-13"/>
        </w:rPr>
        <w:t> </w:t>
      </w:r>
      <w:r>
        <w:rPr/>
        <w:t>include:</w:t>
      </w:r>
    </w:p>
    <w:p>
      <w:pPr>
        <w:pStyle w:val="ListParagraph"/>
        <w:numPr>
          <w:ilvl w:val="0"/>
          <w:numId w:val="20"/>
        </w:numPr>
        <w:tabs>
          <w:tab w:pos="1405" w:val="left" w:leader="none"/>
        </w:tabs>
        <w:spacing w:line="261" w:lineRule="auto" w:before="125" w:after="0"/>
        <w:ind w:left="1404" w:right="494" w:hanging="273"/>
        <w:jc w:val="left"/>
        <w:rPr>
          <w:color w:val="EF2F26"/>
          <w:sz w:val="23"/>
        </w:rPr>
      </w:pPr>
      <w:r>
        <w:rPr>
          <w:w w:val="95"/>
          <w:sz w:val="23"/>
        </w:rPr>
        <w:t>Monthly Flood Risk Management Performance Monitoring report that tracks progress against </w:t>
      </w:r>
      <w:r>
        <w:rPr>
          <w:sz w:val="23"/>
        </w:rPr>
        <w:t>annually</w:t>
      </w:r>
      <w:r>
        <w:rPr>
          <w:spacing w:val="-5"/>
          <w:sz w:val="23"/>
        </w:rPr>
        <w:t> </w:t>
      </w:r>
      <w:r>
        <w:rPr>
          <w:sz w:val="23"/>
        </w:rPr>
        <w:t>set</w:t>
      </w:r>
      <w:r>
        <w:rPr>
          <w:spacing w:val="-21"/>
          <w:sz w:val="23"/>
        </w:rPr>
        <w:t> </w:t>
      </w:r>
      <w:r>
        <w:rPr>
          <w:sz w:val="23"/>
        </w:rPr>
        <w:t>performance</w:t>
      </w:r>
      <w:r>
        <w:rPr>
          <w:spacing w:val="-9"/>
          <w:sz w:val="23"/>
        </w:rPr>
        <w:t> </w:t>
      </w:r>
      <w:r>
        <w:rPr>
          <w:sz w:val="23"/>
        </w:rPr>
        <w:t>indicators.</w:t>
      </w:r>
      <w:r>
        <w:rPr>
          <w:spacing w:val="-7"/>
          <w:sz w:val="23"/>
        </w:rPr>
        <w:t> </w:t>
      </w:r>
      <w:r>
        <w:rPr>
          <w:sz w:val="23"/>
        </w:rPr>
        <w:t>It</w:t>
      </w:r>
      <w:r>
        <w:rPr>
          <w:spacing w:val="-17"/>
          <w:sz w:val="23"/>
        </w:rPr>
        <w:t> </w:t>
      </w:r>
      <w:r>
        <w:rPr>
          <w:sz w:val="23"/>
        </w:rPr>
        <w:t>also</w:t>
      </w:r>
      <w:r>
        <w:rPr>
          <w:spacing w:val="-22"/>
          <w:sz w:val="23"/>
        </w:rPr>
        <w:t> </w:t>
      </w:r>
      <w:r>
        <w:rPr>
          <w:sz w:val="23"/>
        </w:rPr>
        <w:t>tracks</w:t>
      </w:r>
      <w:r>
        <w:rPr>
          <w:spacing w:val="-12"/>
          <w:sz w:val="23"/>
        </w:rPr>
        <w:t> </w:t>
      </w:r>
      <w:r>
        <w:rPr>
          <w:sz w:val="23"/>
        </w:rPr>
        <w:t>an</w:t>
      </w:r>
      <w:r>
        <w:rPr>
          <w:spacing w:val="-18"/>
          <w:sz w:val="23"/>
        </w:rPr>
        <w:t> </w:t>
      </w:r>
      <w:r>
        <w:rPr>
          <w:sz w:val="23"/>
        </w:rPr>
        <w:t>assessment</w:t>
      </w:r>
      <w:r>
        <w:rPr>
          <w:spacing w:val="-4"/>
          <w:sz w:val="23"/>
        </w:rPr>
        <w:t> </w:t>
      </w:r>
      <w:r>
        <w:rPr>
          <w:sz w:val="23"/>
        </w:rPr>
        <w:t>of</w:t>
      </w:r>
      <w:r>
        <w:rPr>
          <w:spacing w:val="-17"/>
          <w:sz w:val="23"/>
        </w:rPr>
        <w:t> </w:t>
      </w:r>
      <w:r>
        <w:rPr>
          <w:sz w:val="23"/>
        </w:rPr>
        <w:t>corporate</w:t>
      </w:r>
      <w:r>
        <w:rPr>
          <w:spacing w:val="-17"/>
          <w:sz w:val="23"/>
        </w:rPr>
        <w:t> </w:t>
      </w:r>
      <w:r>
        <w:rPr>
          <w:sz w:val="23"/>
        </w:rPr>
        <w:t>risks;</w:t>
      </w:r>
    </w:p>
    <w:p>
      <w:pPr>
        <w:pStyle w:val="ListParagraph"/>
        <w:numPr>
          <w:ilvl w:val="0"/>
          <w:numId w:val="20"/>
        </w:numPr>
        <w:tabs>
          <w:tab w:pos="1404" w:val="left" w:leader="none"/>
        </w:tabs>
        <w:spacing w:line="240" w:lineRule="auto" w:before="9" w:after="0"/>
        <w:ind w:left="1403" w:right="0" w:hanging="272"/>
        <w:jc w:val="left"/>
        <w:rPr>
          <w:color w:val="DD4B26"/>
          <w:sz w:val="23"/>
        </w:rPr>
      </w:pPr>
      <w:r>
        <w:rPr>
          <w:sz w:val="23"/>
        </w:rPr>
        <w:t>Annual and monthly progress reviews against the EA’s</w:t>
      </w:r>
      <w:r>
        <w:rPr>
          <w:spacing w:val="5"/>
          <w:sz w:val="23"/>
        </w:rPr>
        <w:t> </w:t>
      </w:r>
      <w:r>
        <w:rPr>
          <w:sz w:val="23"/>
        </w:rPr>
        <w:t>MTP;</w:t>
      </w:r>
    </w:p>
    <w:p>
      <w:pPr>
        <w:pStyle w:val="ListParagraph"/>
        <w:numPr>
          <w:ilvl w:val="0"/>
          <w:numId w:val="20"/>
        </w:numPr>
        <w:tabs>
          <w:tab w:pos="1404" w:val="left" w:leader="none"/>
        </w:tabs>
        <w:spacing w:line="261" w:lineRule="auto" w:before="23" w:after="0"/>
        <w:ind w:left="1397" w:right="667" w:hanging="266"/>
        <w:jc w:val="left"/>
        <w:rPr>
          <w:color w:val="FF3F3A"/>
          <w:sz w:val="23"/>
        </w:rPr>
      </w:pPr>
      <w:r>
        <w:rPr>
          <w:sz w:val="23"/>
        </w:rPr>
        <w:t>Annual</w:t>
      </w:r>
      <w:r>
        <w:rPr>
          <w:spacing w:val="-35"/>
          <w:sz w:val="23"/>
        </w:rPr>
        <w:t> </w:t>
      </w:r>
      <w:r>
        <w:rPr>
          <w:sz w:val="23"/>
        </w:rPr>
        <w:t>and</w:t>
      </w:r>
      <w:r>
        <w:rPr>
          <w:spacing w:val="-43"/>
          <w:sz w:val="23"/>
        </w:rPr>
        <w:t> </w:t>
      </w:r>
      <w:r>
        <w:rPr>
          <w:sz w:val="23"/>
        </w:rPr>
        <w:t>monthly</w:t>
      </w:r>
      <w:r>
        <w:rPr>
          <w:spacing w:val="-37"/>
          <w:sz w:val="23"/>
        </w:rPr>
        <w:t> </w:t>
      </w:r>
      <w:r>
        <w:rPr>
          <w:sz w:val="23"/>
        </w:rPr>
        <w:t>reporting</w:t>
      </w:r>
      <w:r>
        <w:rPr>
          <w:spacing w:val="-34"/>
          <w:sz w:val="23"/>
        </w:rPr>
        <w:t> </w:t>
      </w:r>
      <w:r>
        <w:rPr>
          <w:sz w:val="23"/>
        </w:rPr>
        <w:t>of</w:t>
      </w:r>
      <w:r>
        <w:rPr>
          <w:spacing w:val="-41"/>
          <w:sz w:val="23"/>
        </w:rPr>
        <w:t> </w:t>
      </w:r>
      <w:r>
        <w:rPr>
          <w:sz w:val="23"/>
        </w:rPr>
        <w:t>Corporate</w:t>
      </w:r>
      <w:r>
        <w:rPr>
          <w:spacing w:val="-37"/>
          <w:sz w:val="23"/>
        </w:rPr>
        <w:t> </w:t>
      </w:r>
      <w:r>
        <w:rPr>
          <w:sz w:val="23"/>
        </w:rPr>
        <w:t>Performance</w:t>
      </w:r>
      <w:r>
        <w:rPr>
          <w:spacing w:val="-35"/>
          <w:sz w:val="23"/>
        </w:rPr>
        <w:t> </w:t>
      </w:r>
      <w:r>
        <w:rPr>
          <w:sz w:val="23"/>
        </w:rPr>
        <w:t>using</w:t>
      </w:r>
      <w:r>
        <w:rPr>
          <w:spacing w:val="-41"/>
          <w:sz w:val="23"/>
        </w:rPr>
        <w:t> </w:t>
      </w:r>
      <w:r>
        <w:rPr>
          <w:sz w:val="23"/>
        </w:rPr>
        <w:t>numbers</w:t>
      </w:r>
      <w:r>
        <w:rPr>
          <w:spacing w:val="-40"/>
          <w:sz w:val="23"/>
        </w:rPr>
        <w:t> </w:t>
      </w:r>
      <w:r>
        <w:rPr>
          <w:sz w:val="23"/>
        </w:rPr>
        <w:t>of</w:t>
      </w:r>
      <w:r>
        <w:rPr>
          <w:spacing w:val="-40"/>
          <w:sz w:val="23"/>
        </w:rPr>
        <w:t> </w:t>
      </w:r>
      <w:r>
        <w:rPr>
          <w:sz w:val="23"/>
        </w:rPr>
        <w:t>commercial</w:t>
      </w:r>
      <w:r>
        <w:rPr>
          <w:spacing w:val="-30"/>
          <w:sz w:val="23"/>
        </w:rPr>
        <w:t> </w:t>
      </w:r>
      <w:r>
        <w:rPr>
          <w:sz w:val="23"/>
        </w:rPr>
        <w:t>and residential receptors better protected from flooding,</w:t>
      </w:r>
      <w:r>
        <w:rPr>
          <w:spacing w:val="22"/>
          <w:sz w:val="23"/>
        </w:rPr>
        <w:t> </w:t>
      </w:r>
      <w:r>
        <w:rPr>
          <w:sz w:val="23"/>
        </w:rPr>
        <w:t>and</w:t>
      </w:r>
    </w:p>
    <w:p>
      <w:pPr>
        <w:pStyle w:val="ListParagraph"/>
        <w:numPr>
          <w:ilvl w:val="0"/>
          <w:numId w:val="20"/>
        </w:numPr>
        <w:tabs>
          <w:tab w:pos="1404" w:val="left" w:leader="none"/>
        </w:tabs>
        <w:spacing w:line="261" w:lineRule="auto" w:before="9" w:after="0"/>
        <w:ind w:left="1397" w:right="363" w:hanging="266"/>
        <w:jc w:val="left"/>
        <w:rPr>
          <w:color w:val="FF2626"/>
          <w:sz w:val="23"/>
        </w:rPr>
      </w:pPr>
      <w:r>
        <w:rPr>
          <w:sz w:val="23"/>
        </w:rPr>
        <w:t>Annual</w:t>
      </w:r>
      <w:r>
        <w:rPr>
          <w:spacing w:val="-36"/>
          <w:sz w:val="23"/>
        </w:rPr>
        <w:t> </w:t>
      </w:r>
      <w:r>
        <w:rPr>
          <w:sz w:val="23"/>
        </w:rPr>
        <w:t>review</w:t>
      </w:r>
      <w:r>
        <w:rPr>
          <w:spacing w:val="-34"/>
          <w:sz w:val="23"/>
        </w:rPr>
        <w:t> </w:t>
      </w:r>
      <w:r>
        <w:rPr>
          <w:sz w:val="23"/>
        </w:rPr>
        <w:t>of</w:t>
      </w:r>
      <w:r>
        <w:rPr>
          <w:spacing w:val="-42"/>
          <w:sz w:val="23"/>
        </w:rPr>
        <w:t> </w:t>
      </w:r>
      <w:r>
        <w:rPr>
          <w:sz w:val="23"/>
        </w:rPr>
        <w:t>progress</w:t>
      </w:r>
      <w:r>
        <w:rPr>
          <w:spacing w:val="-37"/>
          <w:sz w:val="23"/>
        </w:rPr>
        <w:t> </w:t>
      </w:r>
      <w:r>
        <w:rPr>
          <w:sz w:val="23"/>
        </w:rPr>
        <w:t>undertaken</w:t>
      </w:r>
      <w:r>
        <w:rPr>
          <w:spacing w:val="-31"/>
          <w:sz w:val="23"/>
        </w:rPr>
        <w:t> </w:t>
      </w:r>
      <w:r>
        <w:rPr>
          <w:sz w:val="23"/>
        </w:rPr>
        <w:t>by</w:t>
      </w:r>
      <w:r>
        <w:rPr>
          <w:spacing w:val="-40"/>
          <w:sz w:val="23"/>
        </w:rPr>
        <w:t> </w:t>
      </w:r>
      <w:r>
        <w:rPr>
          <w:sz w:val="23"/>
        </w:rPr>
        <w:t>the</w:t>
      </w:r>
      <w:r>
        <w:rPr>
          <w:spacing w:val="-41"/>
          <w:sz w:val="23"/>
        </w:rPr>
        <w:t> </w:t>
      </w:r>
      <w:r>
        <w:rPr>
          <w:sz w:val="23"/>
        </w:rPr>
        <w:t>Council’s</w:t>
      </w:r>
      <w:r>
        <w:rPr>
          <w:spacing w:val="-37"/>
          <w:sz w:val="23"/>
        </w:rPr>
        <w:t> </w:t>
      </w:r>
      <w:r>
        <w:rPr>
          <w:sz w:val="23"/>
        </w:rPr>
        <w:t>Scrutiny</w:t>
      </w:r>
      <w:r>
        <w:rPr>
          <w:spacing w:val="-32"/>
          <w:sz w:val="23"/>
        </w:rPr>
        <w:t> </w:t>
      </w:r>
      <w:r>
        <w:rPr>
          <w:sz w:val="23"/>
        </w:rPr>
        <w:t>Board</w:t>
      </w:r>
      <w:r>
        <w:rPr>
          <w:spacing w:val="-39"/>
          <w:sz w:val="23"/>
        </w:rPr>
        <w:t> </w:t>
      </w:r>
      <w:r>
        <w:rPr>
          <w:sz w:val="23"/>
        </w:rPr>
        <w:t>(Sustainable</w:t>
      </w:r>
      <w:r>
        <w:rPr>
          <w:spacing w:val="-30"/>
          <w:sz w:val="23"/>
        </w:rPr>
        <w:t> </w:t>
      </w:r>
      <w:r>
        <w:rPr>
          <w:sz w:val="23"/>
        </w:rPr>
        <w:t>Economy and</w:t>
      </w:r>
      <w:r>
        <w:rPr>
          <w:spacing w:val="-24"/>
          <w:sz w:val="23"/>
        </w:rPr>
        <w:t> </w:t>
      </w:r>
      <w:r>
        <w:rPr>
          <w:sz w:val="23"/>
        </w:rPr>
        <w:t>Culture).</w:t>
      </w:r>
      <w:r>
        <w:rPr>
          <w:spacing w:val="-14"/>
          <w:sz w:val="23"/>
        </w:rPr>
        <w:t> </w:t>
      </w:r>
      <w:r>
        <w:rPr>
          <w:sz w:val="23"/>
        </w:rPr>
        <w:t>As</w:t>
      </w:r>
      <w:r>
        <w:rPr>
          <w:spacing w:val="-25"/>
          <w:sz w:val="23"/>
        </w:rPr>
        <w:t> </w:t>
      </w:r>
      <w:r>
        <w:rPr>
          <w:sz w:val="23"/>
        </w:rPr>
        <w:t>set</w:t>
      </w:r>
      <w:r>
        <w:rPr>
          <w:spacing w:val="-21"/>
          <w:sz w:val="23"/>
        </w:rPr>
        <w:t> </w:t>
      </w:r>
      <w:r>
        <w:rPr>
          <w:sz w:val="23"/>
        </w:rPr>
        <w:t>out</w:t>
      </w:r>
      <w:r>
        <w:rPr>
          <w:spacing w:val="-31"/>
          <w:sz w:val="23"/>
        </w:rPr>
        <w:t> </w:t>
      </w:r>
      <w:r>
        <w:rPr>
          <w:sz w:val="23"/>
        </w:rPr>
        <w:t>in</w:t>
      </w:r>
      <w:r>
        <w:rPr>
          <w:spacing w:val="-21"/>
          <w:sz w:val="23"/>
        </w:rPr>
        <w:t> </w:t>
      </w:r>
      <w:r>
        <w:rPr>
          <w:sz w:val="23"/>
        </w:rPr>
        <w:t>the</w:t>
      </w:r>
      <w:r>
        <w:rPr>
          <w:spacing w:val="-29"/>
          <w:sz w:val="23"/>
        </w:rPr>
        <w:t> </w:t>
      </w:r>
      <w:r>
        <w:rPr>
          <w:sz w:val="23"/>
        </w:rPr>
        <w:t>previous</w:t>
      </w:r>
      <w:r>
        <w:rPr>
          <w:spacing w:val="-19"/>
          <w:sz w:val="23"/>
        </w:rPr>
        <w:t> </w:t>
      </w:r>
      <w:r>
        <w:rPr>
          <w:sz w:val="23"/>
        </w:rPr>
        <w:t>strategy,</w:t>
      </w:r>
      <w:r>
        <w:rPr>
          <w:spacing w:val="-25"/>
          <w:sz w:val="23"/>
        </w:rPr>
        <w:t> </w:t>
      </w:r>
      <w:r>
        <w:rPr>
          <w:sz w:val="23"/>
        </w:rPr>
        <w:t>performance</w:t>
      </w:r>
      <w:r>
        <w:rPr>
          <w:spacing w:val="-21"/>
          <w:sz w:val="23"/>
        </w:rPr>
        <w:t> </w:t>
      </w:r>
      <w:r>
        <w:rPr>
          <w:sz w:val="23"/>
        </w:rPr>
        <w:t>is</w:t>
      </w:r>
      <w:r>
        <w:rPr>
          <w:spacing w:val="-37"/>
          <w:sz w:val="23"/>
        </w:rPr>
        <w:t> </w:t>
      </w:r>
      <w:r>
        <w:rPr>
          <w:sz w:val="23"/>
        </w:rPr>
        <w:t>indicated</w:t>
      </w:r>
      <w:r>
        <w:rPr>
          <w:spacing w:val="-20"/>
          <w:sz w:val="23"/>
        </w:rPr>
        <w:t> </w:t>
      </w:r>
      <w:r>
        <w:rPr>
          <w:sz w:val="23"/>
        </w:rPr>
        <w:t>by</w:t>
      </w:r>
      <w:r>
        <w:rPr>
          <w:spacing w:val="-22"/>
          <w:sz w:val="23"/>
        </w:rPr>
        <w:t> </w:t>
      </w:r>
      <w:r>
        <w:rPr>
          <w:sz w:val="23"/>
        </w:rPr>
        <w:t>assessing</w:t>
      </w:r>
      <w:r>
        <w:rPr>
          <w:spacing w:val="-18"/>
          <w:sz w:val="23"/>
        </w:rPr>
        <w:t> </w:t>
      </w:r>
      <w:r>
        <w:rPr>
          <w:sz w:val="23"/>
        </w:rPr>
        <w:t>the progress</w:t>
      </w:r>
      <w:r>
        <w:rPr>
          <w:spacing w:val="-29"/>
          <w:sz w:val="23"/>
        </w:rPr>
        <w:t> </w:t>
      </w:r>
      <w:r>
        <w:rPr>
          <w:sz w:val="23"/>
        </w:rPr>
        <w:t>of</w:t>
      </w:r>
      <w:r>
        <w:rPr>
          <w:spacing w:val="-35"/>
          <w:sz w:val="23"/>
        </w:rPr>
        <w:t> </w:t>
      </w:r>
      <w:r>
        <w:rPr>
          <w:sz w:val="23"/>
        </w:rPr>
        <w:t>Schemes</w:t>
      </w:r>
      <w:r>
        <w:rPr>
          <w:spacing w:val="-27"/>
          <w:sz w:val="23"/>
        </w:rPr>
        <w:t> </w:t>
      </w:r>
      <w:r>
        <w:rPr>
          <w:sz w:val="23"/>
        </w:rPr>
        <w:t>and</w:t>
      </w:r>
      <w:r>
        <w:rPr>
          <w:spacing w:val="-32"/>
          <w:sz w:val="23"/>
        </w:rPr>
        <w:t> </w:t>
      </w:r>
      <w:r>
        <w:rPr>
          <w:sz w:val="23"/>
        </w:rPr>
        <w:t>Policies</w:t>
      </w:r>
      <w:r>
        <w:rPr>
          <w:spacing w:val="-30"/>
          <w:sz w:val="23"/>
        </w:rPr>
        <w:t> </w:t>
      </w:r>
      <w:r>
        <w:rPr>
          <w:sz w:val="23"/>
        </w:rPr>
        <w:t>that</w:t>
      </w:r>
      <w:r>
        <w:rPr>
          <w:spacing w:val="-32"/>
          <w:sz w:val="23"/>
        </w:rPr>
        <w:t> </w:t>
      </w:r>
      <w:r>
        <w:rPr>
          <w:sz w:val="23"/>
        </w:rPr>
        <w:t>comprise</w:t>
      </w:r>
      <w:r>
        <w:rPr>
          <w:spacing w:val="-33"/>
          <w:sz w:val="23"/>
        </w:rPr>
        <w:t> </w:t>
      </w:r>
      <w:r>
        <w:rPr>
          <w:sz w:val="23"/>
        </w:rPr>
        <w:t>the</w:t>
      </w:r>
      <w:r>
        <w:rPr>
          <w:spacing w:val="-33"/>
          <w:sz w:val="23"/>
        </w:rPr>
        <w:t> </w:t>
      </w:r>
      <w:r>
        <w:rPr>
          <w:sz w:val="23"/>
        </w:rPr>
        <w:t>List</w:t>
      </w:r>
      <w:r>
        <w:rPr>
          <w:spacing w:val="-30"/>
          <w:sz w:val="23"/>
        </w:rPr>
        <w:t> </w:t>
      </w:r>
      <w:r>
        <w:rPr>
          <w:sz w:val="23"/>
        </w:rPr>
        <w:t>of</w:t>
      </w:r>
      <w:r>
        <w:rPr>
          <w:spacing w:val="-32"/>
          <w:sz w:val="23"/>
        </w:rPr>
        <w:t> </w:t>
      </w:r>
      <w:r>
        <w:rPr>
          <w:sz w:val="23"/>
        </w:rPr>
        <w:t>Measures</w:t>
      </w:r>
      <w:r>
        <w:rPr>
          <w:spacing w:val="-32"/>
          <w:sz w:val="23"/>
        </w:rPr>
        <w:t> </w:t>
      </w:r>
      <w:r>
        <w:rPr>
          <w:sz w:val="23"/>
        </w:rPr>
        <w:t>provided</w:t>
      </w:r>
      <w:r>
        <w:rPr>
          <w:spacing w:val="-32"/>
          <w:sz w:val="23"/>
        </w:rPr>
        <w:t> </w:t>
      </w:r>
      <w:r>
        <w:rPr>
          <w:sz w:val="23"/>
        </w:rPr>
        <w:t>in</w:t>
      </w:r>
      <w:r>
        <w:rPr>
          <w:spacing w:val="-34"/>
          <w:sz w:val="23"/>
        </w:rPr>
        <w:t> </w:t>
      </w:r>
      <w:r>
        <w:rPr>
          <w:sz w:val="23"/>
        </w:rPr>
        <w:t>Appendix</w:t>
      </w:r>
      <w:r>
        <w:rPr>
          <w:spacing w:val="-25"/>
          <w:sz w:val="23"/>
        </w:rPr>
        <w:t> </w:t>
      </w:r>
      <w:r>
        <w:rPr>
          <w:sz w:val="23"/>
        </w:rPr>
        <w:t>C.</w:t>
      </w:r>
    </w:p>
    <w:p>
      <w:pPr>
        <w:pStyle w:val="BodyText"/>
        <w:spacing w:line="266" w:lineRule="auto" w:before="124"/>
        <w:ind w:left="976" w:right="221" w:firstLine="4"/>
      </w:pPr>
      <w:r>
        <w:rPr>
          <w:w w:val="95"/>
        </w:rPr>
        <w:t>Additionally, the Council’s progress toward flood risk management objectives is monitored quarterly </w:t>
      </w:r>
      <w:r>
        <w:rPr/>
        <w:t>through a number of board meetings with partners; such as the Leeds Flood Resilience (LFR) Programme Board.</w:t>
      </w:r>
    </w:p>
    <w:p>
      <w:pPr>
        <w:pStyle w:val="BodyText"/>
        <w:spacing w:line="261" w:lineRule="auto" w:before="118"/>
        <w:ind w:left="981" w:right="221" w:firstLine="2"/>
      </w:pPr>
      <w:r>
        <w:rPr/>
        <w:t>The</w:t>
      </w:r>
      <w:r>
        <w:rPr>
          <w:spacing w:val="-32"/>
        </w:rPr>
        <w:t> </w:t>
      </w:r>
      <w:r>
        <w:rPr/>
        <w:t>LFR</w:t>
      </w:r>
      <w:r>
        <w:rPr>
          <w:spacing w:val="-32"/>
        </w:rPr>
        <w:t> </w:t>
      </w:r>
      <w:r>
        <w:rPr/>
        <w:t>Programme</w:t>
      </w:r>
      <w:r>
        <w:rPr>
          <w:spacing w:val="-25"/>
        </w:rPr>
        <w:t> </w:t>
      </w:r>
      <w:r>
        <w:rPr/>
        <w:t>Board</w:t>
      </w:r>
      <w:r>
        <w:rPr>
          <w:spacing w:val="-32"/>
        </w:rPr>
        <w:t> </w:t>
      </w:r>
      <w:r>
        <w:rPr/>
        <w:t>is</w:t>
      </w:r>
      <w:r>
        <w:rPr>
          <w:spacing w:val="-36"/>
        </w:rPr>
        <w:t> </w:t>
      </w:r>
      <w:r>
        <w:rPr/>
        <w:t>responsible</w:t>
      </w:r>
      <w:r>
        <w:rPr>
          <w:spacing w:val="-27"/>
        </w:rPr>
        <w:t> </w:t>
      </w:r>
      <w:r>
        <w:rPr/>
        <w:t>for</w:t>
      </w:r>
      <w:r>
        <w:rPr>
          <w:spacing w:val="-34"/>
        </w:rPr>
        <w:t> </w:t>
      </w:r>
      <w:r>
        <w:rPr/>
        <w:t>providing</w:t>
      </w:r>
      <w:r>
        <w:rPr>
          <w:spacing w:val="-24"/>
        </w:rPr>
        <w:t> </w:t>
      </w:r>
      <w:r>
        <w:rPr/>
        <w:t>a</w:t>
      </w:r>
      <w:r>
        <w:rPr>
          <w:spacing w:val="-29"/>
        </w:rPr>
        <w:t> </w:t>
      </w:r>
      <w:r>
        <w:rPr/>
        <w:t>strategic</w:t>
      </w:r>
      <w:r>
        <w:rPr>
          <w:spacing w:val="-22"/>
        </w:rPr>
        <w:t> </w:t>
      </w:r>
      <w:r>
        <w:rPr/>
        <w:t>overview</w:t>
      </w:r>
      <w:r>
        <w:rPr>
          <w:spacing w:val="-22"/>
        </w:rPr>
        <w:t> </w:t>
      </w:r>
      <w:r>
        <w:rPr/>
        <w:t>of</w:t>
      </w:r>
      <w:r>
        <w:rPr>
          <w:spacing w:val="-32"/>
        </w:rPr>
        <w:t> </w:t>
      </w:r>
      <w:r>
        <w:rPr/>
        <w:t>flood</w:t>
      </w:r>
      <w:r>
        <w:rPr>
          <w:spacing w:val="-31"/>
        </w:rPr>
        <w:t> </w:t>
      </w:r>
      <w:r>
        <w:rPr/>
        <w:t>resilience</w:t>
      </w:r>
      <w:r>
        <w:rPr>
          <w:spacing w:val="-28"/>
        </w:rPr>
        <w:t> </w:t>
      </w:r>
      <w:r>
        <w:rPr/>
        <w:t>in Leeds,</w:t>
      </w:r>
      <w:r>
        <w:rPr>
          <w:spacing w:val="-36"/>
        </w:rPr>
        <w:t> </w:t>
      </w:r>
      <w:r>
        <w:rPr/>
        <w:t>and</w:t>
      </w:r>
      <w:r>
        <w:rPr>
          <w:spacing w:val="-39"/>
        </w:rPr>
        <w:t> </w:t>
      </w:r>
      <w:r>
        <w:rPr/>
        <w:t>where</w:t>
      </w:r>
      <w:r>
        <w:rPr>
          <w:spacing w:val="-42"/>
        </w:rPr>
        <w:t> </w:t>
      </w:r>
      <w:r>
        <w:rPr/>
        <w:t>necessary,</w:t>
      </w:r>
      <w:r>
        <w:rPr>
          <w:spacing w:val="-31"/>
        </w:rPr>
        <w:t> </w:t>
      </w:r>
      <w:r>
        <w:rPr/>
        <w:t>approvals</w:t>
      </w:r>
      <w:r>
        <w:rPr>
          <w:spacing w:val="-35"/>
        </w:rPr>
        <w:t> </w:t>
      </w:r>
      <w:r>
        <w:rPr/>
        <w:t>and</w:t>
      </w:r>
      <w:r>
        <w:rPr>
          <w:spacing w:val="-40"/>
        </w:rPr>
        <w:t> </w:t>
      </w:r>
      <w:r>
        <w:rPr/>
        <w:t>decision</w:t>
      </w:r>
      <w:r>
        <w:rPr>
          <w:spacing w:val="-39"/>
        </w:rPr>
        <w:t> </w:t>
      </w:r>
      <w:r>
        <w:rPr/>
        <w:t>making</w:t>
      </w:r>
      <w:r>
        <w:rPr>
          <w:spacing w:val="-38"/>
        </w:rPr>
        <w:t> </w:t>
      </w:r>
      <w:r>
        <w:rPr/>
        <w:t>that</w:t>
      </w:r>
      <w:r>
        <w:rPr>
          <w:spacing w:val="-41"/>
        </w:rPr>
        <w:t> </w:t>
      </w:r>
      <w:r>
        <w:rPr/>
        <w:t>may</w:t>
      </w:r>
      <w:r>
        <w:rPr>
          <w:spacing w:val="-41"/>
        </w:rPr>
        <w:t> </w:t>
      </w:r>
      <w:r>
        <w:rPr/>
        <w:t>affect</w:t>
      </w:r>
      <w:r>
        <w:rPr>
          <w:spacing w:val="-38"/>
        </w:rPr>
        <w:t> </w:t>
      </w:r>
      <w:r>
        <w:rPr/>
        <w:t>Programme</w:t>
      </w:r>
      <w:r>
        <w:rPr>
          <w:spacing w:val="-37"/>
        </w:rPr>
        <w:t> </w:t>
      </w:r>
      <w:r>
        <w:rPr/>
        <w:t>process and</w:t>
      </w:r>
      <w:r>
        <w:rPr>
          <w:spacing w:val="-31"/>
        </w:rPr>
        <w:t> </w:t>
      </w:r>
      <w:r>
        <w:rPr/>
        <w:t>delivery.</w:t>
      </w:r>
      <w:r>
        <w:rPr>
          <w:spacing w:val="-35"/>
        </w:rPr>
        <w:t> </w:t>
      </w:r>
      <w:r>
        <w:rPr/>
        <w:t>In</w:t>
      </w:r>
      <w:r>
        <w:rPr>
          <w:spacing w:val="-37"/>
        </w:rPr>
        <w:t> </w:t>
      </w:r>
      <w:r>
        <w:rPr/>
        <w:t>addition,</w:t>
      </w:r>
      <w:r>
        <w:rPr>
          <w:spacing w:val="-31"/>
        </w:rPr>
        <w:t> </w:t>
      </w:r>
      <w:r>
        <w:rPr/>
        <w:t>they</w:t>
      </w:r>
      <w:r>
        <w:rPr>
          <w:spacing w:val="-32"/>
        </w:rPr>
        <w:t> </w:t>
      </w:r>
      <w:r>
        <w:rPr/>
        <w:t>will</w:t>
      </w:r>
      <w:r>
        <w:rPr>
          <w:spacing w:val="-35"/>
        </w:rPr>
        <w:t> </w:t>
      </w:r>
      <w:r>
        <w:rPr/>
        <w:t>link</w:t>
      </w:r>
      <w:r>
        <w:rPr>
          <w:spacing w:val="-34"/>
        </w:rPr>
        <w:t> </w:t>
      </w:r>
      <w:r>
        <w:rPr/>
        <w:t>to</w:t>
      </w:r>
      <w:r>
        <w:rPr>
          <w:spacing w:val="-37"/>
        </w:rPr>
        <w:t> </w:t>
      </w:r>
      <w:r>
        <w:rPr/>
        <w:t>and</w:t>
      </w:r>
      <w:r>
        <w:rPr>
          <w:spacing w:val="-35"/>
        </w:rPr>
        <w:t> </w:t>
      </w:r>
      <w:r>
        <w:rPr/>
        <w:t>create</w:t>
      </w:r>
      <w:r>
        <w:rPr>
          <w:spacing w:val="-33"/>
        </w:rPr>
        <w:t> </w:t>
      </w:r>
      <w:r>
        <w:rPr/>
        <w:t>opportunities</w:t>
      </w:r>
      <w:r>
        <w:rPr>
          <w:spacing w:val="-29"/>
        </w:rPr>
        <w:t> </w:t>
      </w:r>
      <w:r>
        <w:rPr/>
        <w:t>for</w:t>
      </w:r>
      <w:r>
        <w:rPr>
          <w:spacing w:val="-36"/>
        </w:rPr>
        <w:t> </w:t>
      </w:r>
      <w:r>
        <w:rPr/>
        <w:t>catchment</w:t>
      </w:r>
      <w:r>
        <w:rPr>
          <w:spacing w:val="-27"/>
        </w:rPr>
        <w:t> </w:t>
      </w:r>
      <w:r>
        <w:rPr/>
        <w:t>wide</w:t>
      </w:r>
      <w:r>
        <w:rPr>
          <w:spacing w:val="-35"/>
        </w:rPr>
        <w:t> </w:t>
      </w:r>
      <w:r>
        <w:rPr/>
        <w:t>collaboration</w:t>
      </w:r>
    </w:p>
    <w:p>
      <w:pPr>
        <w:spacing w:after="0" w:line="261" w:lineRule="auto"/>
        <w:sectPr>
          <w:pgSz w:w="11920" w:h="16850"/>
          <w:pgMar w:header="0" w:footer="1246" w:top="580" w:bottom="1440" w:left="440" w:right="560"/>
        </w:sect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line="264" w:lineRule="auto" w:before="92"/>
        <w:ind w:left="978" w:right="221" w:firstLine="3"/>
      </w:pPr>
      <w:r>
        <w:rPr/>
        <w:pict>
          <v:group style="position:absolute;margin-left:537.554504pt;margin-top:-50.127747pt;width:5.8pt;height:34.6pt;mso-position-horizontal-relative:page;mso-position-vertical-relative:paragraph;z-index:3088" coordorigin="10751,-1003" coordsize="116,692">
            <v:shape style="position:absolute;left:10751;top:-1003;width:116;height:39" type="#_x0000_t75" stroked="false">
              <v:imagedata r:id="rId27" o:title=""/>
            </v:shape>
            <v:shape style="position:absolute;left:10827;top:-389;width:39;height:77" type="#_x0000_t75" stroked="false">
              <v:imagedata r:id="rId28" o:title=""/>
            </v:shape>
            <v:line style="position:absolute" from="10804,-1003" to="10804,-321" stroked="true" strokeweight="5.279551pt" strokecolor="#d85970">
              <v:stroke dashstyle="solid"/>
            </v:line>
            <w10:wrap type="none"/>
          </v:group>
        </w:pict>
      </w:r>
      <w:bookmarkStart w:name="Leeds LFRMS 2018 Update_Page_44" w:id="62"/>
      <w:bookmarkEnd w:id="62"/>
      <w:r>
        <w:rPr/>
      </w:r>
      <w:r>
        <w:rPr/>
        <w:t>and working, and develop ambitious integrated schemes. The board includes the Environment Agency,</w:t>
      </w:r>
      <w:r>
        <w:rPr>
          <w:spacing w:val="-37"/>
        </w:rPr>
        <w:t> </w:t>
      </w:r>
      <w:r>
        <w:rPr/>
        <w:t>Yorkshire</w:t>
      </w:r>
      <w:r>
        <w:rPr>
          <w:spacing w:val="-39"/>
        </w:rPr>
        <w:t> </w:t>
      </w:r>
      <w:r>
        <w:rPr/>
        <w:t>Water</w:t>
      </w:r>
      <w:r>
        <w:rPr>
          <w:spacing w:val="-38"/>
        </w:rPr>
        <w:t> </w:t>
      </w:r>
      <w:r>
        <w:rPr/>
        <w:t>as</w:t>
      </w:r>
      <w:r>
        <w:rPr>
          <w:spacing w:val="-46"/>
        </w:rPr>
        <w:t> </w:t>
      </w:r>
      <w:r>
        <w:rPr/>
        <w:t>well</w:t>
      </w:r>
      <w:r>
        <w:rPr>
          <w:spacing w:val="-41"/>
        </w:rPr>
        <w:t> </w:t>
      </w:r>
      <w:r>
        <w:rPr/>
        <w:t>as</w:t>
      </w:r>
      <w:r>
        <w:rPr>
          <w:spacing w:val="-42"/>
        </w:rPr>
        <w:t> </w:t>
      </w:r>
      <w:r>
        <w:rPr/>
        <w:t>LCC</w:t>
      </w:r>
      <w:r>
        <w:rPr>
          <w:spacing w:val="-42"/>
        </w:rPr>
        <w:t> </w:t>
      </w:r>
      <w:r>
        <w:rPr/>
        <w:t>team</w:t>
      </w:r>
      <w:r>
        <w:rPr>
          <w:spacing w:val="-41"/>
        </w:rPr>
        <w:t> </w:t>
      </w:r>
      <w:r>
        <w:rPr/>
        <w:t>representatives</w:t>
      </w:r>
      <w:r>
        <w:rPr>
          <w:spacing w:val="-45"/>
        </w:rPr>
        <w:t> </w:t>
      </w:r>
      <w:r>
        <w:rPr/>
        <w:t>covering:</w:t>
      </w:r>
      <w:r>
        <w:rPr>
          <w:spacing w:val="-37"/>
        </w:rPr>
        <w:t> </w:t>
      </w:r>
      <w:r>
        <w:rPr/>
        <w:t>Flood</w:t>
      </w:r>
      <w:r>
        <w:rPr>
          <w:spacing w:val="-38"/>
        </w:rPr>
        <w:t> </w:t>
      </w:r>
      <w:r>
        <w:rPr/>
        <w:t>Risk,</w:t>
      </w:r>
      <w:r>
        <w:rPr>
          <w:spacing w:val="-36"/>
        </w:rPr>
        <w:t> </w:t>
      </w:r>
      <w:r>
        <w:rPr/>
        <w:t>Development, </w:t>
      </w:r>
      <w:r>
        <w:rPr>
          <w:w w:val="95"/>
        </w:rPr>
        <w:t>Highways and Transport, Planning, Asset Management and Regeneration, Communities, Strategy and Policy, Resources and Housing, Regeneration, Civil Engineering, Communications, Parks and </w:t>
      </w:r>
      <w:r>
        <w:rPr/>
        <w:t>Countryside.</w:t>
      </w:r>
    </w:p>
    <w:p>
      <w:pPr>
        <w:pStyle w:val="BodyText"/>
        <w:spacing w:line="264" w:lineRule="auto" w:before="120"/>
        <w:ind w:left="975" w:right="221" w:firstLine="7"/>
      </w:pPr>
      <w:r>
        <w:rPr/>
        <w:t>LCC</w:t>
      </w:r>
      <w:r>
        <w:rPr>
          <w:spacing w:val="-32"/>
        </w:rPr>
        <w:t> </w:t>
      </w:r>
      <w:r>
        <w:rPr/>
        <w:t>has</w:t>
      </w:r>
      <w:r>
        <w:rPr>
          <w:spacing w:val="-33"/>
        </w:rPr>
        <w:t> </w:t>
      </w:r>
      <w:r>
        <w:rPr/>
        <w:t>expanded</w:t>
      </w:r>
      <w:r>
        <w:rPr>
          <w:spacing w:val="-25"/>
        </w:rPr>
        <w:t> </w:t>
      </w:r>
      <w:r>
        <w:rPr/>
        <w:t>the</w:t>
      </w:r>
      <w:r>
        <w:rPr>
          <w:spacing w:val="-29"/>
        </w:rPr>
        <w:t> </w:t>
      </w:r>
      <w:r>
        <w:rPr/>
        <w:t>capital</w:t>
      </w:r>
      <w:r>
        <w:rPr>
          <w:spacing w:val="-28"/>
        </w:rPr>
        <w:t> </w:t>
      </w:r>
      <w:r>
        <w:rPr/>
        <w:t>programme</w:t>
      </w:r>
      <w:r>
        <w:rPr>
          <w:spacing w:val="-23"/>
        </w:rPr>
        <w:t> </w:t>
      </w:r>
      <w:r>
        <w:rPr/>
        <w:t>to</w:t>
      </w:r>
      <w:r>
        <w:rPr>
          <w:spacing w:val="-32"/>
        </w:rPr>
        <w:t> </w:t>
      </w:r>
      <w:r>
        <w:rPr/>
        <w:t>increase</w:t>
      </w:r>
      <w:r>
        <w:rPr>
          <w:spacing w:val="-24"/>
        </w:rPr>
        <w:t> </w:t>
      </w:r>
      <w:r>
        <w:rPr/>
        <w:t>delivery</w:t>
      </w:r>
      <w:r>
        <w:rPr>
          <w:spacing w:val="-20"/>
        </w:rPr>
        <w:t> </w:t>
      </w:r>
      <w:r>
        <w:rPr/>
        <w:t>capacity</w:t>
      </w:r>
      <w:r>
        <w:rPr>
          <w:spacing w:val="-22"/>
        </w:rPr>
        <w:t> </w:t>
      </w:r>
      <w:r>
        <w:rPr/>
        <w:t>within</w:t>
      </w:r>
      <w:r>
        <w:rPr>
          <w:spacing w:val="-24"/>
        </w:rPr>
        <w:t> </w:t>
      </w:r>
      <w:r>
        <w:rPr/>
        <w:t>LCC</w:t>
      </w:r>
      <w:r>
        <w:rPr>
          <w:spacing w:val="-31"/>
        </w:rPr>
        <w:t> </w:t>
      </w:r>
      <w:r>
        <w:rPr/>
        <w:t>FRM</w:t>
      </w:r>
      <w:r>
        <w:rPr>
          <w:spacing w:val="-25"/>
        </w:rPr>
        <w:t> </w:t>
      </w:r>
      <w:r>
        <w:rPr/>
        <w:t>and</w:t>
      </w:r>
      <w:r>
        <w:rPr>
          <w:spacing w:val="-29"/>
        </w:rPr>
        <w:t> </w:t>
      </w:r>
      <w:r>
        <w:rPr/>
        <w:t>the Civil</w:t>
      </w:r>
      <w:r>
        <w:rPr>
          <w:spacing w:val="-34"/>
        </w:rPr>
        <w:t> </w:t>
      </w:r>
      <w:r>
        <w:rPr/>
        <w:t>Engineering</w:t>
      </w:r>
      <w:r>
        <w:rPr>
          <w:spacing w:val="-31"/>
        </w:rPr>
        <w:t> </w:t>
      </w:r>
      <w:r>
        <w:rPr/>
        <w:t>Major</w:t>
      </w:r>
      <w:r>
        <w:rPr>
          <w:spacing w:val="-37"/>
        </w:rPr>
        <w:t> </w:t>
      </w:r>
      <w:r>
        <w:rPr/>
        <w:t>Project</w:t>
      </w:r>
      <w:r>
        <w:rPr>
          <w:spacing w:val="-33"/>
        </w:rPr>
        <w:t> </w:t>
      </w:r>
      <w:r>
        <w:rPr/>
        <w:t>Flood</w:t>
      </w:r>
      <w:r>
        <w:rPr>
          <w:spacing w:val="-33"/>
        </w:rPr>
        <w:t> </w:t>
      </w:r>
      <w:r>
        <w:rPr/>
        <w:t>Programme</w:t>
      </w:r>
      <w:r>
        <w:rPr>
          <w:spacing w:val="-36"/>
        </w:rPr>
        <w:t> </w:t>
      </w:r>
      <w:r>
        <w:rPr/>
        <w:t>team.</w:t>
      </w:r>
      <w:r>
        <w:rPr>
          <w:spacing w:val="-34"/>
        </w:rPr>
        <w:t> </w:t>
      </w:r>
      <w:r>
        <w:rPr/>
        <w:t>This</w:t>
      </w:r>
      <w:r>
        <w:rPr>
          <w:spacing w:val="-42"/>
        </w:rPr>
        <w:t> </w:t>
      </w:r>
      <w:r>
        <w:rPr/>
        <w:t>includes</w:t>
      </w:r>
      <w:r>
        <w:rPr>
          <w:spacing w:val="-34"/>
        </w:rPr>
        <w:t> </w:t>
      </w:r>
      <w:r>
        <w:rPr/>
        <w:t>a</w:t>
      </w:r>
      <w:r>
        <w:rPr>
          <w:spacing w:val="-44"/>
        </w:rPr>
        <w:t> </w:t>
      </w:r>
      <w:r>
        <w:rPr/>
        <w:t>new</w:t>
      </w:r>
      <w:r>
        <w:rPr>
          <w:spacing w:val="-33"/>
        </w:rPr>
        <w:t> </w:t>
      </w:r>
      <w:r>
        <w:rPr/>
        <w:t>governance</w:t>
      </w:r>
      <w:r>
        <w:rPr>
          <w:spacing w:val="-31"/>
        </w:rPr>
        <w:t> </w:t>
      </w:r>
      <w:r>
        <w:rPr/>
        <w:t>structure including</w:t>
      </w:r>
      <w:r>
        <w:rPr>
          <w:spacing w:val="-37"/>
        </w:rPr>
        <w:t> </w:t>
      </w:r>
      <w:r>
        <w:rPr/>
        <w:t>the</w:t>
      </w:r>
      <w:r>
        <w:rPr>
          <w:spacing w:val="-42"/>
        </w:rPr>
        <w:t> </w:t>
      </w:r>
      <w:r>
        <w:rPr/>
        <w:t>Infrastructure</w:t>
      </w:r>
      <w:r>
        <w:rPr>
          <w:spacing w:val="-44"/>
        </w:rPr>
        <w:t> </w:t>
      </w:r>
      <w:r>
        <w:rPr/>
        <w:t>&amp;</w:t>
      </w:r>
      <w:r>
        <w:rPr>
          <w:spacing w:val="-40"/>
        </w:rPr>
        <w:t> </w:t>
      </w:r>
      <w:r>
        <w:rPr/>
        <w:t>Investment</w:t>
      </w:r>
      <w:r>
        <w:rPr>
          <w:spacing w:val="-34"/>
        </w:rPr>
        <w:t> </w:t>
      </w:r>
      <w:r>
        <w:rPr/>
        <w:t>Group</w:t>
      </w:r>
      <w:r>
        <w:rPr>
          <w:spacing w:val="-37"/>
        </w:rPr>
        <w:t> </w:t>
      </w:r>
      <w:r>
        <w:rPr/>
        <w:t>which</w:t>
      </w:r>
      <w:r>
        <w:rPr>
          <w:spacing w:val="-41"/>
        </w:rPr>
        <w:t> </w:t>
      </w:r>
      <w:r>
        <w:rPr/>
        <w:t>has</w:t>
      </w:r>
      <w:r>
        <w:rPr>
          <w:spacing w:val="-40"/>
        </w:rPr>
        <w:t> </w:t>
      </w:r>
      <w:r>
        <w:rPr/>
        <w:t>supported</w:t>
      </w:r>
      <w:r>
        <w:rPr>
          <w:spacing w:val="-32"/>
        </w:rPr>
        <w:t> </w:t>
      </w:r>
      <w:r>
        <w:rPr/>
        <w:t>evidence</w:t>
      </w:r>
      <w:r>
        <w:rPr>
          <w:spacing w:val="-38"/>
        </w:rPr>
        <w:t> </w:t>
      </w:r>
      <w:r>
        <w:rPr/>
        <w:t>and</w:t>
      </w:r>
      <w:r>
        <w:rPr>
          <w:spacing w:val="-43"/>
        </w:rPr>
        <w:t> </w:t>
      </w:r>
      <w:r>
        <w:rPr/>
        <w:t>mapping</w:t>
      </w:r>
      <w:r>
        <w:rPr>
          <w:spacing w:val="-35"/>
        </w:rPr>
        <w:t> </w:t>
      </w:r>
      <w:r>
        <w:rPr/>
        <w:t>based prioritisation of future</w:t>
      </w:r>
      <w:r>
        <w:rPr>
          <w:spacing w:val="-7"/>
        </w:rPr>
        <w:t> </w:t>
      </w:r>
      <w:r>
        <w:rPr/>
        <w:t>schemes.</w:t>
      </w:r>
    </w:p>
    <w:p>
      <w:pPr>
        <w:spacing w:after="0" w:line="264" w:lineRule="auto"/>
        <w:sectPr>
          <w:pgSz w:w="11920" w:h="16850"/>
          <w:pgMar w:header="0" w:footer="1246" w:top="580" w:bottom="1440" w:left="440" w:right="560"/>
        </w:sect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ListParagraph"/>
        <w:numPr>
          <w:ilvl w:val="0"/>
          <w:numId w:val="13"/>
        </w:numPr>
        <w:tabs>
          <w:tab w:pos="974" w:val="left" w:leader="none"/>
          <w:tab w:pos="975" w:val="left" w:leader="none"/>
        </w:tabs>
        <w:spacing w:line="240" w:lineRule="auto" w:before="90" w:after="0"/>
        <w:ind w:left="974" w:right="0" w:hanging="852"/>
        <w:jc w:val="left"/>
        <w:rPr>
          <w:sz w:val="32"/>
        </w:rPr>
      </w:pPr>
      <w:r>
        <w:rPr/>
        <w:pict>
          <v:line style="position:absolute;mso-position-horizontal-relative:page;mso-position-vertical-relative:paragraph;z-index:1064;mso-wrap-distance-left:0;mso-wrap-distance-right:0" from="27.837641pt,25.867392pt" to="562.272212pt,25.867392pt" stroked="true" strokeweight="1.1999pt" strokecolor="#bc5460">
            <v:stroke dashstyle="solid"/>
            <w10:wrap type="topAndBottom"/>
          </v:line>
        </w:pict>
      </w:r>
      <w:r>
        <w:rPr/>
        <w:pict>
          <v:group style="position:absolute;margin-left:123.349602pt;margin-top:-50.806358pt;width:5.3pt;height:35.050pt;mso-position-horizontal-relative:page;mso-position-vertical-relative:paragraph;z-index:3136" coordorigin="2467,-1016" coordsize="106,701">
            <v:shape style="position:absolute;left:2467;top:-1017;width:106;height:48" type="#_x0000_t75" stroked="false">
              <v:imagedata r:id="rId14" o:title=""/>
            </v:shape>
            <v:shape style="position:absolute;left:2486;top:-354;width:87;height:39" type="#_x0000_t75" stroked="false">
              <v:imagedata r:id="rId15" o:title=""/>
            </v:shape>
            <v:line style="position:absolute" from="2515,-1016" to="2515,-325" stroked="true" strokeweight="4.799592pt" strokecolor="#ff6477">
              <v:stroke dashstyle="solid"/>
            </v:line>
            <w10:wrap type="none"/>
          </v:group>
        </w:pict>
      </w:r>
      <w:bookmarkStart w:name="Leeds LFRMS 2018 Update_Page_45" w:id="63"/>
      <w:bookmarkEnd w:id="63"/>
      <w:r>
        <w:rPr/>
      </w:r>
      <w:bookmarkStart w:name="Leeds LFRMS 2018 Update_Page_45" w:id="64"/>
      <w:bookmarkEnd w:id="64"/>
      <w:r>
        <w:rPr>
          <w:sz w:val="32"/>
        </w:rPr>
        <w:t>RELEVAN</w:t>
      </w:r>
      <w:r>
        <w:rPr>
          <w:sz w:val="32"/>
        </w:rPr>
        <w:t>T GUIDANCE AND</w:t>
      </w:r>
      <w:r>
        <w:rPr>
          <w:spacing w:val="53"/>
          <w:sz w:val="32"/>
        </w:rPr>
        <w:t> </w:t>
      </w:r>
      <w:r>
        <w:rPr>
          <w:sz w:val="32"/>
        </w:rPr>
        <w:t>INFORMATION</w:t>
      </w:r>
    </w:p>
    <w:p>
      <w:pPr>
        <w:pStyle w:val="BodyText"/>
        <w:spacing w:line="261" w:lineRule="auto" w:before="211"/>
        <w:ind w:left="982" w:right="221" w:hanging="2"/>
      </w:pPr>
      <w:r>
        <w:rPr/>
        <w:t>Framework</w:t>
      </w:r>
      <w:r>
        <w:rPr>
          <w:spacing w:val="-27"/>
        </w:rPr>
        <w:t> </w:t>
      </w:r>
      <w:r>
        <w:rPr/>
        <w:t>to</w:t>
      </w:r>
      <w:r>
        <w:rPr>
          <w:spacing w:val="-38"/>
        </w:rPr>
        <w:t> </w:t>
      </w:r>
      <w:r>
        <w:rPr/>
        <w:t>assist</w:t>
      </w:r>
      <w:r>
        <w:rPr>
          <w:spacing w:val="-37"/>
        </w:rPr>
        <w:t> </w:t>
      </w:r>
      <w:r>
        <w:rPr/>
        <w:t>the</w:t>
      </w:r>
      <w:r>
        <w:rPr>
          <w:spacing w:val="-36"/>
        </w:rPr>
        <w:t> </w:t>
      </w:r>
      <w:r>
        <w:rPr/>
        <w:t>development</w:t>
      </w:r>
      <w:r>
        <w:rPr>
          <w:spacing w:val="-26"/>
        </w:rPr>
        <w:t> </w:t>
      </w:r>
      <w:r>
        <w:rPr/>
        <w:t>of</w:t>
      </w:r>
      <w:r>
        <w:rPr>
          <w:spacing w:val="-37"/>
        </w:rPr>
        <w:t> </w:t>
      </w:r>
      <w:r>
        <w:rPr/>
        <w:t>the</w:t>
      </w:r>
      <w:r>
        <w:rPr>
          <w:spacing w:val="-36"/>
        </w:rPr>
        <w:t> </w:t>
      </w:r>
      <w:r>
        <w:rPr/>
        <w:t>Local</w:t>
      </w:r>
      <w:r>
        <w:rPr>
          <w:spacing w:val="-34"/>
        </w:rPr>
        <w:t> </w:t>
      </w:r>
      <w:r>
        <w:rPr/>
        <w:t>Strategy</w:t>
      </w:r>
      <w:r>
        <w:rPr>
          <w:spacing w:val="-32"/>
        </w:rPr>
        <w:t> </w:t>
      </w:r>
      <w:r>
        <w:rPr/>
        <w:t>for</w:t>
      </w:r>
      <w:r>
        <w:rPr>
          <w:spacing w:val="-35"/>
        </w:rPr>
        <w:t> </w:t>
      </w:r>
      <w:r>
        <w:rPr/>
        <w:t>Flood</w:t>
      </w:r>
      <w:r>
        <w:rPr>
          <w:spacing w:val="-33"/>
        </w:rPr>
        <w:t> </w:t>
      </w:r>
      <w:r>
        <w:rPr/>
        <w:t>Risk</w:t>
      </w:r>
      <w:r>
        <w:rPr>
          <w:spacing w:val="-31"/>
        </w:rPr>
        <w:t> </w:t>
      </w:r>
      <w:r>
        <w:rPr/>
        <w:t>Management,</w:t>
      </w:r>
      <w:r>
        <w:rPr>
          <w:spacing w:val="-24"/>
        </w:rPr>
        <w:t> </w:t>
      </w:r>
      <w:r>
        <w:rPr/>
        <w:t>‘A</w:t>
      </w:r>
      <w:r>
        <w:rPr>
          <w:spacing w:val="-37"/>
        </w:rPr>
        <w:t> </w:t>
      </w:r>
      <w:r>
        <w:rPr/>
        <w:t>Living Document’, 2nd Edition, Local Government Association, November</w:t>
      </w:r>
      <w:r>
        <w:rPr>
          <w:spacing w:val="29"/>
        </w:rPr>
        <w:t> </w:t>
      </w:r>
      <w:r>
        <w:rPr/>
        <w:t>2011.</w:t>
      </w:r>
    </w:p>
    <w:p>
      <w:pPr>
        <w:pStyle w:val="BodyText"/>
        <w:spacing w:line="261" w:lineRule="auto" w:before="124"/>
        <w:ind w:left="983" w:right="221" w:hanging="2"/>
      </w:pPr>
      <w:r>
        <w:rPr/>
        <w:t>National</w:t>
      </w:r>
      <w:r>
        <w:rPr>
          <w:spacing w:val="-35"/>
        </w:rPr>
        <w:t> </w:t>
      </w:r>
      <w:r>
        <w:rPr/>
        <w:t>Flood</w:t>
      </w:r>
      <w:r>
        <w:rPr>
          <w:spacing w:val="-36"/>
        </w:rPr>
        <w:t> </w:t>
      </w:r>
      <w:r>
        <w:rPr/>
        <w:t>and</w:t>
      </w:r>
      <w:r>
        <w:rPr>
          <w:spacing w:val="-38"/>
        </w:rPr>
        <w:t> </w:t>
      </w:r>
      <w:r>
        <w:rPr/>
        <w:t>Coastal</w:t>
      </w:r>
      <w:r>
        <w:rPr>
          <w:spacing w:val="-29"/>
        </w:rPr>
        <w:t> </w:t>
      </w:r>
      <w:r>
        <w:rPr/>
        <w:t>Erosion</w:t>
      </w:r>
      <w:r>
        <w:rPr>
          <w:spacing w:val="-33"/>
        </w:rPr>
        <w:t> </w:t>
      </w:r>
      <w:r>
        <w:rPr/>
        <w:t>Risk</w:t>
      </w:r>
      <w:r>
        <w:rPr>
          <w:spacing w:val="-34"/>
        </w:rPr>
        <w:t> </w:t>
      </w:r>
      <w:r>
        <w:rPr/>
        <w:t>Management</w:t>
      </w:r>
      <w:r>
        <w:rPr>
          <w:spacing w:val="-29"/>
        </w:rPr>
        <w:t> </w:t>
      </w:r>
      <w:r>
        <w:rPr/>
        <w:t>Strategy</w:t>
      </w:r>
      <w:r>
        <w:rPr>
          <w:spacing w:val="-35"/>
        </w:rPr>
        <w:t> </w:t>
      </w:r>
      <w:r>
        <w:rPr/>
        <w:t>for</w:t>
      </w:r>
      <w:r>
        <w:rPr>
          <w:spacing w:val="-38"/>
        </w:rPr>
        <w:t> </w:t>
      </w:r>
      <w:r>
        <w:rPr/>
        <w:t>England,</w:t>
      </w:r>
      <w:r>
        <w:rPr>
          <w:spacing w:val="-30"/>
        </w:rPr>
        <w:t> </w:t>
      </w:r>
      <w:r>
        <w:rPr/>
        <w:t>EA</w:t>
      </w:r>
      <w:r>
        <w:rPr>
          <w:spacing w:val="-36"/>
        </w:rPr>
        <w:t> </w:t>
      </w:r>
      <w:r>
        <w:rPr/>
        <w:t>and</w:t>
      </w:r>
      <w:r>
        <w:rPr>
          <w:spacing w:val="-34"/>
        </w:rPr>
        <w:t> </w:t>
      </w:r>
      <w:r>
        <w:rPr/>
        <w:t>Defra,</w:t>
      </w:r>
      <w:r>
        <w:rPr>
          <w:spacing w:val="-37"/>
        </w:rPr>
        <w:t> </w:t>
      </w:r>
      <w:r>
        <w:rPr/>
        <w:t>July 2011.</w:t>
      </w:r>
    </w:p>
    <w:p>
      <w:pPr>
        <w:pStyle w:val="BodyText"/>
        <w:spacing w:line="374" w:lineRule="auto" w:before="124"/>
        <w:ind w:left="981" w:right="1400"/>
      </w:pPr>
      <w:r>
        <w:rPr>
          <w:w w:val="95"/>
        </w:rPr>
        <w:t>Flood and Water Management Act (FWMA), Her Majesty's Stationery Office, 2010. </w:t>
      </w:r>
      <w:r>
        <w:rPr/>
        <w:t>Flood Risk Regulations (FRR), Her Majesty's Stationery Office, 2009.</w:t>
      </w:r>
    </w:p>
    <w:p>
      <w:pPr>
        <w:pStyle w:val="BodyText"/>
        <w:spacing w:before="1"/>
        <w:ind w:left="977"/>
      </w:pPr>
      <w:r>
        <w:rPr/>
        <w:t>Water Framework Directive (WFD), European Parliament, 2010.</w:t>
      </w:r>
    </w:p>
    <w:p>
      <w:pPr>
        <w:pStyle w:val="BodyText"/>
        <w:spacing w:line="374" w:lineRule="auto" w:before="148"/>
        <w:ind w:left="979" w:right="1400" w:firstLine="2"/>
      </w:pPr>
      <w:r>
        <w:rPr>
          <w:w w:val="95"/>
        </w:rPr>
        <w:t>Preliminary Flood Risk Assessment (PFRA), Leeds City Council, September 2011. </w:t>
      </w:r>
      <w:r>
        <w:rPr/>
        <w:t>Strategic Flood Risk Assessment (SFRA), Leeds City Council, October 2007.</w:t>
      </w:r>
    </w:p>
    <w:p>
      <w:pPr>
        <w:pStyle w:val="BodyText"/>
        <w:spacing w:line="271" w:lineRule="auto"/>
        <w:ind w:left="983" w:right="221" w:hanging="3"/>
      </w:pPr>
      <w:r>
        <w:rPr>
          <w:w w:val="95"/>
        </w:rPr>
        <w:t>Environmental Assessment of Plans and Programmes Regulations, Her Majesty's Stationery Office, </w:t>
      </w:r>
      <w:r>
        <w:rPr/>
        <w:t>2004.</w:t>
      </w:r>
    </w:p>
    <w:p>
      <w:pPr>
        <w:pStyle w:val="Heading3"/>
        <w:spacing w:line="249" w:lineRule="auto" w:before="94"/>
        <w:ind w:left="977" w:right="221" w:firstLine="4"/>
      </w:pPr>
      <w:r>
        <w:rPr>
          <w:w w:val="95"/>
        </w:rPr>
        <w:t>National</w:t>
      </w:r>
      <w:r>
        <w:rPr>
          <w:spacing w:val="-36"/>
          <w:w w:val="95"/>
        </w:rPr>
        <w:t> </w:t>
      </w:r>
      <w:r>
        <w:rPr>
          <w:w w:val="95"/>
        </w:rPr>
        <w:t>Planning</w:t>
      </w:r>
      <w:r>
        <w:rPr>
          <w:spacing w:val="-34"/>
          <w:w w:val="95"/>
        </w:rPr>
        <w:t> </w:t>
      </w:r>
      <w:r>
        <w:rPr>
          <w:w w:val="95"/>
        </w:rPr>
        <w:t>Policy</w:t>
      </w:r>
      <w:r>
        <w:rPr>
          <w:spacing w:val="-33"/>
          <w:w w:val="95"/>
        </w:rPr>
        <w:t> </w:t>
      </w:r>
      <w:r>
        <w:rPr>
          <w:w w:val="95"/>
        </w:rPr>
        <w:t>Framework</w:t>
      </w:r>
      <w:r>
        <w:rPr>
          <w:spacing w:val="-31"/>
          <w:w w:val="95"/>
        </w:rPr>
        <w:t> </w:t>
      </w:r>
      <w:r>
        <w:rPr>
          <w:w w:val="95"/>
        </w:rPr>
        <w:t>(NPPF),</w:t>
      </w:r>
      <w:r>
        <w:rPr>
          <w:spacing w:val="-32"/>
          <w:w w:val="95"/>
        </w:rPr>
        <w:t> </w:t>
      </w:r>
      <w:r>
        <w:rPr>
          <w:w w:val="95"/>
        </w:rPr>
        <w:t>Ministry</w:t>
      </w:r>
      <w:r>
        <w:rPr>
          <w:spacing w:val="-34"/>
          <w:w w:val="95"/>
        </w:rPr>
        <w:t> </w:t>
      </w:r>
      <w:r>
        <w:rPr>
          <w:w w:val="95"/>
        </w:rPr>
        <w:t>of</w:t>
      </w:r>
      <w:r>
        <w:rPr>
          <w:spacing w:val="-39"/>
          <w:w w:val="95"/>
        </w:rPr>
        <w:t> </w:t>
      </w:r>
      <w:r>
        <w:rPr>
          <w:w w:val="95"/>
        </w:rPr>
        <w:t>Housing,</w:t>
      </w:r>
      <w:r>
        <w:rPr>
          <w:spacing w:val="-33"/>
          <w:w w:val="95"/>
        </w:rPr>
        <w:t> </w:t>
      </w:r>
      <w:r>
        <w:rPr>
          <w:w w:val="95"/>
        </w:rPr>
        <w:t>Communities</w:t>
      </w:r>
      <w:r>
        <w:rPr>
          <w:spacing w:val="-32"/>
          <w:w w:val="95"/>
        </w:rPr>
        <w:t> </w:t>
      </w:r>
      <w:r>
        <w:rPr>
          <w:w w:val="95"/>
        </w:rPr>
        <w:t>&amp;</w:t>
      </w:r>
      <w:r>
        <w:rPr>
          <w:spacing w:val="-36"/>
          <w:w w:val="95"/>
        </w:rPr>
        <w:t> </w:t>
      </w:r>
      <w:r>
        <w:rPr>
          <w:w w:val="95"/>
        </w:rPr>
        <w:t>Local </w:t>
      </w:r>
      <w:r>
        <w:rPr/>
        <w:t>Government, March</w:t>
      </w:r>
      <w:r>
        <w:rPr>
          <w:spacing w:val="-37"/>
        </w:rPr>
        <w:t> </w:t>
      </w:r>
      <w:r>
        <w:rPr/>
        <w:t>2012.</w:t>
      </w:r>
    </w:p>
    <w:p>
      <w:pPr>
        <w:pStyle w:val="BodyText"/>
        <w:spacing w:line="261" w:lineRule="auto" w:before="136"/>
        <w:ind w:left="983" w:right="221" w:hanging="1"/>
      </w:pPr>
      <w:r>
        <w:rPr/>
        <w:t>Planning</w:t>
      </w:r>
      <w:r>
        <w:rPr>
          <w:spacing w:val="-34"/>
        </w:rPr>
        <w:t> </w:t>
      </w:r>
      <w:r>
        <w:rPr/>
        <w:t>Practice</w:t>
      </w:r>
      <w:r>
        <w:rPr>
          <w:spacing w:val="-39"/>
        </w:rPr>
        <w:t> </w:t>
      </w:r>
      <w:r>
        <w:rPr/>
        <w:t>Guidance:</w:t>
      </w:r>
      <w:r>
        <w:rPr>
          <w:spacing w:val="-32"/>
        </w:rPr>
        <w:t> </w:t>
      </w:r>
      <w:r>
        <w:rPr/>
        <w:t>Flood</w:t>
      </w:r>
      <w:r>
        <w:rPr>
          <w:spacing w:val="-41"/>
        </w:rPr>
        <w:t> </w:t>
      </w:r>
      <w:r>
        <w:rPr/>
        <w:t>risk</w:t>
      </w:r>
      <w:r>
        <w:rPr>
          <w:spacing w:val="-37"/>
        </w:rPr>
        <w:t> </w:t>
      </w:r>
      <w:r>
        <w:rPr/>
        <w:t>and</w:t>
      </w:r>
      <w:r>
        <w:rPr>
          <w:spacing w:val="-41"/>
        </w:rPr>
        <w:t> </w:t>
      </w:r>
      <w:r>
        <w:rPr/>
        <w:t>coastal</w:t>
      </w:r>
      <w:r>
        <w:rPr>
          <w:spacing w:val="-39"/>
        </w:rPr>
        <w:t> </w:t>
      </w:r>
      <w:r>
        <w:rPr/>
        <w:t>change,</w:t>
      </w:r>
      <w:r>
        <w:rPr>
          <w:spacing w:val="-35"/>
        </w:rPr>
        <w:t> </w:t>
      </w:r>
      <w:r>
        <w:rPr/>
        <w:t>Ministry</w:t>
      </w:r>
      <w:r>
        <w:rPr>
          <w:spacing w:val="-39"/>
        </w:rPr>
        <w:t> </w:t>
      </w:r>
      <w:r>
        <w:rPr/>
        <w:t>of</w:t>
      </w:r>
      <w:r>
        <w:rPr>
          <w:spacing w:val="-40"/>
        </w:rPr>
        <w:t> </w:t>
      </w:r>
      <w:r>
        <w:rPr/>
        <w:t>Housing,</w:t>
      </w:r>
      <w:r>
        <w:rPr>
          <w:spacing w:val="-35"/>
        </w:rPr>
        <w:t> </w:t>
      </w:r>
      <w:r>
        <w:rPr/>
        <w:t>Communities</w:t>
      </w:r>
      <w:r>
        <w:rPr>
          <w:spacing w:val="-35"/>
        </w:rPr>
        <w:t> </w:t>
      </w:r>
      <w:r>
        <w:rPr/>
        <w:t>&amp; Local Government, March</w:t>
      </w:r>
      <w:r>
        <w:rPr>
          <w:spacing w:val="-28"/>
        </w:rPr>
        <w:t> </w:t>
      </w:r>
      <w:r>
        <w:rPr/>
        <w:t>2014.</w:t>
      </w:r>
    </w:p>
    <w:p>
      <w:pPr>
        <w:pStyle w:val="BodyText"/>
        <w:spacing w:line="374" w:lineRule="auto" w:before="124"/>
        <w:ind w:left="979" w:right="1400" w:firstLine="1"/>
      </w:pPr>
      <w:r>
        <w:rPr/>
        <w:t>Aire</w:t>
      </w:r>
      <w:r>
        <w:rPr>
          <w:spacing w:val="-40"/>
        </w:rPr>
        <w:t> </w:t>
      </w:r>
      <w:r>
        <w:rPr/>
        <w:t>Catchment</w:t>
      </w:r>
      <w:r>
        <w:rPr>
          <w:spacing w:val="-34"/>
        </w:rPr>
        <w:t> </w:t>
      </w:r>
      <w:r>
        <w:rPr/>
        <w:t>Flood</w:t>
      </w:r>
      <w:r>
        <w:rPr>
          <w:spacing w:val="-35"/>
        </w:rPr>
        <w:t> </w:t>
      </w:r>
      <w:r>
        <w:rPr/>
        <w:t>Management</w:t>
      </w:r>
      <w:r>
        <w:rPr>
          <w:spacing w:val="-28"/>
        </w:rPr>
        <w:t> </w:t>
      </w:r>
      <w:r>
        <w:rPr/>
        <w:t>Plan</w:t>
      </w:r>
      <w:r>
        <w:rPr>
          <w:spacing w:val="-40"/>
        </w:rPr>
        <w:t> </w:t>
      </w:r>
      <w:r>
        <w:rPr/>
        <w:t>(CFMP),</w:t>
      </w:r>
      <w:r>
        <w:rPr>
          <w:spacing w:val="-36"/>
        </w:rPr>
        <w:t> </w:t>
      </w:r>
      <w:r>
        <w:rPr/>
        <w:t>Environment</w:t>
      </w:r>
      <w:r>
        <w:rPr>
          <w:spacing w:val="-29"/>
        </w:rPr>
        <w:t> </w:t>
      </w:r>
      <w:r>
        <w:rPr/>
        <w:t>Agency,</w:t>
      </w:r>
      <w:r>
        <w:rPr>
          <w:spacing w:val="-32"/>
        </w:rPr>
        <w:t> </w:t>
      </w:r>
      <w:r>
        <w:rPr/>
        <w:t>July</w:t>
      </w:r>
      <w:r>
        <w:rPr>
          <w:spacing w:val="-34"/>
        </w:rPr>
        <w:t> </w:t>
      </w:r>
      <w:r>
        <w:rPr/>
        <w:t>2010. </w:t>
      </w:r>
      <w:r>
        <w:rPr>
          <w:w w:val="95"/>
        </w:rPr>
        <w:t>Ouse Catchment Flood Management Plan (CFMP), Environment Agency, July</w:t>
      </w:r>
      <w:r>
        <w:rPr>
          <w:spacing w:val="12"/>
          <w:w w:val="95"/>
        </w:rPr>
        <w:t> </w:t>
      </w:r>
      <w:r>
        <w:rPr>
          <w:w w:val="95"/>
        </w:rPr>
        <w:t>2010.</w:t>
      </w:r>
    </w:p>
    <w:p>
      <w:pPr>
        <w:pStyle w:val="BodyText"/>
        <w:spacing w:line="261" w:lineRule="auto" w:before="1"/>
        <w:ind w:left="981" w:right="221" w:hanging="3"/>
      </w:pPr>
      <w:r>
        <w:rPr/>
        <w:t>Guidance</w:t>
      </w:r>
      <w:r>
        <w:rPr>
          <w:spacing w:val="-37"/>
        </w:rPr>
        <w:t> </w:t>
      </w:r>
      <w:r>
        <w:rPr/>
        <w:t>for</w:t>
      </w:r>
      <w:r>
        <w:rPr>
          <w:spacing w:val="-39"/>
        </w:rPr>
        <w:t> </w:t>
      </w:r>
      <w:r>
        <w:rPr/>
        <w:t>Risk</w:t>
      </w:r>
      <w:r>
        <w:rPr>
          <w:spacing w:val="-34"/>
        </w:rPr>
        <w:t> </w:t>
      </w:r>
      <w:r>
        <w:rPr/>
        <w:t>Management</w:t>
      </w:r>
      <w:r>
        <w:rPr>
          <w:spacing w:val="-28"/>
        </w:rPr>
        <w:t> </w:t>
      </w:r>
      <w:r>
        <w:rPr/>
        <w:t>Authorities</w:t>
      </w:r>
      <w:r>
        <w:rPr>
          <w:spacing w:val="-31"/>
        </w:rPr>
        <w:t> </w:t>
      </w:r>
      <w:r>
        <w:rPr/>
        <w:t>on</w:t>
      </w:r>
      <w:r>
        <w:rPr>
          <w:spacing w:val="-38"/>
        </w:rPr>
        <w:t> </w:t>
      </w:r>
      <w:r>
        <w:rPr/>
        <w:t>sustainable</w:t>
      </w:r>
      <w:r>
        <w:rPr>
          <w:spacing w:val="-31"/>
        </w:rPr>
        <w:t> </w:t>
      </w:r>
      <w:r>
        <w:rPr/>
        <w:t>development</w:t>
      </w:r>
      <w:r>
        <w:rPr>
          <w:spacing w:val="-30"/>
        </w:rPr>
        <w:t> </w:t>
      </w:r>
      <w:r>
        <w:rPr/>
        <w:t>in</w:t>
      </w:r>
      <w:r>
        <w:rPr>
          <w:spacing w:val="-40"/>
        </w:rPr>
        <w:t> </w:t>
      </w:r>
      <w:r>
        <w:rPr/>
        <w:t>relation</w:t>
      </w:r>
      <w:r>
        <w:rPr>
          <w:spacing w:val="-39"/>
        </w:rPr>
        <w:t> </w:t>
      </w:r>
      <w:r>
        <w:rPr/>
        <w:t>to</w:t>
      </w:r>
      <w:r>
        <w:rPr>
          <w:spacing w:val="-42"/>
        </w:rPr>
        <w:t> </w:t>
      </w:r>
      <w:r>
        <w:rPr/>
        <w:t>their</w:t>
      </w:r>
      <w:r>
        <w:rPr>
          <w:spacing w:val="-38"/>
        </w:rPr>
        <w:t> </w:t>
      </w:r>
      <w:r>
        <w:rPr/>
        <w:t>flood</w:t>
      </w:r>
      <w:r>
        <w:rPr>
          <w:spacing w:val="-36"/>
        </w:rPr>
        <w:t> </w:t>
      </w:r>
      <w:r>
        <w:rPr/>
        <w:t>and coastal erosion risk management functions, Defra, October</w:t>
      </w:r>
      <w:r>
        <w:rPr>
          <w:spacing w:val="-21"/>
        </w:rPr>
        <w:t> </w:t>
      </w:r>
      <w:r>
        <w:rPr/>
        <w:t>2011.</w:t>
      </w:r>
    </w:p>
    <w:p>
      <w:pPr>
        <w:pStyle w:val="BodyText"/>
        <w:spacing w:line="261" w:lineRule="auto" w:before="124"/>
        <w:ind w:left="978" w:right="221" w:firstLine="3"/>
      </w:pPr>
      <w:r>
        <w:rPr>
          <w:w w:val="95"/>
        </w:rPr>
        <w:t>Natural Resources and Waste Local Plan, Leeds Local Development Framework, Leeds City </w:t>
      </w:r>
      <w:r>
        <w:rPr/>
        <w:t>Council, January 2013.</w:t>
      </w:r>
    </w:p>
    <w:p>
      <w:pPr>
        <w:pStyle w:val="BodyText"/>
        <w:spacing w:line="369" w:lineRule="auto" w:before="124"/>
        <w:ind w:left="977" w:right="1055"/>
        <w:jc w:val="both"/>
      </w:pPr>
      <w:r>
        <w:rPr>
          <w:w w:val="95"/>
        </w:rPr>
        <w:t>Core Strategy, Leeds Local Development Framework, Leeds City Council, November 2014. Water Environment (Water Framework) Regulations, Her Majesty's Stationery Office, 2017. </w:t>
      </w:r>
      <w:r>
        <w:rPr/>
        <w:t>European Union Withdrawal Act, Her Majesty's Stationery Office, 2018.</w:t>
      </w:r>
    </w:p>
    <w:p>
      <w:pPr>
        <w:pStyle w:val="BodyText"/>
        <w:spacing w:before="7"/>
        <w:ind w:left="982"/>
      </w:pPr>
      <w:r>
        <w:rPr/>
        <w:t>Preliminary Flood Risk Assessment (PFRA) Update, Leeds City Council, June 2017.</w:t>
      </w:r>
    </w:p>
    <w:p>
      <w:pPr>
        <w:pStyle w:val="BodyText"/>
        <w:spacing w:line="261" w:lineRule="auto" w:before="148"/>
        <w:ind w:left="981" w:right="221" w:firstLine="3"/>
      </w:pPr>
      <w:r>
        <w:rPr>
          <w:w w:val="95"/>
        </w:rPr>
        <w:t>The National Planning Policy Framework and relevant planning practice guidance, Ministry of </w:t>
      </w:r>
      <w:r>
        <w:rPr/>
        <w:t>Housing, Communities &amp; Local Government, Nov</w:t>
      </w:r>
      <w:r>
        <w:rPr>
          <w:spacing w:val="54"/>
        </w:rPr>
        <w:t> </w:t>
      </w:r>
      <w:r>
        <w:rPr/>
        <w:t>2016.</w:t>
      </w:r>
    </w:p>
    <w:p>
      <w:pPr>
        <w:pStyle w:val="BodyText"/>
        <w:spacing w:line="271" w:lineRule="auto" w:before="124"/>
        <w:ind w:left="976" w:right="221" w:firstLine="5"/>
      </w:pPr>
      <w:r>
        <w:rPr>
          <w:w w:val="95"/>
        </w:rPr>
        <w:t>Humber River Basin District Management Plan (RBMP), Environment Agency, February 2016 </w:t>
      </w:r>
      <w:r>
        <w:rPr/>
        <w:t>(Updated June 2018).</w:t>
      </w:r>
    </w:p>
    <w:p>
      <w:pPr>
        <w:pStyle w:val="BodyText"/>
        <w:spacing w:line="271" w:lineRule="auto" w:before="103"/>
        <w:ind w:left="981" w:right="221" w:hanging="1"/>
      </w:pPr>
      <w:r>
        <w:rPr>
          <w:w w:val="95"/>
        </w:rPr>
        <w:t>Adapting to Climate Change: Advice for Flood and Coastal Erosion Risk Management Authorities, </w:t>
      </w:r>
      <w:r>
        <w:rPr/>
        <w:t>Environment Agency, September 2011 (Updated April 2016).</w:t>
      </w:r>
    </w:p>
    <w:p>
      <w:pPr>
        <w:pStyle w:val="BodyText"/>
        <w:spacing w:line="364" w:lineRule="auto" w:before="113"/>
        <w:ind w:left="982" w:right="959" w:hanging="3"/>
      </w:pPr>
      <w:r>
        <w:rPr>
          <w:w w:val="95"/>
        </w:rPr>
        <w:t>Supplementary Guidance No. 22 ‘Sustainable Drainage In Leeds’, Leeds City Council, 2004. </w:t>
      </w:r>
      <w:r>
        <w:rPr/>
        <w:t>Multi-agency Flood Plan Review, Defra, June</w:t>
      </w:r>
      <w:r>
        <w:rPr>
          <w:spacing w:val="51"/>
        </w:rPr>
        <w:t> </w:t>
      </w:r>
      <w:r>
        <w:rPr/>
        <w:t>2018.</w:t>
      </w:r>
    </w:p>
    <w:p>
      <w:pPr>
        <w:spacing w:after="0" w:line="364" w:lineRule="auto"/>
        <w:sectPr>
          <w:pgSz w:w="11920" w:h="16850"/>
          <w:pgMar w:header="0" w:footer="1246" w:top="580" w:bottom="1440" w:left="440" w:right="560"/>
        </w:sect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ListParagraph"/>
        <w:numPr>
          <w:ilvl w:val="0"/>
          <w:numId w:val="13"/>
        </w:numPr>
        <w:tabs>
          <w:tab w:pos="973" w:val="left" w:leader="none"/>
          <w:tab w:pos="974" w:val="left" w:leader="none"/>
        </w:tabs>
        <w:spacing w:line="240" w:lineRule="auto" w:before="90" w:after="0"/>
        <w:ind w:left="973" w:right="0" w:hanging="851"/>
        <w:jc w:val="left"/>
        <w:rPr>
          <w:sz w:val="32"/>
        </w:rPr>
      </w:pPr>
      <w:r>
        <w:rPr/>
        <w:pict>
          <v:line style="position:absolute;mso-position-horizontal-relative:page;mso-position-vertical-relative:paragraph;z-index:1112;mso-wrap-distance-left:0;mso-wrap-distance-right:0" from="27.837641pt,25.867392pt" to="562.272212pt,25.867392pt" stroked="true" strokeweight="1.1999pt" strokecolor="#bc5460">
            <v:stroke dashstyle="solid"/>
            <w10:wrap type="topAndBottom"/>
          </v:line>
        </w:pict>
      </w:r>
      <w:r>
        <w:rPr/>
        <w:pict>
          <v:group style="position:absolute;margin-left:537.554504pt;margin-top:-50.806358pt;width:5.8pt;height:34.6pt;mso-position-horizontal-relative:page;mso-position-vertical-relative:paragraph;z-index:3184" coordorigin="10751,-1016" coordsize="116,692">
            <v:shape style="position:absolute;left:10751;top:-1017;width:116;height:39" type="#_x0000_t75" stroked="false">
              <v:imagedata r:id="rId27" o:title=""/>
            </v:shape>
            <v:shape style="position:absolute;left:10827;top:-402;width:39;height:77" type="#_x0000_t75" stroked="false">
              <v:imagedata r:id="rId28" o:title=""/>
            </v:shape>
            <v:line style="position:absolute" from="10804,-1016" to="10804,-335" stroked="true" strokeweight="5.279551pt" strokecolor="#d85970">
              <v:stroke dashstyle="solid"/>
            </v:line>
            <w10:wrap type="none"/>
          </v:group>
        </w:pict>
      </w:r>
      <w:bookmarkStart w:name="Leeds LFRMS 2018 Update_Page_46" w:id="65"/>
      <w:bookmarkEnd w:id="65"/>
      <w:r>
        <w:rPr/>
      </w:r>
      <w:bookmarkStart w:name="Leeds LFRMS 2018 Update_Page_46" w:id="66"/>
      <w:bookmarkEnd w:id="66"/>
      <w:r>
        <w:rPr>
          <w:sz w:val="32"/>
        </w:rPr>
        <w:t>GLOSSARY</w:t>
      </w:r>
    </w:p>
    <w:p>
      <w:pPr>
        <w:pStyle w:val="BodyText"/>
        <w:rPr>
          <w:sz w:val="20"/>
        </w:rPr>
      </w:pPr>
    </w:p>
    <w:p>
      <w:pPr>
        <w:pStyle w:val="BodyText"/>
        <w:spacing w:before="2"/>
        <w:rPr>
          <w:sz w:val="26"/>
        </w:rPr>
      </w:pPr>
    </w:p>
    <w:p>
      <w:pPr>
        <w:spacing w:after="0"/>
        <w:rPr>
          <w:sz w:val="26"/>
        </w:rPr>
        <w:sectPr>
          <w:pgSz w:w="11920" w:h="16850"/>
          <w:pgMar w:header="0" w:footer="1246" w:top="580" w:bottom="1440" w:left="440" w:right="560"/>
        </w:sectPr>
      </w:pPr>
    </w:p>
    <w:p>
      <w:pPr>
        <w:spacing w:before="102"/>
        <w:ind w:left="978" w:right="0" w:firstLine="0"/>
        <w:jc w:val="left"/>
        <w:rPr>
          <w:sz w:val="22"/>
        </w:rPr>
      </w:pPr>
      <w:r>
        <w:rPr>
          <w:sz w:val="22"/>
        </w:rPr>
        <w:t>Groundwater flooding</w:t>
      </w:r>
    </w:p>
    <w:p>
      <w:pPr>
        <w:pStyle w:val="BodyText"/>
        <w:rPr>
          <w:sz w:val="24"/>
        </w:rPr>
      </w:pPr>
    </w:p>
    <w:p>
      <w:pPr>
        <w:pStyle w:val="BodyText"/>
        <w:rPr>
          <w:sz w:val="24"/>
        </w:rPr>
      </w:pPr>
    </w:p>
    <w:p>
      <w:pPr>
        <w:pStyle w:val="BodyText"/>
        <w:rPr>
          <w:sz w:val="24"/>
        </w:rPr>
      </w:pPr>
    </w:p>
    <w:p>
      <w:pPr>
        <w:spacing w:before="205"/>
        <w:ind w:left="983" w:right="0" w:firstLine="0"/>
        <w:jc w:val="left"/>
        <w:rPr>
          <w:sz w:val="22"/>
        </w:rPr>
      </w:pPr>
      <w:r>
        <w:rPr>
          <w:sz w:val="22"/>
        </w:rPr>
        <w:t>Local flood risk</w:t>
      </w:r>
    </w:p>
    <w:p>
      <w:pPr>
        <w:pStyle w:val="BodyText"/>
        <w:rPr>
          <w:sz w:val="24"/>
        </w:rPr>
      </w:pPr>
    </w:p>
    <w:p>
      <w:pPr>
        <w:pStyle w:val="BodyText"/>
        <w:rPr>
          <w:sz w:val="24"/>
        </w:rPr>
      </w:pPr>
    </w:p>
    <w:p>
      <w:pPr>
        <w:pStyle w:val="BodyText"/>
        <w:rPr>
          <w:sz w:val="24"/>
        </w:rPr>
      </w:pPr>
    </w:p>
    <w:p>
      <w:pPr>
        <w:pStyle w:val="BodyText"/>
        <w:spacing w:before="187"/>
        <w:ind w:left="982"/>
      </w:pPr>
      <w:r>
        <w:rPr/>
        <w:t>Main river</w:t>
      </w:r>
    </w:p>
    <w:p>
      <w:pPr>
        <w:pStyle w:val="BodyText"/>
        <w:rPr>
          <w:sz w:val="26"/>
        </w:rPr>
      </w:pPr>
    </w:p>
    <w:p>
      <w:pPr>
        <w:pStyle w:val="BodyText"/>
        <w:rPr>
          <w:sz w:val="26"/>
        </w:rPr>
      </w:pPr>
    </w:p>
    <w:p>
      <w:pPr>
        <w:pStyle w:val="BodyText"/>
        <w:spacing w:before="7"/>
        <w:rPr>
          <w:sz w:val="37"/>
        </w:rPr>
      </w:pPr>
    </w:p>
    <w:p>
      <w:pPr>
        <w:spacing w:before="1"/>
        <w:ind w:left="979" w:right="0" w:firstLine="0"/>
        <w:jc w:val="left"/>
        <w:rPr>
          <w:sz w:val="22"/>
        </w:rPr>
      </w:pPr>
      <w:r>
        <w:rPr>
          <w:sz w:val="22"/>
        </w:rPr>
        <w:t>Ordinary watercourse</w:t>
      </w:r>
      <w:r>
        <w:rPr>
          <w:spacing w:val="-34"/>
          <w:sz w:val="22"/>
        </w:rPr>
        <w:t> </w:t>
      </w:r>
      <w:r>
        <w:rPr>
          <w:sz w:val="22"/>
        </w:rPr>
        <w:t>flooding</w:t>
      </w:r>
    </w:p>
    <w:p>
      <w:pPr>
        <w:pStyle w:val="BodyText"/>
        <w:rPr>
          <w:sz w:val="24"/>
        </w:rPr>
      </w:pPr>
    </w:p>
    <w:p>
      <w:pPr>
        <w:pStyle w:val="BodyText"/>
        <w:rPr>
          <w:sz w:val="24"/>
        </w:rPr>
      </w:pPr>
    </w:p>
    <w:p>
      <w:pPr>
        <w:spacing w:before="193"/>
        <w:ind w:left="980" w:right="0" w:firstLine="0"/>
        <w:jc w:val="left"/>
        <w:rPr>
          <w:sz w:val="22"/>
        </w:rPr>
      </w:pPr>
      <w:r>
        <w:rPr>
          <w:sz w:val="22"/>
        </w:rPr>
        <w:t>Sewer flooding</w:t>
      </w:r>
    </w:p>
    <w:p>
      <w:pPr>
        <w:pStyle w:val="BodyText"/>
        <w:rPr>
          <w:sz w:val="24"/>
        </w:rPr>
      </w:pPr>
    </w:p>
    <w:p>
      <w:pPr>
        <w:pStyle w:val="BodyText"/>
        <w:rPr>
          <w:sz w:val="24"/>
        </w:rPr>
      </w:pPr>
    </w:p>
    <w:p>
      <w:pPr>
        <w:spacing w:before="184"/>
        <w:ind w:left="980" w:right="0" w:firstLine="0"/>
        <w:jc w:val="left"/>
        <w:rPr>
          <w:sz w:val="22"/>
        </w:rPr>
      </w:pPr>
      <w:r>
        <w:rPr>
          <w:sz w:val="22"/>
        </w:rPr>
        <w:t>Surface water flooding</w:t>
      </w:r>
    </w:p>
    <w:p>
      <w:pPr>
        <w:pStyle w:val="BodyText"/>
        <w:spacing w:line="264" w:lineRule="auto" w:before="93"/>
        <w:ind w:left="160" w:right="197" w:firstLine="9"/>
      </w:pPr>
      <w:r>
        <w:rPr/>
        <w:br w:type="column"/>
      </w:r>
      <w:r>
        <w:rPr/>
        <w:t>This occurs when levels of water in the ground rise above the surface. It is most likely to happen in areas where the ground contains</w:t>
      </w:r>
      <w:r>
        <w:rPr>
          <w:spacing w:val="-33"/>
        </w:rPr>
        <w:t> </w:t>
      </w:r>
      <w:r>
        <w:rPr/>
        <w:t>aquifers.</w:t>
      </w:r>
      <w:r>
        <w:rPr>
          <w:spacing w:val="-26"/>
        </w:rPr>
        <w:t> </w:t>
      </w:r>
      <w:r>
        <w:rPr/>
        <w:t>These</w:t>
      </w:r>
      <w:r>
        <w:rPr>
          <w:spacing w:val="-35"/>
        </w:rPr>
        <w:t> </w:t>
      </w:r>
      <w:r>
        <w:rPr/>
        <w:t>are</w:t>
      </w:r>
      <w:r>
        <w:rPr>
          <w:spacing w:val="-40"/>
        </w:rPr>
        <w:t> </w:t>
      </w:r>
      <w:r>
        <w:rPr/>
        <w:t>permeable</w:t>
      </w:r>
      <w:r>
        <w:rPr>
          <w:spacing w:val="-35"/>
        </w:rPr>
        <w:t> </w:t>
      </w:r>
      <w:r>
        <w:rPr/>
        <w:t>rocks</w:t>
      </w:r>
      <w:r>
        <w:rPr>
          <w:spacing w:val="-39"/>
        </w:rPr>
        <w:t> </w:t>
      </w:r>
      <w:r>
        <w:rPr/>
        <w:t>that</w:t>
      </w:r>
      <w:r>
        <w:rPr>
          <w:spacing w:val="-35"/>
        </w:rPr>
        <w:t> </w:t>
      </w:r>
      <w:r>
        <w:rPr/>
        <w:t>water</w:t>
      </w:r>
      <w:r>
        <w:rPr>
          <w:spacing w:val="-35"/>
        </w:rPr>
        <w:t> </w:t>
      </w:r>
      <w:r>
        <w:rPr/>
        <w:t>can</w:t>
      </w:r>
      <w:r>
        <w:rPr>
          <w:spacing w:val="-35"/>
        </w:rPr>
        <w:t> </w:t>
      </w:r>
      <w:r>
        <w:rPr/>
        <w:t>soak into or pass through</w:t>
      </w:r>
      <w:r>
        <w:rPr>
          <w:spacing w:val="1"/>
        </w:rPr>
        <w:t> </w:t>
      </w:r>
      <w:r>
        <w:rPr/>
        <w:t>easily.</w:t>
      </w:r>
    </w:p>
    <w:p>
      <w:pPr>
        <w:pStyle w:val="BodyText"/>
        <w:spacing w:line="264" w:lineRule="auto" w:before="122"/>
        <w:ind w:left="161" w:right="197" w:firstLine="6"/>
      </w:pPr>
      <w:r>
        <w:rPr/>
        <w:t>Refers</w:t>
      </w:r>
      <w:r>
        <w:rPr>
          <w:spacing w:val="-38"/>
        </w:rPr>
        <w:t> </w:t>
      </w:r>
      <w:r>
        <w:rPr/>
        <w:t>to</w:t>
      </w:r>
      <w:r>
        <w:rPr>
          <w:spacing w:val="-41"/>
        </w:rPr>
        <w:t> </w:t>
      </w:r>
      <w:r>
        <w:rPr/>
        <w:t>flood</w:t>
      </w:r>
      <w:r>
        <w:rPr>
          <w:spacing w:val="-40"/>
        </w:rPr>
        <w:t> </w:t>
      </w:r>
      <w:r>
        <w:rPr/>
        <w:t>risk</w:t>
      </w:r>
      <w:r>
        <w:rPr>
          <w:spacing w:val="-40"/>
        </w:rPr>
        <w:t> </w:t>
      </w:r>
      <w:r>
        <w:rPr/>
        <w:t>from</w:t>
      </w:r>
      <w:r>
        <w:rPr>
          <w:spacing w:val="-31"/>
        </w:rPr>
        <w:t> </w:t>
      </w:r>
      <w:r>
        <w:rPr/>
        <w:t>surface</w:t>
      </w:r>
      <w:r>
        <w:rPr>
          <w:spacing w:val="-38"/>
        </w:rPr>
        <w:t> </w:t>
      </w:r>
      <w:r>
        <w:rPr/>
        <w:t>runoff,</w:t>
      </w:r>
      <w:r>
        <w:rPr>
          <w:spacing w:val="-34"/>
        </w:rPr>
        <w:t> </w:t>
      </w:r>
      <w:r>
        <w:rPr/>
        <w:t>groundwater,</w:t>
      </w:r>
      <w:r>
        <w:rPr>
          <w:spacing w:val="-28"/>
        </w:rPr>
        <w:t> </w:t>
      </w:r>
      <w:r>
        <w:rPr/>
        <w:t>sewer</w:t>
      </w:r>
      <w:r>
        <w:rPr>
          <w:spacing w:val="-38"/>
        </w:rPr>
        <w:t> </w:t>
      </w:r>
      <w:r>
        <w:rPr/>
        <w:t>flooding (attributable</w:t>
      </w:r>
      <w:r>
        <w:rPr>
          <w:spacing w:val="-31"/>
        </w:rPr>
        <w:t> </w:t>
      </w:r>
      <w:r>
        <w:rPr/>
        <w:t>to</w:t>
      </w:r>
      <w:r>
        <w:rPr>
          <w:spacing w:val="-38"/>
        </w:rPr>
        <w:t> </w:t>
      </w:r>
      <w:r>
        <w:rPr/>
        <w:t>rainwater)</w:t>
      </w:r>
      <w:r>
        <w:rPr>
          <w:spacing w:val="-27"/>
        </w:rPr>
        <w:t> </w:t>
      </w:r>
      <w:r>
        <w:rPr/>
        <w:t>and</w:t>
      </w:r>
      <w:r>
        <w:rPr>
          <w:spacing w:val="-31"/>
        </w:rPr>
        <w:t> </w:t>
      </w:r>
      <w:r>
        <w:rPr/>
        <w:t>ordinary</w:t>
      </w:r>
      <w:r>
        <w:rPr>
          <w:spacing w:val="-28"/>
        </w:rPr>
        <w:t> </w:t>
      </w:r>
      <w:r>
        <w:rPr/>
        <w:t>watercourses</w:t>
      </w:r>
      <w:r>
        <w:rPr>
          <w:spacing w:val="-31"/>
        </w:rPr>
        <w:t> </w:t>
      </w:r>
      <w:r>
        <w:rPr/>
        <w:t>-</w:t>
      </w:r>
      <w:r>
        <w:rPr>
          <w:spacing w:val="-38"/>
        </w:rPr>
        <w:t> </w:t>
      </w:r>
      <w:r>
        <w:rPr/>
        <w:t>this</w:t>
      </w:r>
      <w:r>
        <w:rPr>
          <w:spacing w:val="-36"/>
        </w:rPr>
        <w:t> </w:t>
      </w:r>
      <w:r>
        <w:rPr/>
        <w:t>includes lakes, ponds or other areas of water which flow into an ordinary watercourse.</w:t>
      </w:r>
    </w:p>
    <w:p>
      <w:pPr>
        <w:pStyle w:val="BodyText"/>
        <w:spacing w:line="264" w:lineRule="auto" w:before="113"/>
        <w:ind w:left="160" w:right="138" w:firstLine="9"/>
      </w:pPr>
      <w:r>
        <w:rPr/>
        <w:t>These</w:t>
      </w:r>
      <w:r>
        <w:rPr>
          <w:spacing w:val="-32"/>
        </w:rPr>
        <w:t> </w:t>
      </w:r>
      <w:r>
        <w:rPr/>
        <w:t>are</w:t>
      </w:r>
      <w:r>
        <w:rPr>
          <w:spacing w:val="-38"/>
        </w:rPr>
        <w:t> </w:t>
      </w:r>
      <w:r>
        <w:rPr/>
        <w:t>usually</w:t>
      </w:r>
      <w:r>
        <w:rPr>
          <w:spacing w:val="-32"/>
        </w:rPr>
        <w:t> </w:t>
      </w:r>
      <w:r>
        <w:rPr/>
        <w:t>larger</w:t>
      </w:r>
      <w:r>
        <w:rPr>
          <w:spacing w:val="-31"/>
        </w:rPr>
        <w:t> </w:t>
      </w:r>
      <w:r>
        <w:rPr/>
        <w:t>streams</w:t>
      </w:r>
      <w:r>
        <w:rPr>
          <w:spacing w:val="-31"/>
        </w:rPr>
        <w:t> </w:t>
      </w:r>
      <w:r>
        <w:rPr/>
        <w:t>and</w:t>
      </w:r>
      <w:r>
        <w:rPr>
          <w:spacing w:val="-35"/>
        </w:rPr>
        <w:t> </w:t>
      </w:r>
      <w:r>
        <w:rPr/>
        <w:t>rivers,</w:t>
      </w:r>
      <w:r>
        <w:rPr>
          <w:spacing w:val="-32"/>
        </w:rPr>
        <w:t> </w:t>
      </w:r>
      <w:r>
        <w:rPr/>
        <w:t>but</w:t>
      </w:r>
      <w:r>
        <w:rPr>
          <w:spacing w:val="-31"/>
        </w:rPr>
        <w:t> </w:t>
      </w:r>
      <w:r>
        <w:rPr/>
        <w:t>also</w:t>
      </w:r>
      <w:r>
        <w:rPr>
          <w:spacing w:val="-37"/>
        </w:rPr>
        <w:t> </w:t>
      </w:r>
      <w:r>
        <w:rPr/>
        <w:t>include</w:t>
      </w:r>
      <w:r>
        <w:rPr>
          <w:spacing w:val="-31"/>
        </w:rPr>
        <w:t> </w:t>
      </w:r>
      <w:r>
        <w:rPr/>
        <w:t>smaller watercourses of strategic drainage importance. The EA have primary responsibility for managing flood risk from these watercourses.</w:t>
      </w:r>
    </w:p>
    <w:p>
      <w:pPr>
        <w:pStyle w:val="BodyText"/>
        <w:spacing w:line="266" w:lineRule="auto" w:before="123"/>
        <w:ind w:left="168" w:right="197" w:firstLine="2"/>
      </w:pPr>
      <w:r>
        <w:rPr/>
        <w:t>This occurs when a watercourse cannot cope with the water draining</w:t>
      </w:r>
      <w:r>
        <w:rPr>
          <w:spacing w:val="-31"/>
        </w:rPr>
        <w:t> </w:t>
      </w:r>
      <w:r>
        <w:rPr/>
        <w:t>into</w:t>
      </w:r>
      <w:r>
        <w:rPr>
          <w:spacing w:val="-37"/>
        </w:rPr>
        <w:t> </w:t>
      </w:r>
      <w:r>
        <w:rPr/>
        <w:t>it</w:t>
      </w:r>
      <w:r>
        <w:rPr>
          <w:spacing w:val="-34"/>
        </w:rPr>
        <w:t> </w:t>
      </w:r>
      <w:r>
        <w:rPr/>
        <w:t>from</w:t>
      </w:r>
      <w:r>
        <w:rPr>
          <w:spacing w:val="-25"/>
        </w:rPr>
        <w:t> </w:t>
      </w:r>
      <w:r>
        <w:rPr/>
        <w:t>surrounding</w:t>
      </w:r>
      <w:r>
        <w:rPr>
          <w:spacing w:val="-27"/>
        </w:rPr>
        <w:t> </w:t>
      </w:r>
      <w:r>
        <w:rPr/>
        <w:t>land.</w:t>
      </w:r>
      <w:r>
        <w:rPr>
          <w:spacing w:val="-26"/>
        </w:rPr>
        <w:t> </w:t>
      </w:r>
      <w:r>
        <w:rPr/>
        <w:t>This</w:t>
      </w:r>
      <w:r>
        <w:rPr>
          <w:spacing w:val="-36"/>
        </w:rPr>
        <w:t> </w:t>
      </w:r>
      <w:r>
        <w:rPr/>
        <w:t>includes</w:t>
      </w:r>
      <w:r>
        <w:rPr>
          <w:spacing w:val="-33"/>
        </w:rPr>
        <w:t> </w:t>
      </w:r>
      <w:r>
        <w:rPr/>
        <w:t>lakes,</w:t>
      </w:r>
      <w:r>
        <w:rPr>
          <w:spacing w:val="-35"/>
        </w:rPr>
        <w:t> </w:t>
      </w:r>
      <w:r>
        <w:rPr/>
        <w:t>ponds</w:t>
      </w:r>
      <w:r>
        <w:rPr>
          <w:spacing w:val="-31"/>
        </w:rPr>
        <w:t> </w:t>
      </w:r>
      <w:r>
        <w:rPr/>
        <w:t>or other</w:t>
      </w:r>
      <w:r>
        <w:rPr>
          <w:spacing w:val="-14"/>
        </w:rPr>
        <w:t> </w:t>
      </w:r>
      <w:r>
        <w:rPr/>
        <w:t>areas</w:t>
      </w:r>
      <w:r>
        <w:rPr>
          <w:spacing w:val="-20"/>
        </w:rPr>
        <w:t> </w:t>
      </w:r>
      <w:r>
        <w:rPr/>
        <w:t>of</w:t>
      </w:r>
      <w:r>
        <w:rPr>
          <w:spacing w:val="-17"/>
        </w:rPr>
        <w:t> </w:t>
      </w:r>
      <w:r>
        <w:rPr/>
        <w:t>water</w:t>
      </w:r>
      <w:r>
        <w:rPr>
          <w:spacing w:val="-15"/>
        </w:rPr>
        <w:t> </w:t>
      </w:r>
      <w:r>
        <w:rPr/>
        <w:t>which</w:t>
      </w:r>
      <w:r>
        <w:rPr>
          <w:spacing w:val="-16"/>
        </w:rPr>
        <w:t> </w:t>
      </w:r>
      <w:r>
        <w:rPr/>
        <w:t>flow</w:t>
      </w:r>
      <w:r>
        <w:rPr>
          <w:spacing w:val="-13"/>
        </w:rPr>
        <w:t> </w:t>
      </w:r>
      <w:r>
        <w:rPr/>
        <w:t>into</w:t>
      </w:r>
      <w:r>
        <w:rPr>
          <w:spacing w:val="-19"/>
        </w:rPr>
        <w:t> </w:t>
      </w:r>
      <w:r>
        <w:rPr/>
        <w:t>an</w:t>
      </w:r>
      <w:r>
        <w:rPr>
          <w:spacing w:val="-11"/>
        </w:rPr>
        <w:t> </w:t>
      </w:r>
      <w:r>
        <w:rPr/>
        <w:t>ordinary</w:t>
      </w:r>
      <w:r>
        <w:rPr>
          <w:spacing w:val="-11"/>
        </w:rPr>
        <w:t> </w:t>
      </w:r>
      <w:r>
        <w:rPr/>
        <w:t>watercourse.</w:t>
      </w:r>
    </w:p>
    <w:p>
      <w:pPr>
        <w:pStyle w:val="BodyText"/>
        <w:spacing w:line="261" w:lineRule="auto" w:before="118"/>
        <w:ind w:left="165" w:right="138" w:firstLine="4"/>
      </w:pPr>
      <w:r>
        <w:rPr/>
        <w:t>This</w:t>
      </w:r>
      <w:r>
        <w:rPr>
          <w:spacing w:val="-36"/>
        </w:rPr>
        <w:t> </w:t>
      </w:r>
      <w:r>
        <w:rPr/>
        <w:t>occurs</w:t>
      </w:r>
      <w:r>
        <w:rPr>
          <w:spacing w:val="-40"/>
        </w:rPr>
        <w:t> </w:t>
      </w:r>
      <w:r>
        <w:rPr/>
        <w:t>when</w:t>
      </w:r>
      <w:r>
        <w:rPr>
          <w:spacing w:val="-29"/>
        </w:rPr>
        <w:t> </w:t>
      </w:r>
      <w:r>
        <w:rPr/>
        <w:t>sewers</w:t>
      </w:r>
      <w:r>
        <w:rPr>
          <w:spacing w:val="-35"/>
        </w:rPr>
        <w:t> </w:t>
      </w:r>
      <w:r>
        <w:rPr/>
        <w:t>are</w:t>
      </w:r>
      <w:r>
        <w:rPr>
          <w:spacing w:val="-37"/>
        </w:rPr>
        <w:t> </w:t>
      </w:r>
      <w:r>
        <w:rPr/>
        <w:t>overwhelmed</w:t>
      </w:r>
      <w:r>
        <w:rPr>
          <w:spacing w:val="-32"/>
        </w:rPr>
        <w:t> </w:t>
      </w:r>
      <w:r>
        <w:rPr/>
        <w:t>by</w:t>
      </w:r>
      <w:r>
        <w:rPr>
          <w:spacing w:val="-43"/>
        </w:rPr>
        <w:t> </w:t>
      </w:r>
      <w:r>
        <w:rPr/>
        <w:t>heavy</w:t>
      </w:r>
      <w:r>
        <w:rPr>
          <w:spacing w:val="-35"/>
        </w:rPr>
        <w:t> </w:t>
      </w:r>
      <w:r>
        <w:rPr/>
        <w:t>rainfall</w:t>
      </w:r>
      <w:r>
        <w:rPr>
          <w:spacing w:val="-34"/>
        </w:rPr>
        <w:t> </w:t>
      </w:r>
      <w:r>
        <w:rPr/>
        <w:t>or</w:t>
      </w:r>
      <w:r>
        <w:rPr>
          <w:spacing w:val="-40"/>
        </w:rPr>
        <w:t> </w:t>
      </w:r>
      <w:r>
        <w:rPr/>
        <w:t>when they become blocked. The chance of flooding depends on the capacity</w:t>
      </w:r>
      <w:r>
        <w:rPr>
          <w:spacing w:val="-7"/>
        </w:rPr>
        <w:t> </w:t>
      </w:r>
      <w:r>
        <w:rPr/>
        <w:t>of</w:t>
      </w:r>
      <w:r>
        <w:rPr>
          <w:spacing w:val="-22"/>
        </w:rPr>
        <w:t> </w:t>
      </w:r>
      <w:r>
        <w:rPr/>
        <w:t>the</w:t>
      </w:r>
      <w:r>
        <w:rPr>
          <w:spacing w:val="-22"/>
        </w:rPr>
        <w:t> </w:t>
      </w:r>
      <w:r>
        <w:rPr/>
        <w:t>local</w:t>
      </w:r>
      <w:r>
        <w:rPr>
          <w:spacing w:val="-7"/>
        </w:rPr>
        <w:t> </w:t>
      </w:r>
      <w:r>
        <w:rPr/>
        <w:t>sewer</w:t>
      </w:r>
      <w:r>
        <w:rPr>
          <w:spacing w:val="-14"/>
        </w:rPr>
        <w:t> </w:t>
      </w:r>
      <w:r>
        <w:rPr/>
        <w:t>system</w:t>
      </w:r>
      <w:r>
        <w:rPr>
          <w:spacing w:val="-8"/>
        </w:rPr>
        <w:t> </w:t>
      </w:r>
      <w:r>
        <w:rPr/>
        <w:t>and</w:t>
      </w:r>
      <w:r>
        <w:rPr>
          <w:spacing w:val="-14"/>
        </w:rPr>
        <w:t> </w:t>
      </w:r>
      <w:r>
        <w:rPr/>
        <w:t>amount</w:t>
      </w:r>
      <w:r>
        <w:rPr>
          <w:spacing w:val="-6"/>
        </w:rPr>
        <w:t> </w:t>
      </w:r>
      <w:r>
        <w:rPr/>
        <w:t>of</w:t>
      </w:r>
      <w:r>
        <w:rPr>
          <w:spacing w:val="-27"/>
        </w:rPr>
        <w:t> </w:t>
      </w:r>
      <w:r>
        <w:rPr/>
        <w:t>rain</w:t>
      </w:r>
      <w:r>
        <w:rPr>
          <w:spacing w:val="-18"/>
        </w:rPr>
        <w:t> </w:t>
      </w:r>
      <w:r>
        <w:rPr/>
        <w:t>that</w:t>
      </w:r>
      <w:r>
        <w:rPr>
          <w:spacing w:val="-16"/>
        </w:rPr>
        <w:t> </w:t>
      </w:r>
      <w:r>
        <w:rPr/>
        <w:t>falls.</w:t>
      </w:r>
    </w:p>
    <w:p>
      <w:pPr>
        <w:pStyle w:val="BodyText"/>
        <w:spacing w:line="266" w:lineRule="auto" w:before="123"/>
        <w:ind w:left="162" w:right="197" w:firstLine="7"/>
      </w:pPr>
      <w:r>
        <w:rPr/>
        <w:t>This</w:t>
      </w:r>
      <w:r>
        <w:rPr>
          <w:spacing w:val="-34"/>
        </w:rPr>
        <w:t> </w:t>
      </w:r>
      <w:r>
        <w:rPr/>
        <w:t>occurs</w:t>
      </w:r>
      <w:r>
        <w:rPr>
          <w:spacing w:val="-37"/>
        </w:rPr>
        <w:t> </w:t>
      </w:r>
      <w:r>
        <w:rPr/>
        <w:t>when</w:t>
      </w:r>
      <w:r>
        <w:rPr>
          <w:spacing w:val="-34"/>
        </w:rPr>
        <w:t> </w:t>
      </w:r>
      <w:r>
        <w:rPr/>
        <w:t>rainwater</w:t>
      </w:r>
      <w:r>
        <w:rPr>
          <w:spacing w:val="-31"/>
        </w:rPr>
        <w:t> </w:t>
      </w:r>
      <w:r>
        <w:rPr/>
        <w:t>does</w:t>
      </w:r>
      <w:r>
        <w:rPr>
          <w:spacing w:val="-37"/>
        </w:rPr>
        <w:t> </w:t>
      </w:r>
      <w:r>
        <w:rPr/>
        <w:t>not</w:t>
      </w:r>
      <w:r>
        <w:rPr>
          <w:spacing w:val="-31"/>
        </w:rPr>
        <w:t> </w:t>
      </w:r>
      <w:r>
        <w:rPr/>
        <w:t>drain</w:t>
      </w:r>
      <w:r>
        <w:rPr>
          <w:spacing w:val="-31"/>
        </w:rPr>
        <w:t> </w:t>
      </w:r>
      <w:r>
        <w:rPr/>
        <w:t>away</w:t>
      </w:r>
      <w:r>
        <w:rPr>
          <w:spacing w:val="-32"/>
        </w:rPr>
        <w:t> </w:t>
      </w:r>
      <w:r>
        <w:rPr/>
        <w:t>through</w:t>
      </w:r>
      <w:r>
        <w:rPr>
          <w:spacing w:val="-32"/>
        </w:rPr>
        <w:t> </w:t>
      </w:r>
      <w:r>
        <w:rPr/>
        <w:t>the</w:t>
      </w:r>
      <w:r>
        <w:rPr>
          <w:spacing w:val="-38"/>
        </w:rPr>
        <w:t> </w:t>
      </w:r>
      <w:r>
        <w:rPr/>
        <w:t>normal drainage</w:t>
      </w:r>
      <w:r>
        <w:rPr>
          <w:spacing w:val="-13"/>
        </w:rPr>
        <w:t> </w:t>
      </w:r>
      <w:r>
        <w:rPr/>
        <w:t>system</w:t>
      </w:r>
      <w:r>
        <w:rPr>
          <w:spacing w:val="-9"/>
        </w:rPr>
        <w:t> </w:t>
      </w:r>
      <w:r>
        <w:rPr/>
        <w:t>or</w:t>
      </w:r>
      <w:r>
        <w:rPr>
          <w:spacing w:val="-22"/>
        </w:rPr>
        <w:t> </w:t>
      </w:r>
      <w:r>
        <w:rPr/>
        <w:t>soak</w:t>
      </w:r>
      <w:r>
        <w:rPr>
          <w:spacing w:val="-21"/>
        </w:rPr>
        <w:t> </w:t>
      </w:r>
      <w:r>
        <w:rPr/>
        <w:t>into</w:t>
      </w:r>
      <w:r>
        <w:rPr>
          <w:spacing w:val="-25"/>
        </w:rPr>
        <w:t> </w:t>
      </w:r>
      <w:r>
        <w:rPr/>
        <w:t>the</w:t>
      </w:r>
      <w:r>
        <w:rPr>
          <w:spacing w:val="-21"/>
        </w:rPr>
        <w:t> </w:t>
      </w:r>
      <w:r>
        <w:rPr/>
        <w:t>ground,</w:t>
      </w:r>
      <w:r>
        <w:rPr>
          <w:spacing w:val="-15"/>
        </w:rPr>
        <w:t> </w:t>
      </w:r>
      <w:r>
        <w:rPr/>
        <w:t>but</w:t>
      </w:r>
      <w:r>
        <w:rPr>
          <w:spacing w:val="-27"/>
        </w:rPr>
        <w:t> </w:t>
      </w:r>
      <w:r>
        <w:rPr/>
        <w:t>lies</w:t>
      </w:r>
      <w:r>
        <w:rPr>
          <w:spacing w:val="-22"/>
        </w:rPr>
        <w:t> </w:t>
      </w:r>
      <w:r>
        <w:rPr/>
        <w:t>on</w:t>
      </w:r>
      <w:r>
        <w:rPr>
          <w:spacing w:val="-21"/>
        </w:rPr>
        <w:t> </w:t>
      </w:r>
      <w:r>
        <w:rPr/>
        <w:t>or</w:t>
      </w:r>
      <w:r>
        <w:rPr>
          <w:spacing w:val="-24"/>
        </w:rPr>
        <w:t> </w:t>
      </w:r>
      <w:r>
        <w:rPr/>
        <w:t>flows</w:t>
      </w:r>
      <w:r>
        <w:rPr>
          <w:spacing w:val="-16"/>
        </w:rPr>
        <w:t> </w:t>
      </w:r>
      <w:r>
        <w:rPr/>
        <w:t>over the ground surface</w:t>
      </w:r>
      <w:r>
        <w:rPr>
          <w:spacing w:val="12"/>
        </w:rPr>
        <w:t> </w:t>
      </w:r>
      <w:r>
        <w:rPr/>
        <w:t>instead.</w:t>
      </w:r>
    </w:p>
    <w:p>
      <w:pPr>
        <w:spacing w:after="0" w:line="266" w:lineRule="auto"/>
        <w:sectPr>
          <w:type w:val="continuous"/>
          <w:pgSz w:w="11920" w:h="16850"/>
          <w:pgMar w:top="1220" w:bottom="0" w:left="440" w:right="560"/>
          <w:cols w:num="2" w:equalWidth="0">
            <w:col w:w="3895" w:space="40"/>
            <w:col w:w="6985"/>
          </w:cols>
        </w:sect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ListParagraph"/>
        <w:numPr>
          <w:ilvl w:val="0"/>
          <w:numId w:val="13"/>
        </w:numPr>
        <w:tabs>
          <w:tab w:pos="981" w:val="left" w:leader="none"/>
          <w:tab w:pos="982" w:val="left" w:leader="none"/>
        </w:tabs>
        <w:spacing w:line="240" w:lineRule="auto" w:before="90" w:after="0"/>
        <w:ind w:left="981" w:right="0" w:hanging="861"/>
        <w:jc w:val="left"/>
        <w:rPr>
          <w:sz w:val="32"/>
        </w:rPr>
      </w:pPr>
      <w:r>
        <w:rPr/>
        <w:pict>
          <v:line style="position:absolute;mso-position-horizontal-relative:page;mso-position-vertical-relative:paragraph;z-index:1160;mso-wrap-distance-left:0;mso-wrap-distance-right:0" from="27.837641pt,25.867392pt" to="562.272212pt,25.867392pt" stroked="true" strokeweight="1.1999pt" strokecolor="#bc5460">
            <v:stroke dashstyle="solid"/>
            <w10:wrap type="topAndBottom"/>
          </v:line>
        </w:pict>
      </w:r>
      <w:r>
        <w:rPr/>
        <w:pict>
          <v:group style="position:absolute;margin-left:123.349602pt;margin-top:-50.806358pt;width:5.3pt;height:35.050pt;mso-position-horizontal-relative:page;mso-position-vertical-relative:paragraph;z-index:3232" coordorigin="2467,-1016" coordsize="106,701">
            <v:shape style="position:absolute;left:2467;top:-1017;width:106;height:48" type="#_x0000_t75" stroked="false">
              <v:imagedata r:id="rId14" o:title=""/>
            </v:shape>
            <v:shape style="position:absolute;left:2486;top:-354;width:87;height:39" type="#_x0000_t75" stroked="false">
              <v:imagedata r:id="rId15" o:title=""/>
            </v:shape>
            <v:line style="position:absolute" from="2515,-1016" to="2515,-325" stroked="true" strokeweight="4.799592pt" strokecolor="#ff6477">
              <v:stroke dashstyle="solid"/>
            </v:line>
            <w10:wrap type="none"/>
          </v:group>
        </w:pict>
      </w:r>
      <w:bookmarkStart w:name="Leeds LFRMS 2018 Update_Page_47" w:id="67"/>
      <w:bookmarkEnd w:id="67"/>
      <w:r>
        <w:rPr/>
      </w:r>
      <w:bookmarkStart w:name="Leeds LFRMS 2018 Update_Page_47" w:id="68"/>
      <w:bookmarkEnd w:id="68"/>
      <w:r>
        <w:rPr>
          <w:sz w:val="32"/>
        </w:rPr>
        <w:t>ABBREVIATIONS</w:t>
      </w:r>
    </w:p>
    <w:p>
      <w:pPr>
        <w:pStyle w:val="BodyText"/>
        <w:spacing w:before="1"/>
        <w:rPr>
          <w:sz w:val="11"/>
        </w:rPr>
      </w:pPr>
    </w:p>
    <w:p>
      <w:pPr>
        <w:spacing w:after="0"/>
        <w:rPr>
          <w:sz w:val="11"/>
        </w:rPr>
        <w:sectPr>
          <w:pgSz w:w="11920" w:h="16850"/>
          <w:pgMar w:header="0" w:footer="1246" w:top="580" w:bottom="1440" w:left="440" w:right="560"/>
        </w:sectPr>
      </w:pPr>
    </w:p>
    <w:p>
      <w:pPr>
        <w:spacing w:line="388" w:lineRule="auto" w:before="93"/>
        <w:ind w:left="979" w:right="0" w:firstLine="1"/>
        <w:jc w:val="left"/>
        <w:rPr>
          <w:sz w:val="22"/>
        </w:rPr>
      </w:pPr>
      <w:r>
        <w:rPr>
          <w:sz w:val="22"/>
        </w:rPr>
        <w:t>AOD BREEAM </w:t>
      </w:r>
      <w:r>
        <w:rPr>
          <w:w w:val="95"/>
          <w:sz w:val="22"/>
        </w:rPr>
        <w:t>CEEQUAL </w:t>
      </w:r>
      <w:r>
        <w:rPr>
          <w:sz w:val="22"/>
        </w:rPr>
        <w:t>CFMP</w:t>
      </w:r>
    </w:p>
    <w:p>
      <w:pPr>
        <w:spacing w:before="2"/>
        <w:ind w:left="979" w:right="0" w:firstLine="0"/>
        <w:jc w:val="left"/>
        <w:rPr>
          <w:sz w:val="22"/>
        </w:rPr>
      </w:pPr>
      <w:r>
        <w:rPr>
          <w:sz w:val="22"/>
        </w:rPr>
        <w:t>CIL</w:t>
      </w:r>
    </w:p>
    <w:p>
      <w:pPr>
        <w:spacing w:line="396" w:lineRule="auto" w:before="160"/>
        <w:ind w:left="981" w:right="669" w:firstLine="1"/>
        <w:jc w:val="left"/>
        <w:rPr>
          <w:sz w:val="22"/>
        </w:rPr>
      </w:pPr>
      <w:r>
        <w:rPr>
          <w:w w:val="95"/>
          <w:sz w:val="22"/>
        </w:rPr>
        <w:t>Defra </w:t>
      </w:r>
      <w:r>
        <w:rPr>
          <w:sz w:val="22"/>
        </w:rPr>
        <w:t>DG5 EA </w:t>
      </w:r>
      <w:r>
        <w:rPr>
          <w:spacing w:val="3"/>
          <w:sz w:val="21"/>
        </w:rPr>
        <w:t>ESIF </w:t>
      </w:r>
      <w:r>
        <w:rPr>
          <w:sz w:val="21"/>
        </w:rPr>
        <w:t>EU </w:t>
      </w:r>
      <w:r>
        <w:rPr>
          <w:sz w:val="22"/>
        </w:rPr>
        <w:t>FAS</w:t>
      </w:r>
    </w:p>
    <w:p>
      <w:pPr>
        <w:spacing w:line="391" w:lineRule="auto" w:before="0"/>
        <w:ind w:left="981" w:right="-14" w:firstLine="0"/>
        <w:jc w:val="left"/>
        <w:rPr>
          <w:sz w:val="22"/>
        </w:rPr>
      </w:pPr>
      <w:r>
        <w:rPr>
          <w:sz w:val="22"/>
        </w:rPr>
        <w:t>FCERM FCERM</w:t>
      </w:r>
      <w:r>
        <w:rPr>
          <w:spacing w:val="-14"/>
          <w:sz w:val="22"/>
        </w:rPr>
        <w:t> </w:t>
      </w:r>
      <w:r>
        <w:rPr>
          <w:sz w:val="22"/>
        </w:rPr>
        <w:t>GiA FRA</w:t>
      </w:r>
    </w:p>
    <w:p>
      <w:pPr>
        <w:spacing w:line="391" w:lineRule="auto" w:before="1"/>
        <w:ind w:left="975" w:right="285" w:firstLine="6"/>
        <w:jc w:val="left"/>
        <w:rPr>
          <w:sz w:val="22"/>
        </w:rPr>
      </w:pPr>
      <w:r>
        <w:rPr>
          <w:sz w:val="22"/>
        </w:rPr>
        <w:t>FRM P FRR FWMA HMSO iCASP IDB LFRMS LGA </w:t>
      </w:r>
      <w:r>
        <w:rPr>
          <w:sz w:val="21"/>
        </w:rPr>
        <w:t>LLFA </w:t>
      </w:r>
      <w:r>
        <w:rPr>
          <w:sz w:val="22"/>
        </w:rPr>
        <w:t>MAFP </w:t>
      </w:r>
      <w:r>
        <w:rPr>
          <w:w w:val="95"/>
          <w:sz w:val="22"/>
        </w:rPr>
        <w:t>MHCLG </w:t>
      </w:r>
      <w:r>
        <w:rPr>
          <w:sz w:val="22"/>
        </w:rPr>
        <w:t>MTP</w:t>
      </w:r>
    </w:p>
    <w:p>
      <w:pPr>
        <w:spacing w:line="386" w:lineRule="auto" w:before="0"/>
        <w:ind w:left="982" w:right="577" w:hanging="4"/>
        <w:jc w:val="left"/>
        <w:rPr>
          <w:sz w:val="22"/>
        </w:rPr>
      </w:pPr>
      <w:r>
        <w:rPr>
          <w:w w:val="95"/>
          <w:sz w:val="23"/>
        </w:rPr>
        <w:t>Ofwat </w:t>
      </w:r>
      <w:r>
        <w:rPr>
          <w:sz w:val="22"/>
        </w:rPr>
        <w:t>PFRA PLP </w:t>
      </w:r>
      <w:r>
        <w:rPr>
          <w:w w:val="95"/>
          <w:sz w:val="22"/>
        </w:rPr>
        <w:t>RBMP </w:t>
      </w:r>
      <w:r>
        <w:rPr>
          <w:sz w:val="22"/>
        </w:rPr>
        <w:t>RET</w:t>
      </w:r>
    </w:p>
    <w:p>
      <w:pPr>
        <w:spacing w:before="93"/>
        <w:ind w:left="198" w:right="0" w:firstLine="0"/>
        <w:jc w:val="left"/>
        <w:rPr>
          <w:sz w:val="22"/>
        </w:rPr>
      </w:pPr>
      <w:r>
        <w:rPr/>
        <w:br w:type="column"/>
      </w:r>
      <w:r>
        <w:rPr>
          <w:sz w:val="22"/>
        </w:rPr>
        <w:t>Above Ordnance Datum</w:t>
      </w:r>
    </w:p>
    <w:p>
      <w:pPr>
        <w:spacing w:line="386" w:lineRule="auto" w:before="160"/>
        <w:ind w:left="196" w:right="1288" w:firstLine="4"/>
        <w:jc w:val="left"/>
        <w:rPr>
          <w:sz w:val="22"/>
        </w:rPr>
      </w:pPr>
      <w:r>
        <w:rPr>
          <w:sz w:val="22"/>
        </w:rPr>
        <w:t>Building Research Establishment Environmental Assessment Method Civil Engineering Environmental Quality Assessment and Awards</w:t>
      </w:r>
      <w:r>
        <w:rPr>
          <w:spacing w:val="-43"/>
          <w:sz w:val="22"/>
        </w:rPr>
        <w:t> </w:t>
      </w:r>
      <w:r>
        <w:rPr>
          <w:sz w:val="22"/>
        </w:rPr>
        <w:t>Scheme Catchment Flood Management</w:t>
      </w:r>
      <w:r>
        <w:rPr>
          <w:spacing w:val="6"/>
          <w:sz w:val="22"/>
        </w:rPr>
        <w:t> </w:t>
      </w:r>
      <w:r>
        <w:rPr>
          <w:sz w:val="22"/>
        </w:rPr>
        <w:t>Plan</w:t>
      </w:r>
    </w:p>
    <w:p>
      <w:pPr>
        <w:spacing w:before="6"/>
        <w:ind w:left="196" w:right="0" w:firstLine="0"/>
        <w:jc w:val="left"/>
        <w:rPr>
          <w:sz w:val="22"/>
        </w:rPr>
      </w:pPr>
      <w:r>
        <w:rPr>
          <w:sz w:val="22"/>
        </w:rPr>
        <w:t>Community Infrastructure Levy</w:t>
      </w:r>
    </w:p>
    <w:p>
      <w:pPr>
        <w:spacing w:line="391" w:lineRule="auto" w:before="160"/>
        <w:ind w:left="200" w:right="3390" w:firstLine="0"/>
        <w:jc w:val="left"/>
        <w:rPr>
          <w:sz w:val="22"/>
        </w:rPr>
      </w:pPr>
      <w:r>
        <w:rPr>
          <w:sz w:val="22"/>
        </w:rPr>
        <w:t>Department for Environment, Food and Rural Affairs Director General S (Register)</w:t>
      </w:r>
    </w:p>
    <w:p>
      <w:pPr>
        <w:spacing w:before="1"/>
        <w:ind w:left="200" w:right="0" w:firstLine="0"/>
        <w:jc w:val="left"/>
        <w:rPr>
          <w:sz w:val="22"/>
        </w:rPr>
      </w:pPr>
      <w:r>
        <w:rPr>
          <w:sz w:val="22"/>
        </w:rPr>
        <w:t>Environment Agency</w:t>
      </w:r>
    </w:p>
    <w:p>
      <w:pPr>
        <w:spacing w:line="381" w:lineRule="auto" w:before="160"/>
        <w:ind w:left="200" w:right="4282" w:firstLine="0"/>
        <w:jc w:val="left"/>
        <w:rPr>
          <w:sz w:val="22"/>
        </w:rPr>
      </w:pPr>
      <w:r>
        <w:rPr>
          <w:sz w:val="22"/>
        </w:rPr>
        <w:t>European Structural and Investment Funds European Union</w:t>
      </w:r>
    </w:p>
    <w:p>
      <w:pPr>
        <w:spacing w:before="11"/>
        <w:ind w:left="199" w:right="0" w:firstLine="0"/>
        <w:jc w:val="left"/>
        <w:rPr>
          <w:sz w:val="22"/>
        </w:rPr>
      </w:pPr>
      <w:r>
        <w:rPr>
          <w:sz w:val="22"/>
        </w:rPr>
        <w:t>Flood Alleviation Scheme</w:t>
      </w:r>
    </w:p>
    <w:p>
      <w:pPr>
        <w:spacing w:line="391" w:lineRule="auto" w:before="160"/>
        <w:ind w:left="199" w:right="3635" w:firstLine="0"/>
        <w:jc w:val="left"/>
        <w:rPr>
          <w:sz w:val="22"/>
        </w:rPr>
      </w:pPr>
      <w:r>
        <w:rPr>
          <w:sz w:val="22"/>
        </w:rPr>
        <w:t>Flood and Coastal Erosion Risk Management Flood and Coastal Risk Management Grant in Aid Flood Risk Area</w:t>
      </w:r>
    </w:p>
    <w:p>
      <w:pPr>
        <w:spacing w:line="381" w:lineRule="auto" w:before="1"/>
        <w:ind w:left="199" w:right="5518" w:firstLine="0"/>
        <w:jc w:val="left"/>
        <w:rPr>
          <w:sz w:val="22"/>
        </w:rPr>
      </w:pPr>
      <w:r>
        <w:rPr>
          <w:sz w:val="22"/>
        </w:rPr>
        <w:t>Flood Risk Management Plan Flood Risk Regulations (2009)</w:t>
      </w:r>
    </w:p>
    <w:p>
      <w:pPr>
        <w:spacing w:line="391" w:lineRule="auto" w:before="12"/>
        <w:ind w:left="199" w:right="4282" w:hanging="1"/>
        <w:jc w:val="left"/>
        <w:rPr>
          <w:sz w:val="22"/>
        </w:rPr>
      </w:pPr>
      <w:r>
        <w:rPr>
          <w:sz w:val="22"/>
        </w:rPr>
        <w:t>Flood and Water Management Act (2010) Her Majesty’s Stationery Office</w:t>
      </w:r>
    </w:p>
    <w:p>
      <w:pPr>
        <w:spacing w:line="391" w:lineRule="auto" w:before="1"/>
        <w:ind w:left="197" w:right="2503" w:firstLine="0"/>
        <w:jc w:val="left"/>
        <w:rPr>
          <w:sz w:val="22"/>
        </w:rPr>
      </w:pPr>
      <w:r>
        <w:rPr>
          <w:sz w:val="22"/>
        </w:rPr>
        <w:t>Yorkshire Integrated Catchment Solutions Programme Internal Drainage Board</w:t>
      </w:r>
    </w:p>
    <w:p>
      <w:pPr>
        <w:spacing w:line="381" w:lineRule="auto" w:before="0"/>
        <w:ind w:left="201" w:right="4282" w:firstLine="0"/>
        <w:jc w:val="left"/>
        <w:rPr>
          <w:sz w:val="22"/>
        </w:rPr>
      </w:pPr>
      <w:r>
        <w:rPr>
          <w:sz w:val="22"/>
        </w:rPr>
        <w:t>Local Flood Risk Management Strategy Local Government Association</w:t>
      </w:r>
    </w:p>
    <w:p>
      <w:pPr>
        <w:spacing w:line="391" w:lineRule="auto" w:before="12"/>
        <w:ind w:left="201" w:right="5845" w:firstLine="0"/>
        <w:jc w:val="left"/>
        <w:rPr>
          <w:sz w:val="22"/>
        </w:rPr>
      </w:pPr>
      <w:r>
        <w:rPr>
          <w:sz w:val="22"/>
        </w:rPr>
        <w:t>Lead Local Flood Authority Multi-Agency Flood Plan</w:t>
      </w:r>
    </w:p>
    <w:p>
      <w:pPr>
        <w:spacing w:line="391" w:lineRule="auto" w:before="1"/>
        <w:ind w:left="201" w:right="2503" w:firstLine="0"/>
        <w:jc w:val="left"/>
        <w:rPr>
          <w:sz w:val="22"/>
        </w:rPr>
      </w:pPr>
      <w:r>
        <w:rPr>
          <w:sz w:val="22"/>
        </w:rPr>
        <w:t>Ministry of Housing, Communities and Local Government Medium Term Plan</w:t>
      </w:r>
    </w:p>
    <w:p>
      <w:pPr>
        <w:spacing w:line="388" w:lineRule="auto" w:before="1"/>
        <w:ind w:left="200" w:right="4922" w:hanging="3"/>
        <w:jc w:val="left"/>
        <w:rPr>
          <w:sz w:val="22"/>
        </w:rPr>
      </w:pPr>
      <w:r>
        <w:rPr>
          <w:sz w:val="22"/>
        </w:rPr>
        <w:t>Office of Water Regulation Preliminary Flood Risk Assessment Property Level Flood Protection River Basin Management Plan Resilience and Emergencies Team</w:t>
      </w:r>
    </w:p>
    <w:p>
      <w:pPr>
        <w:spacing w:after="0" w:line="388" w:lineRule="auto"/>
        <w:jc w:val="left"/>
        <w:rPr>
          <w:sz w:val="22"/>
        </w:rPr>
        <w:sectPr>
          <w:type w:val="continuous"/>
          <w:pgSz w:w="11920" w:h="16850"/>
          <w:pgMar w:top="1220" w:bottom="0" w:left="440" w:right="560"/>
          <w:cols w:num="2" w:equalWidth="0">
            <w:col w:w="2183" w:space="40"/>
            <w:col w:w="8697"/>
          </w:cols>
        </w:sectPr>
      </w:pPr>
    </w:p>
    <w:p>
      <w:pPr>
        <w:pStyle w:val="BodyText"/>
        <w:rPr>
          <w:rFonts w:ascii="Times New Roman"/>
          <w:sz w:val="20"/>
        </w:rPr>
      </w:pPr>
      <w:r>
        <w:rPr/>
        <w:pict>
          <v:group style="position:absolute;margin-left:537.554504pt;margin-top:29.757116pt;width:5.8pt;height:34.6pt;mso-position-horizontal-relative:page;mso-position-vertical-relative:page;z-index:3256" coordorigin="10751,595" coordsize="116,692">
            <v:shape style="position:absolute;left:10751;top:595;width:116;height:39" type="#_x0000_t75" stroked="false">
              <v:imagedata r:id="rId27" o:title=""/>
            </v:shape>
            <v:shape style="position:absolute;left:10827;top:1209;width:39;height:77" type="#_x0000_t75" stroked="false">
              <v:imagedata r:id="rId28" o:title=""/>
            </v:shape>
            <v:line style="position:absolute" from="10804,595" to="10804,1277" stroked="true" strokeweight="5.279551pt" strokecolor="#d85970">
              <v:stroke dashstyle="solid"/>
            </v:lin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tbl>
      <w:tblPr>
        <w:tblW w:w="0" w:type="auto"/>
        <w:jc w:val="left"/>
        <w:tblInd w:w="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8"/>
        <w:gridCol w:w="3918"/>
      </w:tblGrid>
      <w:tr>
        <w:trPr>
          <w:trHeight w:val="334" w:hRule="atLeast"/>
        </w:trPr>
        <w:tc>
          <w:tcPr>
            <w:tcW w:w="1188" w:type="dxa"/>
          </w:tcPr>
          <w:p>
            <w:pPr>
              <w:pStyle w:val="TableParagraph"/>
              <w:spacing w:line="257" w:lineRule="exact"/>
              <w:ind w:left="53"/>
              <w:rPr>
                <w:sz w:val="23"/>
              </w:rPr>
            </w:pPr>
            <w:bookmarkStart w:name="Leeds LFRMS 2018 Update_Page_48" w:id="69"/>
            <w:bookmarkEnd w:id="69"/>
            <w:r>
              <w:rPr/>
            </w:r>
            <w:r>
              <w:rPr>
                <w:sz w:val="23"/>
              </w:rPr>
              <w:t>RMA</w:t>
            </w:r>
          </w:p>
        </w:tc>
        <w:tc>
          <w:tcPr>
            <w:tcW w:w="3918" w:type="dxa"/>
          </w:tcPr>
          <w:p>
            <w:pPr>
              <w:pStyle w:val="TableParagraph"/>
              <w:spacing w:line="257" w:lineRule="exact"/>
              <w:ind w:left="305"/>
              <w:rPr>
                <w:sz w:val="23"/>
              </w:rPr>
            </w:pPr>
            <w:r>
              <w:rPr>
                <w:sz w:val="23"/>
              </w:rPr>
              <w:t>Risk Management Authority</w:t>
            </w:r>
          </w:p>
        </w:tc>
      </w:tr>
      <w:tr>
        <w:trPr>
          <w:trHeight w:val="407" w:hRule="atLeast"/>
        </w:trPr>
        <w:tc>
          <w:tcPr>
            <w:tcW w:w="1188" w:type="dxa"/>
          </w:tcPr>
          <w:p>
            <w:pPr>
              <w:pStyle w:val="TableParagraph"/>
              <w:spacing w:before="70"/>
              <w:ind w:left="51"/>
              <w:rPr>
                <w:sz w:val="23"/>
              </w:rPr>
            </w:pPr>
            <w:r>
              <w:rPr>
                <w:sz w:val="23"/>
              </w:rPr>
              <w:t>SEA</w:t>
            </w:r>
          </w:p>
        </w:tc>
        <w:tc>
          <w:tcPr>
            <w:tcW w:w="3918" w:type="dxa"/>
          </w:tcPr>
          <w:p>
            <w:pPr>
              <w:pStyle w:val="TableParagraph"/>
              <w:spacing w:before="70"/>
              <w:ind w:left="303"/>
              <w:rPr>
                <w:sz w:val="23"/>
              </w:rPr>
            </w:pPr>
            <w:r>
              <w:rPr>
                <w:w w:val="95"/>
                <w:sz w:val="23"/>
              </w:rPr>
              <w:t>Strategic Environmental Assessment</w:t>
            </w:r>
          </w:p>
        </w:tc>
      </w:tr>
      <w:tr>
        <w:trPr>
          <w:trHeight w:val="407" w:hRule="atLeast"/>
        </w:trPr>
        <w:tc>
          <w:tcPr>
            <w:tcW w:w="1188" w:type="dxa"/>
          </w:tcPr>
          <w:p>
            <w:pPr>
              <w:pStyle w:val="TableParagraph"/>
              <w:spacing w:before="65"/>
              <w:ind w:left="51"/>
              <w:rPr>
                <w:sz w:val="23"/>
              </w:rPr>
            </w:pPr>
            <w:r>
              <w:rPr>
                <w:sz w:val="23"/>
              </w:rPr>
              <w:t>SFRA</w:t>
            </w:r>
          </w:p>
        </w:tc>
        <w:tc>
          <w:tcPr>
            <w:tcW w:w="3918" w:type="dxa"/>
          </w:tcPr>
          <w:p>
            <w:pPr>
              <w:pStyle w:val="TableParagraph"/>
              <w:spacing w:before="65"/>
              <w:ind w:left="303"/>
              <w:rPr>
                <w:sz w:val="23"/>
              </w:rPr>
            </w:pPr>
            <w:r>
              <w:rPr>
                <w:sz w:val="23"/>
              </w:rPr>
              <w:t>Strategic Flood Risk Assessment</w:t>
            </w:r>
          </w:p>
        </w:tc>
      </w:tr>
      <w:tr>
        <w:trPr>
          <w:trHeight w:val="412" w:hRule="atLeast"/>
        </w:trPr>
        <w:tc>
          <w:tcPr>
            <w:tcW w:w="1188" w:type="dxa"/>
          </w:tcPr>
          <w:p>
            <w:pPr>
              <w:pStyle w:val="TableParagraph"/>
              <w:spacing w:before="70"/>
              <w:ind w:left="51"/>
              <w:rPr>
                <w:sz w:val="23"/>
              </w:rPr>
            </w:pPr>
            <w:r>
              <w:rPr>
                <w:sz w:val="23"/>
              </w:rPr>
              <w:t>SuDS</w:t>
            </w:r>
          </w:p>
        </w:tc>
        <w:tc>
          <w:tcPr>
            <w:tcW w:w="3918" w:type="dxa"/>
          </w:tcPr>
          <w:p>
            <w:pPr>
              <w:pStyle w:val="TableParagraph"/>
              <w:spacing w:before="70"/>
              <w:ind w:left="303"/>
              <w:rPr>
                <w:sz w:val="23"/>
              </w:rPr>
            </w:pPr>
            <w:r>
              <w:rPr>
                <w:sz w:val="23"/>
              </w:rPr>
              <w:t>Sustainable Drainage Systems</w:t>
            </w:r>
          </w:p>
        </w:tc>
      </w:tr>
      <w:tr>
        <w:trPr>
          <w:trHeight w:val="412" w:hRule="atLeast"/>
        </w:trPr>
        <w:tc>
          <w:tcPr>
            <w:tcW w:w="1188" w:type="dxa"/>
          </w:tcPr>
          <w:p>
            <w:pPr>
              <w:pStyle w:val="TableParagraph"/>
              <w:spacing w:before="70"/>
              <w:ind w:left="53"/>
              <w:rPr>
                <w:sz w:val="23"/>
              </w:rPr>
            </w:pPr>
            <w:r>
              <w:rPr>
                <w:sz w:val="23"/>
              </w:rPr>
              <w:t>UK</w:t>
            </w:r>
          </w:p>
        </w:tc>
        <w:tc>
          <w:tcPr>
            <w:tcW w:w="3918" w:type="dxa"/>
          </w:tcPr>
          <w:p>
            <w:pPr>
              <w:pStyle w:val="TableParagraph"/>
              <w:spacing w:before="70"/>
              <w:ind w:left="305"/>
              <w:rPr>
                <w:sz w:val="23"/>
              </w:rPr>
            </w:pPr>
            <w:r>
              <w:rPr>
                <w:sz w:val="23"/>
              </w:rPr>
              <w:t>United Kingdom</w:t>
            </w:r>
          </w:p>
        </w:tc>
      </w:tr>
      <w:tr>
        <w:trPr>
          <w:trHeight w:val="412" w:hRule="atLeast"/>
        </w:trPr>
        <w:tc>
          <w:tcPr>
            <w:tcW w:w="1188" w:type="dxa"/>
          </w:tcPr>
          <w:p>
            <w:pPr>
              <w:pStyle w:val="TableParagraph"/>
              <w:spacing w:before="70"/>
              <w:ind w:left="53"/>
              <w:rPr>
                <w:sz w:val="23"/>
              </w:rPr>
            </w:pPr>
            <w:r>
              <w:rPr>
                <w:sz w:val="23"/>
              </w:rPr>
              <w:t>UKCP09</w:t>
            </w:r>
          </w:p>
        </w:tc>
        <w:tc>
          <w:tcPr>
            <w:tcW w:w="3918" w:type="dxa"/>
          </w:tcPr>
          <w:p>
            <w:pPr>
              <w:pStyle w:val="TableParagraph"/>
              <w:spacing w:before="70"/>
              <w:ind w:left="305"/>
              <w:rPr>
                <w:sz w:val="23"/>
              </w:rPr>
            </w:pPr>
            <w:r>
              <w:rPr>
                <w:sz w:val="23"/>
              </w:rPr>
              <w:t>UK Climate Projections 2009</w:t>
            </w:r>
          </w:p>
        </w:tc>
      </w:tr>
      <w:tr>
        <w:trPr>
          <w:trHeight w:val="412" w:hRule="atLeast"/>
        </w:trPr>
        <w:tc>
          <w:tcPr>
            <w:tcW w:w="1188" w:type="dxa"/>
          </w:tcPr>
          <w:p>
            <w:pPr>
              <w:pStyle w:val="TableParagraph"/>
              <w:spacing w:before="70"/>
              <w:ind w:left="53"/>
              <w:rPr>
                <w:sz w:val="23"/>
              </w:rPr>
            </w:pPr>
            <w:r>
              <w:rPr>
                <w:sz w:val="23"/>
              </w:rPr>
              <w:t>UKCP18</w:t>
            </w:r>
          </w:p>
        </w:tc>
        <w:tc>
          <w:tcPr>
            <w:tcW w:w="3918" w:type="dxa"/>
          </w:tcPr>
          <w:p>
            <w:pPr>
              <w:pStyle w:val="TableParagraph"/>
              <w:spacing w:before="70"/>
              <w:ind w:left="305"/>
              <w:rPr>
                <w:sz w:val="23"/>
              </w:rPr>
            </w:pPr>
            <w:r>
              <w:rPr>
                <w:sz w:val="23"/>
              </w:rPr>
              <w:t>UK Climate Projections 2018</w:t>
            </w:r>
          </w:p>
        </w:tc>
      </w:tr>
      <w:tr>
        <w:trPr>
          <w:trHeight w:val="407" w:hRule="atLeast"/>
        </w:trPr>
        <w:tc>
          <w:tcPr>
            <w:tcW w:w="1188" w:type="dxa"/>
          </w:tcPr>
          <w:p>
            <w:pPr>
              <w:pStyle w:val="TableParagraph"/>
              <w:spacing w:before="70"/>
              <w:ind w:left="50"/>
              <w:rPr>
                <w:sz w:val="23"/>
              </w:rPr>
            </w:pPr>
            <w:r>
              <w:rPr>
                <w:sz w:val="23"/>
              </w:rPr>
              <w:t>WaSC</w:t>
            </w:r>
          </w:p>
        </w:tc>
        <w:tc>
          <w:tcPr>
            <w:tcW w:w="3918" w:type="dxa"/>
          </w:tcPr>
          <w:p>
            <w:pPr>
              <w:pStyle w:val="TableParagraph"/>
              <w:spacing w:before="70"/>
              <w:ind w:left="301"/>
              <w:rPr>
                <w:sz w:val="23"/>
              </w:rPr>
            </w:pPr>
            <w:r>
              <w:rPr>
                <w:sz w:val="23"/>
              </w:rPr>
              <w:t>Water and Sewerage Company</w:t>
            </w:r>
          </w:p>
        </w:tc>
      </w:tr>
      <w:tr>
        <w:trPr>
          <w:trHeight w:val="407" w:hRule="atLeast"/>
        </w:trPr>
        <w:tc>
          <w:tcPr>
            <w:tcW w:w="1188" w:type="dxa"/>
          </w:tcPr>
          <w:p>
            <w:pPr>
              <w:pStyle w:val="TableParagraph"/>
              <w:spacing w:before="65"/>
              <w:ind w:left="50"/>
              <w:rPr>
                <w:sz w:val="23"/>
              </w:rPr>
            </w:pPr>
            <w:r>
              <w:rPr>
                <w:sz w:val="23"/>
              </w:rPr>
              <w:t>WFD</w:t>
            </w:r>
          </w:p>
        </w:tc>
        <w:tc>
          <w:tcPr>
            <w:tcW w:w="3918" w:type="dxa"/>
          </w:tcPr>
          <w:p>
            <w:pPr>
              <w:pStyle w:val="TableParagraph"/>
              <w:spacing w:before="65"/>
              <w:ind w:left="301"/>
              <w:rPr>
                <w:sz w:val="23"/>
              </w:rPr>
            </w:pPr>
            <w:r>
              <w:rPr>
                <w:sz w:val="23"/>
              </w:rPr>
              <w:t>Water Framework Directive</w:t>
            </w:r>
          </w:p>
        </w:tc>
      </w:tr>
      <w:tr>
        <w:trPr>
          <w:trHeight w:val="412" w:hRule="atLeast"/>
        </w:trPr>
        <w:tc>
          <w:tcPr>
            <w:tcW w:w="1188" w:type="dxa"/>
          </w:tcPr>
          <w:p>
            <w:pPr>
              <w:pStyle w:val="TableParagraph"/>
              <w:spacing w:before="70"/>
              <w:ind w:left="50"/>
              <w:rPr>
                <w:sz w:val="23"/>
              </w:rPr>
            </w:pPr>
            <w:r>
              <w:rPr>
                <w:sz w:val="23"/>
              </w:rPr>
              <w:t>WYCA</w:t>
            </w:r>
          </w:p>
        </w:tc>
        <w:tc>
          <w:tcPr>
            <w:tcW w:w="3918" w:type="dxa"/>
          </w:tcPr>
          <w:p>
            <w:pPr>
              <w:pStyle w:val="TableParagraph"/>
              <w:spacing w:before="70"/>
              <w:ind w:left="301"/>
              <w:rPr>
                <w:sz w:val="23"/>
              </w:rPr>
            </w:pPr>
            <w:r>
              <w:rPr>
                <w:sz w:val="23"/>
              </w:rPr>
              <w:t>West</w:t>
            </w:r>
            <w:r>
              <w:rPr>
                <w:spacing w:val="-34"/>
                <w:sz w:val="23"/>
              </w:rPr>
              <w:t> </w:t>
            </w:r>
            <w:r>
              <w:rPr>
                <w:sz w:val="23"/>
              </w:rPr>
              <w:t>Yorkshire</w:t>
            </w:r>
            <w:r>
              <w:rPr>
                <w:spacing w:val="-34"/>
                <w:sz w:val="23"/>
              </w:rPr>
              <w:t> </w:t>
            </w:r>
            <w:r>
              <w:rPr>
                <w:sz w:val="23"/>
              </w:rPr>
              <w:t>Combined</w:t>
            </w:r>
            <w:r>
              <w:rPr>
                <w:spacing w:val="-28"/>
                <w:sz w:val="23"/>
              </w:rPr>
              <w:t> </w:t>
            </w:r>
            <w:r>
              <w:rPr>
                <w:sz w:val="23"/>
              </w:rPr>
              <w:t>Authority</w:t>
            </w:r>
          </w:p>
        </w:tc>
      </w:tr>
      <w:tr>
        <w:trPr>
          <w:trHeight w:val="334" w:hRule="atLeast"/>
        </w:trPr>
        <w:tc>
          <w:tcPr>
            <w:tcW w:w="1188" w:type="dxa"/>
          </w:tcPr>
          <w:p>
            <w:pPr>
              <w:pStyle w:val="TableParagraph"/>
              <w:spacing w:line="244" w:lineRule="exact" w:before="70"/>
              <w:ind w:left="52"/>
              <w:rPr>
                <w:sz w:val="23"/>
              </w:rPr>
            </w:pPr>
            <w:r>
              <w:rPr>
                <w:sz w:val="23"/>
              </w:rPr>
              <w:t>YWS</w:t>
            </w:r>
          </w:p>
        </w:tc>
        <w:tc>
          <w:tcPr>
            <w:tcW w:w="3918" w:type="dxa"/>
          </w:tcPr>
          <w:p>
            <w:pPr>
              <w:pStyle w:val="TableParagraph"/>
              <w:spacing w:line="244" w:lineRule="exact" w:before="70"/>
              <w:ind w:left="303"/>
              <w:rPr>
                <w:sz w:val="23"/>
              </w:rPr>
            </w:pPr>
            <w:r>
              <w:rPr>
                <w:sz w:val="23"/>
              </w:rPr>
              <w:t>Yorkshire Water Services Limited</w:t>
            </w:r>
          </w:p>
        </w:tc>
      </w:tr>
    </w:tbl>
    <w:p>
      <w:pPr>
        <w:spacing w:after="0" w:line="244" w:lineRule="exact"/>
        <w:rPr>
          <w:sz w:val="23"/>
        </w:rPr>
        <w:sectPr>
          <w:pgSz w:w="11920" w:h="16850"/>
          <w:pgMar w:header="0" w:footer="1246" w:top="580" w:bottom="1440" w:left="440" w:right="5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spacing w:line="1365" w:lineRule="exact" w:before="0"/>
        <w:ind w:left="156" w:right="0" w:firstLine="0"/>
        <w:jc w:val="left"/>
        <w:rPr>
          <w:rFonts w:ascii="Cambria"/>
          <w:sz w:val="126"/>
        </w:rPr>
      </w:pPr>
      <w:r>
        <w:rPr/>
        <w:drawing>
          <wp:anchor distT="0" distB="0" distL="0" distR="0" allowOverlap="1" layoutInCell="1" locked="0" behindDoc="0" simplePos="0" relativeHeight="3304">
            <wp:simplePos x="0" y="0"/>
            <wp:positionH relativeFrom="page">
              <wp:posOffset>4596856</wp:posOffset>
            </wp:positionH>
            <wp:positionV relativeFrom="paragraph">
              <wp:posOffset>155650</wp:posOffset>
            </wp:positionV>
            <wp:extent cx="533337" cy="533331"/>
            <wp:effectExtent l="0" t="0" r="0" b="0"/>
            <wp:wrapNone/>
            <wp:docPr id="51" name="image37.jpeg" descr=""/>
            <wp:cNvGraphicFramePr>
              <a:graphicFrameLocks noChangeAspect="1"/>
            </wp:cNvGraphicFramePr>
            <a:graphic>
              <a:graphicData uri="http://schemas.openxmlformats.org/drawingml/2006/picture">
                <pic:pic>
                  <pic:nvPicPr>
                    <pic:cNvPr id="52" name="image37.jpeg"/>
                    <pic:cNvPicPr/>
                  </pic:nvPicPr>
                  <pic:blipFill>
                    <a:blip r:embed="rId55" cstate="print"/>
                    <a:stretch>
                      <a:fillRect/>
                    </a:stretch>
                  </pic:blipFill>
                  <pic:spPr>
                    <a:xfrm>
                      <a:off x="0" y="0"/>
                      <a:ext cx="533337" cy="533331"/>
                    </a:xfrm>
                    <a:prstGeom prst="rect">
                      <a:avLst/>
                    </a:prstGeom>
                  </pic:spPr>
                </pic:pic>
              </a:graphicData>
            </a:graphic>
          </wp:anchor>
        </w:drawing>
      </w:r>
      <w:bookmarkStart w:name="END3_Page_49" w:id="70"/>
      <w:bookmarkEnd w:id="70"/>
      <w:r>
        <w:rPr/>
      </w:r>
      <w:r>
        <w:rPr>
          <w:rFonts w:ascii="Cambria"/>
          <w:color w:val="F94438"/>
          <w:w w:val="105"/>
          <w:sz w:val="126"/>
        </w:rPr>
        <w:t>Appendix</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4"/>
        <w:rPr>
          <w:rFonts w:ascii="Cambria"/>
          <w:sz w:val="19"/>
        </w:rPr>
      </w:pPr>
      <w:r>
        <w:rPr/>
        <w:drawing>
          <wp:anchor distT="0" distB="0" distL="0" distR="0" allowOverlap="1" layoutInCell="1" locked="0" behindDoc="0" simplePos="0" relativeHeight="94">
            <wp:simplePos x="0" y="0"/>
            <wp:positionH relativeFrom="page">
              <wp:posOffset>888895</wp:posOffset>
            </wp:positionH>
            <wp:positionV relativeFrom="paragraph">
              <wp:posOffset>169230</wp:posOffset>
            </wp:positionV>
            <wp:extent cx="5054688" cy="88677"/>
            <wp:effectExtent l="0" t="0" r="0" b="0"/>
            <wp:wrapTopAndBottom/>
            <wp:docPr id="53" name="image38.png" descr=""/>
            <wp:cNvGraphicFramePr>
              <a:graphicFrameLocks noChangeAspect="1"/>
            </wp:cNvGraphicFramePr>
            <a:graphic>
              <a:graphicData uri="http://schemas.openxmlformats.org/drawingml/2006/picture">
                <pic:pic>
                  <pic:nvPicPr>
                    <pic:cNvPr id="54" name="image38.png"/>
                    <pic:cNvPicPr/>
                  </pic:nvPicPr>
                  <pic:blipFill>
                    <a:blip r:embed="rId56" cstate="print"/>
                    <a:stretch>
                      <a:fillRect/>
                    </a:stretch>
                  </pic:blipFill>
                  <pic:spPr>
                    <a:xfrm>
                      <a:off x="0" y="0"/>
                      <a:ext cx="5054688" cy="88677"/>
                    </a:xfrm>
                    <a:prstGeom prst="rect">
                      <a:avLst/>
                    </a:prstGeom>
                  </pic:spPr>
                </pic:pic>
              </a:graphicData>
            </a:graphic>
          </wp:anchor>
        </w:drawing>
      </w:r>
    </w:p>
    <w:p>
      <w:pPr>
        <w:pStyle w:val="BodyText"/>
        <w:spacing w:before="6"/>
        <w:rPr>
          <w:rFonts w:ascii="Cambria"/>
        </w:rPr>
      </w:pPr>
    </w:p>
    <w:p>
      <w:pPr>
        <w:spacing w:line="216" w:lineRule="auto" w:before="48"/>
        <w:ind w:left="136" w:right="0" w:firstLine="0"/>
        <w:jc w:val="left"/>
        <w:rPr>
          <w:rFonts w:ascii="Calibri"/>
          <w:sz w:val="51"/>
        </w:rPr>
      </w:pPr>
      <w:r>
        <w:rPr>
          <w:rFonts w:ascii="Calibri"/>
          <w:w w:val="130"/>
          <w:sz w:val="51"/>
        </w:rPr>
        <w:t>UKCPO9 CLIMATE PROJECTIONS </w:t>
      </w:r>
      <w:r>
        <w:rPr>
          <w:rFonts w:ascii="Calibri"/>
          <w:w w:val="135"/>
          <w:sz w:val="51"/>
        </w:rPr>
        <w:t>FOR LEEDS</w:t>
      </w:r>
    </w:p>
    <w:p>
      <w:pPr>
        <w:spacing w:after="0" w:line="216" w:lineRule="auto"/>
        <w:jc w:val="left"/>
        <w:rPr>
          <w:rFonts w:ascii="Calibri"/>
          <w:sz w:val="51"/>
        </w:rPr>
        <w:sectPr>
          <w:footerReference w:type="default" r:id="rId54"/>
          <w:pgSz w:w="11920" w:h="16840"/>
          <w:pgMar w:footer="0" w:header="0" w:top="1580" w:bottom="280" w:left="1280" w:right="1680"/>
        </w:sectPr>
      </w:pPr>
    </w:p>
    <w:p>
      <w:pPr>
        <w:pStyle w:val="BodyText"/>
        <w:rPr>
          <w:rFonts w:ascii="Calibri"/>
          <w:sz w:val="20"/>
        </w:rPr>
      </w:pPr>
    </w:p>
    <w:p>
      <w:pPr>
        <w:pStyle w:val="BodyText"/>
        <w:rPr>
          <w:rFonts w:ascii="Calibri"/>
          <w:sz w:val="20"/>
        </w:rPr>
      </w:pPr>
    </w:p>
    <w:p>
      <w:pPr>
        <w:pStyle w:val="BodyText"/>
        <w:spacing w:before="4"/>
        <w:rPr>
          <w:rFonts w:ascii="Calibri"/>
          <w:sz w:val="18"/>
        </w:rPr>
      </w:pPr>
    </w:p>
    <w:p>
      <w:pPr>
        <w:spacing w:line="259" w:lineRule="auto" w:before="90"/>
        <w:ind w:left="191" w:right="7282" w:firstLine="0"/>
        <w:jc w:val="left"/>
        <w:rPr>
          <w:sz w:val="30"/>
        </w:rPr>
      </w:pPr>
      <w:r>
        <w:rPr/>
        <w:pict>
          <v:shape style="position:absolute;margin-left:54.68808pt;margin-top:-35.908802pt;width:854.9pt;height:22pt;mso-position-horizontal-relative:page;mso-position-vertical-relative:paragraph;z-index:3328" type="#_x0000_t202" filled="true" fillcolor="#f9423a" stroked="true" strokeweight="2.88pt" strokecolor="#000000">
            <v:textbox inset="0,0,0,0">
              <w:txbxContent>
                <w:p>
                  <w:pPr>
                    <w:spacing w:line="381" w:lineRule="exact" w:before="0"/>
                    <w:ind w:left="36" w:right="0" w:firstLine="0"/>
                    <w:jc w:val="left"/>
                    <w:rPr>
                      <w:sz w:val="36"/>
                    </w:rPr>
                  </w:pPr>
                  <w:r>
                    <w:rPr>
                      <w:color w:val="FFFFFF"/>
                      <w:sz w:val="36"/>
                    </w:rPr>
                    <w:t>APPENDIX A - UKCP09 United Kingdom Climate Change Projections for Leeds</w:t>
                  </w:r>
                </w:p>
              </w:txbxContent>
            </v:textbox>
            <v:fill type="solid"/>
            <v:stroke dashstyle="solid"/>
            <w10:wrap type="none"/>
          </v:shape>
        </w:pict>
      </w:r>
      <w:bookmarkStart w:name="Appendix A - UKCP09 Climate Projections " w:id="71"/>
      <w:bookmarkEnd w:id="71"/>
      <w:r>
        <w:rPr/>
      </w:r>
      <w:r>
        <w:rPr>
          <w:sz w:val="30"/>
        </w:rPr>
        <w:t>The figures in the table below are the UKCP09 (2009) outputs for the Humber River Basin District.</w:t>
      </w:r>
    </w:p>
    <w:p>
      <w:pPr>
        <w:pStyle w:val="BodyText"/>
        <w:spacing w:before="10"/>
        <w:rPr>
          <w:sz w:val="24"/>
        </w:rPr>
      </w:pPr>
    </w:p>
    <w:p>
      <w:pPr>
        <w:spacing w:before="90" w:after="11"/>
        <w:ind w:left="191" w:right="0" w:firstLine="0"/>
        <w:jc w:val="left"/>
        <w:rPr>
          <w:sz w:val="30"/>
        </w:rPr>
      </w:pPr>
      <w:r>
        <w:rPr>
          <w:sz w:val="30"/>
        </w:rPr>
        <w:t>The values shown are for the 25km grid square centred on Leeds.</w:t>
      </w:r>
    </w:p>
    <w:tbl>
      <w:tblPr>
        <w:tblW w:w="0" w:type="auto"/>
        <w:jc w:val="left"/>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54"/>
        <w:gridCol w:w="4723"/>
        <w:gridCol w:w="2109"/>
        <w:gridCol w:w="2164"/>
        <w:gridCol w:w="2145"/>
      </w:tblGrid>
      <w:tr>
        <w:trPr>
          <w:trHeight w:val="392" w:hRule="atLeast"/>
        </w:trPr>
        <w:tc>
          <w:tcPr>
            <w:tcW w:w="10677" w:type="dxa"/>
            <w:gridSpan w:val="2"/>
            <w:tcBorders>
              <w:top w:val="nil"/>
              <w:left w:val="nil"/>
            </w:tcBorders>
          </w:tcPr>
          <w:p>
            <w:pPr>
              <w:pStyle w:val="TableParagraph"/>
              <w:rPr>
                <w:rFonts w:ascii="Times New Roman"/>
                <w:sz w:val="30"/>
              </w:rPr>
            </w:pPr>
          </w:p>
        </w:tc>
        <w:tc>
          <w:tcPr>
            <w:tcW w:w="6418" w:type="dxa"/>
            <w:gridSpan w:val="3"/>
          </w:tcPr>
          <w:p>
            <w:pPr>
              <w:pStyle w:val="TableParagraph"/>
              <w:spacing w:line="363" w:lineRule="exact" w:before="9"/>
              <w:ind w:left="1972"/>
              <w:rPr>
                <w:b/>
                <w:sz w:val="33"/>
              </w:rPr>
            </w:pPr>
            <w:r>
              <w:rPr>
                <w:b/>
                <w:color w:val="F9423A"/>
                <w:sz w:val="33"/>
              </w:rPr>
              <w:t>Change Factors</w:t>
            </w:r>
          </w:p>
        </w:tc>
      </w:tr>
      <w:tr>
        <w:trPr>
          <w:trHeight w:val="358" w:hRule="atLeast"/>
        </w:trPr>
        <w:tc>
          <w:tcPr>
            <w:tcW w:w="5954" w:type="dxa"/>
          </w:tcPr>
          <w:p>
            <w:pPr>
              <w:pStyle w:val="TableParagraph"/>
              <w:spacing w:line="339" w:lineRule="exact"/>
              <w:ind w:left="61"/>
              <w:rPr>
                <w:sz w:val="33"/>
              </w:rPr>
            </w:pPr>
            <w:r>
              <w:rPr>
                <w:color w:val="F9423A"/>
                <w:sz w:val="33"/>
              </w:rPr>
              <w:t>Change Variable</w:t>
            </w:r>
          </w:p>
        </w:tc>
        <w:tc>
          <w:tcPr>
            <w:tcW w:w="4723" w:type="dxa"/>
          </w:tcPr>
          <w:p>
            <w:pPr>
              <w:pStyle w:val="TableParagraph"/>
              <w:spacing w:line="339" w:lineRule="exact"/>
              <w:ind w:left="61"/>
              <w:rPr>
                <w:sz w:val="33"/>
              </w:rPr>
            </w:pPr>
            <w:r>
              <w:rPr>
                <w:color w:val="F9423A"/>
                <w:sz w:val="33"/>
              </w:rPr>
              <w:t>Uncertainty Range</w:t>
            </w:r>
          </w:p>
        </w:tc>
        <w:tc>
          <w:tcPr>
            <w:tcW w:w="2109" w:type="dxa"/>
          </w:tcPr>
          <w:p>
            <w:pPr>
              <w:pStyle w:val="TableParagraph"/>
              <w:spacing w:line="339" w:lineRule="exact"/>
              <w:ind w:left="237" w:right="187"/>
              <w:jc w:val="center"/>
              <w:rPr>
                <w:sz w:val="33"/>
              </w:rPr>
            </w:pPr>
            <w:r>
              <w:rPr>
                <w:color w:val="F9423A"/>
                <w:sz w:val="33"/>
              </w:rPr>
              <w:t>Up to 2025</w:t>
            </w:r>
          </w:p>
        </w:tc>
        <w:tc>
          <w:tcPr>
            <w:tcW w:w="2164" w:type="dxa"/>
          </w:tcPr>
          <w:p>
            <w:pPr>
              <w:pStyle w:val="TableParagraph"/>
              <w:spacing w:line="339" w:lineRule="exact"/>
              <w:ind w:left="192" w:right="140"/>
              <w:jc w:val="center"/>
              <w:rPr>
                <w:sz w:val="33"/>
              </w:rPr>
            </w:pPr>
            <w:r>
              <w:rPr>
                <w:color w:val="F9423A"/>
                <w:sz w:val="33"/>
              </w:rPr>
              <w:t>2025 - 2055</w:t>
            </w:r>
          </w:p>
        </w:tc>
        <w:tc>
          <w:tcPr>
            <w:tcW w:w="2145" w:type="dxa"/>
          </w:tcPr>
          <w:p>
            <w:pPr>
              <w:pStyle w:val="TableParagraph"/>
              <w:spacing w:line="339" w:lineRule="exact"/>
              <w:ind w:left="92" w:right="37"/>
              <w:jc w:val="center"/>
              <w:rPr>
                <w:sz w:val="33"/>
              </w:rPr>
            </w:pPr>
            <w:r>
              <w:rPr>
                <w:color w:val="F9423A"/>
                <w:sz w:val="33"/>
              </w:rPr>
              <w:t>Beyond 2055</w:t>
            </w:r>
          </w:p>
        </w:tc>
      </w:tr>
      <w:tr>
        <w:trPr>
          <w:trHeight w:val="392" w:hRule="atLeast"/>
        </w:trPr>
        <w:tc>
          <w:tcPr>
            <w:tcW w:w="5954" w:type="dxa"/>
            <w:vMerge w:val="restart"/>
            <w:shd w:val="clear" w:color="auto" w:fill="D8E6F0"/>
          </w:tcPr>
          <w:p>
            <w:pPr>
              <w:pStyle w:val="TableParagraph"/>
              <w:spacing w:line="341" w:lineRule="exact"/>
              <w:ind w:left="57"/>
              <w:rPr>
                <w:sz w:val="30"/>
              </w:rPr>
            </w:pPr>
            <w:r>
              <w:rPr>
                <w:sz w:val="30"/>
              </w:rPr>
              <w:t>Precipitation % Winter</w:t>
            </w:r>
          </w:p>
        </w:tc>
        <w:tc>
          <w:tcPr>
            <w:tcW w:w="4723" w:type="dxa"/>
            <w:shd w:val="clear" w:color="auto" w:fill="D8E6F0"/>
          </w:tcPr>
          <w:p>
            <w:pPr>
              <w:pStyle w:val="TableParagraph"/>
              <w:spacing w:line="335" w:lineRule="exact" w:before="37"/>
              <w:ind w:left="57"/>
              <w:rPr>
                <w:sz w:val="30"/>
              </w:rPr>
            </w:pPr>
            <w:r>
              <w:rPr>
                <w:sz w:val="30"/>
              </w:rPr>
              <w:t>Upper enhanced estimate</w:t>
            </w:r>
          </w:p>
        </w:tc>
        <w:tc>
          <w:tcPr>
            <w:tcW w:w="2109" w:type="dxa"/>
            <w:shd w:val="clear" w:color="auto" w:fill="D8E6F0"/>
          </w:tcPr>
          <w:p>
            <w:pPr>
              <w:pStyle w:val="TableParagraph"/>
              <w:spacing w:line="335" w:lineRule="exact" w:before="37"/>
              <w:ind w:left="53"/>
              <w:jc w:val="center"/>
              <w:rPr>
                <w:sz w:val="30"/>
              </w:rPr>
            </w:pPr>
            <w:r>
              <w:rPr>
                <w:sz w:val="30"/>
              </w:rPr>
              <w:t>-</w:t>
            </w:r>
          </w:p>
        </w:tc>
        <w:tc>
          <w:tcPr>
            <w:tcW w:w="2164" w:type="dxa"/>
            <w:shd w:val="clear" w:color="auto" w:fill="D8E6F0"/>
          </w:tcPr>
          <w:p>
            <w:pPr>
              <w:pStyle w:val="TableParagraph"/>
              <w:spacing w:line="335" w:lineRule="exact" w:before="37"/>
              <w:ind w:left="56"/>
              <w:jc w:val="center"/>
              <w:rPr>
                <w:sz w:val="30"/>
              </w:rPr>
            </w:pPr>
            <w:r>
              <w:rPr>
                <w:sz w:val="30"/>
              </w:rPr>
              <w:t>-</w:t>
            </w:r>
          </w:p>
        </w:tc>
        <w:tc>
          <w:tcPr>
            <w:tcW w:w="2145" w:type="dxa"/>
            <w:shd w:val="clear" w:color="auto" w:fill="D8E6F0"/>
          </w:tcPr>
          <w:p>
            <w:pPr>
              <w:pStyle w:val="TableParagraph"/>
              <w:spacing w:line="335" w:lineRule="exact" w:before="37"/>
              <w:ind w:left="58"/>
              <w:jc w:val="center"/>
              <w:rPr>
                <w:sz w:val="30"/>
              </w:rPr>
            </w:pPr>
            <w:r>
              <w:rPr>
                <w:sz w:val="30"/>
              </w:rPr>
              <w:t>-</w:t>
            </w:r>
          </w:p>
        </w:tc>
      </w:tr>
      <w:tr>
        <w:trPr>
          <w:trHeight w:val="392" w:hRule="atLeast"/>
        </w:trPr>
        <w:tc>
          <w:tcPr>
            <w:tcW w:w="5954" w:type="dxa"/>
            <w:vMerge/>
            <w:tcBorders>
              <w:top w:val="nil"/>
            </w:tcBorders>
            <w:shd w:val="clear" w:color="auto" w:fill="D8E6F0"/>
          </w:tcPr>
          <w:p>
            <w:pPr>
              <w:rPr>
                <w:sz w:val="2"/>
                <w:szCs w:val="2"/>
              </w:rPr>
            </w:pPr>
          </w:p>
        </w:tc>
        <w:tc>
          <w:tcPr>
            <w:tcW w:w="4723" w:type="dxa"/>
            <w:shd w:val="clear" w:color="auto" w:fill="D8E6F0"/>
          </w:tcPr>
          <w:p>
            <w:pPr>
              <w:pStyle w:val="TableParagraph"/>
              <w:spacing w:line="335" w:lineRule="exact" w:before="37"/>
              <w:ind w:left="57"/>
              <w:rPr>
                <w:sz w:val="30"/>
              </w:rPr>
            </w:pPr>
            <w:r>
              <w:rPr>
                <w:sz w:val="30"/>
              </w:rPr>
              <w:t>Upper end estimate</w:t>
            </w:r>
          </w:p>
        </w:tc>
        <w:tc>
          <w:tcPr>
            <w:tcW w:w="2109" w:type="dxa"/>
            <w:shd w:val="clear" w:color="auto" w:fill="D8E6F0"/>
          </w:tcPr>
          <w:p>
            <w:pPr>
              <w:pStyle w:val="TableParagraph"/>
              <w:spacing w:line="335" w:lineRule="exact" w:before="37"/>
              <w:ind w:left="237" w:right="185"/>
              <w:jc w:val="center"/>
              <w:rPr>
                <w:sz w:val="30"/>
              </w:rPr>
            </w:pPr>
            <w:r>
              <w:rPr>
                <w:sz w:val="30"/>
              </w:rPr>
              <w:t>8.1%</w:t>
            </w:r>
          </w:p>
        </w:tc>
        <w:tc>
          <w:tcPr>
            <w:tcW w:w="2164" w:type="dxa"/>
            <w:shd w:val="clear" w:color="auto" w:fill="D8E6F0"/>
          </w:tcPr>
          <w:p>
            <w:pPr>
              <w:pStyle w:val="TableParagraph"/>
              <w:spacing w:line="335" w:lineRule="exact" w:before="37"/>
              <w:ind w:left="192" w:right="138"/>
              <w:jc w:val="center"/>
              <w:rPr>
                <w:sz w:val="30"/>
              </w:rPr>
            </w:pPr>
            <w:r>
              <w:rPr>
                <w:sz w:val="30"/>
              </w:rPr>
              <w:t>16.4%</w:t>
            </w:r>
          </w:p>
        </w:tc>
        <w:tc>
          <w:tcPr>
            <w:tcW w:w="2145" w:type="dxa"/>
            <w:shd w:val="clear" w:color="auto" w:fill="D8E6F0"/>
          </w:tcPr>
          <w:p>
            <w:pPr>
              <w:pStyle w:val="TableParagraph"/>
              <w:spacing w:line="335" w:lineRule="exact" w:before="37"/>
              <w:ind w:left="92" w:right="37"/>
              <w:jc w:val="center"/>
              <w:rPr>
                <w:sz w:val="30"/>
              </w:rPr>
            </w:pPr>
            <w:r>
              <w:rPr>
                <w:sz w:val="30"/>
              </w:rPr>
              <w:t>46.5%</w:t>
            </w:r>
          </w:p>
        </w:tc>
      </w:tr>
      <w:tr>
        <w:trPr>
          <w:trHeight w:val="392" w:hRule="atLeast"/>
        </w:trPr>
        <w:tc>
          <w:tcPr>
            <w:tcW w:w="5954" w:type="dxa"/>
            <w:vMerge/>
            <w:tcBorders>
              <w:top w:val="nil"/>
            </w:tcBorders>
            <w:shd w:val="clear" w:color="auto" w:fill="D8E6F0"/>
          </w:tcPr>
          <w:p>
            <w:pPr>
              <w:rPr>
                <w:sz w:val="2"/>
                <w:szCs w:val="2"/>
              </w:rPr>
            </w:pPr>
          </w:p>
        </w:tc>
        <w:tc>
          <w:tcPr>
            <w:tcW w:w="4723" w:type="dxa"/>
            <w:shd w:val="clear" w:color="auto" w:fill="D8E6F0"/>
          </w:tcPr>
          <w:p>
            <w:pPr>
              <w:pStyle w:val="TableParagraph"/>
              <w:spacing w:line="335" w:lineRule="exact" w:before="37"/>
              <w:ind w:left="57"/>
              <w:rPr>
                <w:sz w:val="30"/>
              </w:rPr>
            </w:pPr>
            <w:r>
              <w:rPr>
                <w:sz w:val="30"/>
              </w:rPr>
              <w:t>Central estimate</w:t>
            </w:r>
          </w:p>
        </w:tc>
        <w:tc>
          <w:tcPr>
            <w:tcW w:w="2109" w:type="dxa"/>
            <w:shd w:val="clear" w:color="auto" w:fill="D8E6F0"/>
          </w:tcPr>
          <w:p>
            <w:pPr>
              <w:pStyle w:val="TableParagraph"/>
              <w:spacing w:line="335" w:lineRule="exact" w:before="37"/>
              <w:ind w:left="237" w:right="185"/>
              <w:jc w:val="center"/>
              <w:rPr>
                <w:sz w:val="30"/>
              </w:rPr>
            </w:pPr>
            <w:r>
              <w:rPr>
                <w:sz w:val="30"/>
              </w:rPr>
              <w:t>4.7%</w:t>
            </w:r>
          </w:p>
        </w:tc>
        <w:tc>
          <w:tcPr>
            <w:tcW w:w="2164" w:type="dxa"/>
            <w:shd w:val="clear" w:color="auto" w:fill="D8E6F0"/>
          </w:tcPr>
          <w:p>
            <w:pPr>
              <w:pStyle w:val="TableParagraph"/>
              <w:spacing w:line="335" w:lineRule="exact" w:before="37"/>
              <w:ind w:left="192" w:right="138"/>
              <w:jc w:val="center"/>
              <w:rPr>
                <w:sz w:val="30"/>
              </w:rPr>
            </w:pPr>
            <w:r>
              <w:rPr>
                <w:sz w:val="30"/>
              </w:rPr>
              <w:t>11.9%</w:t>
            </w:r>
          </w:p>
        </w:tc>
        <w:tc>
          <w:tcPr>
            <w:tcW w:w="2145" w:type="dxa"/>
            <w:shd w:val="clear" w:color="auto" w:fill="D8E6F0"/>
          </w:tcPr>
          <w:p>
            <w:pPr>
              <w:pStyle w:val="TableParagraph"/>
              <w:spacing w:line="335" w:lineRule="exact" w:before="37"/>
              <w:ind w:left="92" w:right="37"/>
              <w:jc w:val="center"/>
              <w:rPr>
                <w:sz w:val="30"/>
              </w:rPr>
            </w:pPr>
            <w:r>
              <w:rPr>
                <w:sz w:val="30"/>
              </w:rPr>
              <w:t>16.0%</w:t>
            </w:r>
          </w:p>
        </w:tc>
      </w:tr>
      <w:tr>
        <w:trPr>
          <w:trHeight w:val="409" w:hRule="atLeast"/>
        </w:trPr>
        <w:tc>
          <w:tcPr>
            <w:tcW w:w="5954" w:type="dxa"/>
            <w:vMerge/>
            <w:tcBorders>
              <w:top w:val="nil"/>
            </w:tcBorders>
            <w:shd w:val="clear" w:color="auto" w:fill="D8E6F0"/>
          </w:tcPr>
          <w:p>
            <w:pPr>
              <w:rPr>
                <w:sz w:val="2"/>
                <w:szCs w:val="2"/>
              </w:rPr>
            </w:pPr>
          </w:p>
        </w:tc>
        <w:tc>
          <w:tcPr>
            <w:tcW w:w="4723" w:type="dxa"/>
            <w:shd w:val="clear" w:color="auto" w:fill="D8E6F0"/>
          </w:tcPr>
          <w:p>
            <w:pPr>
              <w:pStyle w:val="TableParagraph"/>
              <w:spacing w:line="335" w:lineRule="exact" w:before="54"/>
              <w:ind w:left="57"/>
              <w:rPr>
                <w:sz w:val="30"/>
              </w:rPr>
            </w:pPr>
            <w:r>
              <w:rPr>
                <w:sz w:val="30"/>
              </w:rPr>
              <w:t>Lower end estimate</w:t>
            </w:r>
          </w:p>
        </w:tc>
        <w:tc>
          <w:tcPr>
            <w:tcW w:w="2109" w:type="dxa"/>
            <w:shd w:val="clear" w:color="auto" w:fill="D8E6F0"/>
          </w:tcPr>
          <w:p>
            <w:pPr>
              <w:pStyle w:val="TableParagraph"/>
              <w:spacing w:line="335" w:lineRule="exact" w:before="54"/>
              <w:ind w:left="237" w:right="185"/>
              <w:jc w:val="center"/>
              <w:rPr>
                <w:sz w:val="30"/>
              </w:rPr>
            </w:pPr>
            <w:r>
              <w:rPr>
                <w:sz w:val="30"/>
              </w:rPr>
              <w:t>1.6%</w:t>
            </w:r>
          </w:p>
        </w:tc>
        <w:tc>
          <w:tcPr>
            <w:tcW w:w="2164" w:type="dxa"/>
            <w:shd w:val="clear" w:color="auto" w:fill="D8E6F0"/>
          </w:tcPr>
          <w:p>
            <w:pPr>
              <w:pStyle w:val="TableParagraph"/>
              <w:spacing w:line="335" w:lineRule="exact" w:before="54"/>
              <w:ind w:left="192" w:right="137"/>
              <w:jc w:val="center"/>
              <w:rPr>
                <w:sz w:val="30"/>
              </w:rPr>
            </w:pPr>
            <w:r>
              <w:rPr>
                <w:sz w:val="30"/>
              </w:rPr>
              <w:t>7.8%</w:t>
            </w:r>
          </w:p>
        </w:tc>
        <w:tc>
          <w:tcPr>
            <w:tcW w:w="2145" w:type="dxa"/>
            <w:shd w:val="clear" w:color="auto" w:fill="D8E6F0"/>
          </w:tcPr>
          <w:p>
            <w:pPr>
              <w:pStyle w:val="TableParagraph"/>
              <w:spacing w:line="335" w:lineRule="exact" w:before="54"/>
              <w:ind w:left="92" w:right="36"/>
              <w:jc w:val="center"/>
              <w:rPr>
                <w:sz w:val="30"/>
              </w:rPr>
            </w:pPr>
            <w:r>
              <w:rPr>
                <w:sz w:val="30"/>
              </w:rPr>
              <w:t>1.7%</w:t>
            </w:r>
          </w:p>
        </w:tc>
      </w:tr>
      <w:tr>
        <w:trPr>
          <w:trHeight w:val="392" w:hRule="atLeast"/>
        </w:trPr>
        <w:tc>
          <w:tcPr>
            <w:tcW w:w="5954" w:type="dxa"/>
            <w:vMerge w:val="restart"/>
          </w:tcPr>
          <w:p>
            <w:pPr>
              <w:pStyle w:val="TableParagraph"/>
              <w:spacing w:line="341" w:lineRule="exact"/>
              <w:ind w:left="57"/>
              <w:rPr>
                <w:sz w:val="30"/>
              </w:rPr>
            </w:pPr>
            <w:r>
              <w:rPr>
                <w:sz w:val="30"/>
              </w:rPr>
              <w:t>Precipitation % Summer</w:t>
            </w:r>
          </w:p>
        </w:tc>
        <w:tc>
          <w:tcPr>
            <w:tcW w:w="4723" w:type="dxa"/>
          </w:tcPr>
          <w:p>
            <w:pPr>
              <w:pStyle w:val="TableParagraph"/>
              <w:spacing w:line="335" w:lineRule="exact" w:before="37"/>
              <w:ind w:left="57"/>
              <w:rPr>
                <w:sz w:val="30"/>
              </w:rPr>
            </w:pPr>
            <w:r>
              <w:rPr>
                <w:sz w:val="30"/>
              </w:rPr>
              <w:t>Upper enhanced estimate</w:t>
            </w:r>
          </w:p>
        </w:tc>
        <w:tc>
          <w:tcPr>
            <w:tcW w:w="2109" w:type="dxa"/>
          </w:tcPr>
          <w:p>
            <w:pPr>
              <w:pStyle w:val="TableParagraph"/>
              <w:spacing w:line="335" w:lineRule="exact" w:before="37"/>
              <w:ind w:left="53"/>
              <w:jc w:val="center"/>
              <w:rPr>
                <w:sz w:val="30"/>
              </w:rPr>
            </w:pPr>
            <w:r>
              <w:rPr>
                <w:sz w:val="30"/>
              </w:rPr>
              <w:t>-</w:t>
            </w:r>
          </w:p>
        </w:tc>
        <w:tc>
          <w:tcPr>
            <w:tcW w:w="2164" w:type="dxa"/>
          </w:tcPr>
          <w:p>
            <w:pPr>
              <w:pStyle w:val="TableParagraph"/>
              <w:spacing w:line="335" w:lineRule="exact" w:before="37"/>
              <w:ind w:left="56"/>
              <w:jc w:val="center"/>
              <w:rPr>
                <w:sz w:val="30"/>
              </w:rPr>
            </w:pPr>
            <w:r>
              <w:rPr>
                <w:sz w:val="30"/>
              </w:rPr>
              <w:t>-</w:t>
            </w:r>
          </w:p>
        </w:tc>
        <w:tc>
          <w:tcPr>
            <w:tcW w:w="2145" w:type="dxa"/>
          </w:tcPr>
          <w:p>
            <w:pPr>
              <w:pStyle w:val="TableParagraph"/>
              <w:spacing w:line="335" w:lineRule="exact" w:before="37"/>
              <w:ind w:left="58"/>
              <w:jc w:val="center"/>
              <w:rPr>
                <w:sz w:val="30"/>
              </w:rPr>
            </w:pPr>
            <w:r>
              <w:rPr>
                <w:sz w:val="30"/>
              </w:rPr>
              <w:t>-</w:t>
            </w:r>
          </w:p>
        </w:tc>
      </w:tr>
      <w:tr>
        <w:trPr>
          <w:trHeight w:val="392" w:hRule="atLeast"/>
        </w:trPr>
        <w:tc>
          <w:tcPr>
            <w:tcW w:w="5954" w:type="dxa"/>
            <w:vMerge/>
            <w:tcBorders>
              <w:top w:val="nil"/>
            </w:tcBorders>
          </w:tcPr>
          <w:p>
            <w:pPr>
              <w:rPr>
                <w:sz w:val="2"/>
                <w:szCs w:val="2"/>
              </w:rPr>
            </w:pPr>
          </w:p>
        </w:tc>
        <w:tc>
          <w:tcPr>
            <w:tcW w:w="4723" w:type="dxa"/>
          </w:tcPr>
          <w:p>
            <w:pPr>
              <w:pStyle w:val="TableParagraph"/>
              <w:spacing w:line="335" w:lineRule="exact" w:before="37"/>
              <w:ind w:left="57"/>
              <w:rPr>
                <w:sz w:val="30"/>
              </w:rPr>
            </w:pPr>
            <w:r>
              <w:rPr>
                <w:sz w:val="30"/>
              </w:rPr>
              <w:t>Upper end estimate</w:t>
            </w:r>
          </w:p>
        </w:tc>
        <w:tc>
          <w:tcPr>
            <w:tcW w:w="2109" w:type="dxa"/>
          </w:tcPr>
          <w:p>
            <w:pPr>
              <w:pStyle w:val="TableParagraph"/>
              <w:spacing w:line="335" w:lineRule="exact" w:before="37"/>
              <w:ind w:left="237" w:right="186"/>
              <w:jc w:val="center"/>
              <w:rPr>
                <w:sz w:val="30"/>
              </w:rPr>
            </w:pPr>
            <w:r>
              <w:rPr>
                <w:sz w:val="30"/>
              </w:rPr>
              <w:t>-2.4%</w:t>
            </w:r>
          </w:p>
        </w:tc>
        <w:tc>
          <w:tcPr>
            <w:tcW w:w="2164" w:type="dxa"/>
          </w:tcPr>
          <w:p>
            <w:pPr>
              <w:pStyle w:val="TableParagraph"/>
              <w:spacing w:line="335" w:lineRule="exact" w:before="37"/>
              <w:ind w:left="192" w:right="139"/>
              <w:jc w:val="center"/>
              <w:rPr>
                <w:sz w:val="30"/>
              </w:rPr>
            </w:pPr>
            <w:r>
              <w:rPr>
                <w:sz w:val="30"/>
              </w:rPr>
              <w:t>-13.2%</w:t>
            </w:r>
          </w:p>
        </w:tc>
        <w:tc>
          <w:tcPr>
            <w:tcW w:w="2145" w:type="dxa"/>
          </w:tcPr>
          <w:p>
            <w:pPr>
              <w:pStyle w:val="TableParagraph"/>
              <w:spacing w:line="335" w:lineRule="exact" w:before="37"/>
              <w:ind w:left="92" w:right="36"/>
              <w:jc w:val="center"/>
              <w:rPr>
                <w:sz w:val="30"/>
              </w:rPr>
            </w:pPr>
            <w:r>
              <w:rPr>
                <w:sz w:val="30"/>
              </w:rPr>
              <w:t>-1.4%</w:t>
            </w:r>
          </w:p>
        </w:tc>
      </w:tr>
      <w:tr>
        <w:trPr>
          <w:trHeight w:val="392" w:hRule="atLeast"/>
        </w:trPr>
        <w:tc>
          <w:tcPr>
            <w:tcW w:w="5954" w:type="dxa"/>
            <w:vMerge/>
            <w:tcBorders>
              <w:top w:val="nil"/>
            </w:tcBorders>
          </w:tcPr>
          <w:p>
            <w:pPr>
              <w:rPr>
                <w:sz w:val="2"/>
                <w:szCs w:val="2"/>
              </w:rPr>
            </w:pPr>
          </w:p>
        </w:tc>
        <w:tc>
          <w:tcPr>
            <w:tcW w:w="4723" w:type="dxa"/>
          </w:tcPr>
          <w:p>
            <w:pPr>
              <w:pStyle w:val="TableParagraph"/>
              <w:spacing w:line="335" w:lineRule="exact" w:before="37"/>
              <w:ind w:left="57"/>
              <w:rPr>
                <w:sz w:val="30"/>
              </w:rPr>
            </w:pPr>
            <w:r>
              <w:rPr>
                <w:sz w:val="30"/>
              </w:rPr>
              <w:t>Central estimate</w:t>
            </w:r>
          </w:p>
        </w:tc>
        <w:tc>
          <w:tcPr>
            <w:tcW w:w="2109" w:type="dxa"/>
          </w:tcPr>
          <w:p>
            <w:pPr>
              <w:pStyle w:val="TableParagraph"/>
              <w:spacing w:line="335" w:lineRule="exact" w:before="37"/>
              <w:ind w:left="237" w:right="186"/>
              <w:jc w:val="center"/>
              <w:rPr>
                <w:sz w:val="30"/>
              </w:rPr>
            </w:pPr>
            <w:r>
              <w:rPr>
                <w:sz w:val="30"/>
              </w:rPr>
              <w:t>-8.8%</w:t>
            </w:r>
          </w:p>
        </w:tc>
        <w:tc>
          <w:tcPr>
            <w:tcW w:w="2164" w:type="dxa"/>
          </w:tcPr>
          <w:p>
            <w:pPr>
              <w:pStyle w:val="TableParagraph"/>
              <w:spacing w:line="335" w:lineRule="exact" w:before="37"/>
              <w:ind w:left="192" w:right="138"/>
              <w:jc w:val="center"/>
              <w:rPr>
                <w:sz w:val="30"/>
              </w:rPr>
            </w:pPr>
            <w:r>
              <w:rPr>
                <w:sz w:val="30"/>
              </w:rPr>
              <w:t>-20.2%</w:t>
            </w:r>
          </w:p>
        </w:tc>
        <w:tc>
          <w:tcPr>
            <w:tcW w:w="2145" w:type="dxa"/>
          </w:tcPr>
          <w:p>
            <w:pPr>
              <w:pStyle w:val="TableParagraph"/>
              <w:spacing w:line="335" w:lineRule="exact" w:before="37"/>
              <w:ind w:left="92" w:right="37"/>
              <w:jc w:val="center"/>
              <w:rPr>
                <w:sz w:val="30"/>
              </w:rPr>
            </w:pPr>
            <w:r>
              <w:rPr>
                <w:sz w:val="30"/>
              </w:rPr>
              <w:t>-24.8%</w:t>
            </w:r>
          </w:p>
        </w:tc>
      </w:tr>
      <w:tr>
        <w:trPr>
          <w:trHeight w:val="409" w:hRule="atLeast"/>
        </w:trPr>
        <w:tc>
          <w:tcPr>
            <w:tcW w:w="5954" w:type="dxa"/>
            <w:vMerge/>
            <w:tcBorders>
              <w:top w:val="nil"/>
            </w:tcBorders>
          </w:tcPr>
          <w:p>
            <w:pPr>
              <w:rPr>
                <w:sz w:val="2"/>
                <w:szCs w:val="2"/>
              </w:rPr>
            </w:pPr>
          </w:p>
        </w:tc>
        <w:tc>
          <w:tcPr>
            <w:tcW w:w="4723" w:type="dxa"/>
          </w:tcPr>
          <w:p>
            <w:pPr>
              <w:pStyle w:val="TableParagraph"/>
              <w:spacing w:line="335" w:lineRule="exact" w:before="54"/>
              <w:ind w:left="57"/>
              <w:rPr>
                <w:sz w:val="30"/>
              </w:rPr>
            </w:pPr>
            <w:r>
              <w:rPr>
                <w:sz w:val="30"/>
              </w:rPr>
              <w:t>Lower end estimate</w:t>
            </w:r>
          </w:p>
        </w:tc>
        <w:tc>
          <w:tcPr>
            <w:tcW w:w="2109" w:type="dxa"/>
          </w:tcPr>
          <w:p>
            <w:pPr>
              <w:pStyle w:val="TableParagraph"/>
              <w:spacing w:line="335" w:lineRule="exact" w:before="54"/>
              <w:ind w:left="237" w:right="187"/>
              <w:jc w:val="center"/>
              <w:rPr>
                <w:sz w:val="30"/>
              </w:rPr>
            </w:pPr>
            <w:r>
              <w:rPr>
                <w:sz w:val="30"/>
              </w:rPr>
              <w:t>-14.9%</w:t>
            </w:r>
          </w:p>
        </w:tc>
        <w:tc>
          <w:tcPr>
            <w:tcW w:w="2164" w:type="dxa"/>
          </w:tcPr>
          <w:p>
            <w:pPr>
              <w:pStyle w:val="TableParagraph"/>
              <w:spacing w:line="335" w:lineRule="exact" w:before="54"/>
              <w:ind w:left="192" w:right="138"/>
              <w:jc w:val="center"/>
              <w:rPr>
                <w:sz w:val="30"/>
              </w:rPr>
            </w:pPr>
            <w:r>
              <w:rPr>
                <w:sz w:val="30"/>
              </w:rPr>
              <w:t>-26.9%</w:t>
            </w:r>
          </w:p>
        </w:tc>
        <w:tc>
          <w:tcPr>
            <w:tcW w:w="2145" w:type="dxa"/>
          </w:tcPr>
          <w:p>
            <w:pPr>
              <w:pStyle w:val="TableParagraph"/>
              <w:spacing w:line="335" w:lineRule="exact" w:before="54"/>
              <w:ind w:left="92" w:right="37"/>
              <w:jc w:val="center"/>
              <w:rPr>
                <w:sz w:val="30"/>
              </w:rPr>
            </w:pPr>
            <w:r>
              <w:rPr>
                <w:sz w:val="30"/>
              </w:rPr>
              <w:t>-38.8%</w:t>
            </w:r>
          </w:p>
        </w:tc>
      </w:tr>
      <w:tr>
        <w:trPr>
          <w:trHeight w:val="392" w:hRule="atLeast"/>
        </w:trPr>
        <w:tc>
          <w:tcPr>
            <w:tcW w:w="5954" w:type="dxa"/>
            <w:vMerge w:val="restart"/>
            <w:shd w:val="clear" w:color="auto" w:fill="D8E6F0"/>
          </w:tcPr>
          <w:p>
            <w:pPr>
              <w:pStyle w:val="TableParagraph"/>
              <w:spacing w:line="341" w:lineRule="exact"/>
              <w:ind w:left="57"/>
              <w:rPr>
                <w:sz w:val="30"/>
              </w:rPr>
            </w:pPr>
            <w:r>
              <w:rPr>
                <w:sz w:val="30"/>
              </w:rPr>
              <w:t>Precipitation % on Wettest Day - Winter</w:t>
            </w:r>
          </w:p>
        </w:tc>
        <w:tc>
          <w:tcPr>
            <w:tcW w:w="4723" w:type="dxa"/>
            <w:shd w:val="clear" w:color="auto" w:fill="D8E6F0"/>
          </w:tcPr>
          <w:p>
            <w:pPr>
              <w:pStyle w:val="TableParagraph"/>
              <w:spacing w:line="335" w:lineRule="exact" w:before="37"/>
              <w:ind w:left="57"/>
              <w:rPr>
                <w:sz w:val="30"/>
              </w:rPr>
            </w:pPr>
            <w:r>
              <w:rPr>
                <w:sz w:val="30"/>
              </w:rPr>
              <w:t>Upper enhanced estimate</w:t>
            </w:r>
          </w:p>
        </w:tc>
        <w:tc>
          <w:tcPr>
            <w:tcW w:w="2109" w:type="dxa"/>
            <w:shd w:val="clear" w:color="auto" w:fill="D8E6F0"/>
          </w:tcPr>
          <w:p>
            <w:pPr>
              <w:pStyle w:val="TableParagraph"/>
              <w:spacing w:line="335" w:lineRule="exact" w:before="37"/>
              <w:ind w:left="53"/>
              <w:jc w:val="center"/>
              <w:rPr>
                <w:sz w:val="30"/>
              </w:rPr>
            </w:pPr>
            <w:r>
              <w:rPr>
                <w:sz w:val="30"/>
              </w:rPr>
              <w:t>-</w:t>
            </w:r>
          </w:p>
        </w:tc>
        <w:tc>
          <w:tcPr>
            <w:tcW w:w="2164" w:type="dxa"/>
            <w:shd w:val="clear" w:color="auto" w:fill="D8E6F0"/>
          </w:tcPr>
          <w:p>
            <w:pPr>
              <w:pStyle w:val="TableParagraph"/>
              <w:spacing w:line="335" w:lineRule="exact" w:before="37"/>
              <w:ind w:left="56"/>
              <w:jc w:val="center"/>
              <w:rPr>
                <w:sz w:val="30"/>
              </w:rPr>
            </w:pPr>
            <w:r>
              <w:rPr>
                <w:sz w:val="30"/>
              </w:rPr>
              <w:t>-</w:t>
            </w:r>
          </w:p>
        </w:tc>
        <w:tc>
          <w:tcPr>
            <w:tcW w:w="2145" w:type="dxa"/>
            <w:shd w:val="clear" w:color="auto" w:fill="D8E6F0"/>
          </w:tcPr>
          <w:p>
            <w:pPr>
              <w:pStyle w:val="TableParagraph"/>
              <w:spacing w:line="335" w:lineRule="exact" w:before="37"/>
              <w:ind w:left="58"/>
              <w:jc w:val="center"/>
              <w:rPr>
                <w:sz w:val="30"/>
              </w:rPr>
            </w:pPr>
            <w:r>
              <w:rPr>
                <w:sz w:val="30"/>
              </w:rPr>
              <w:t>-</w:t>
            </w:r>
          </w:p>
        </w:tc>
      </w:tr>
      <w:tr>
        <w:trPr>
          <w:trHeight w:val="392" w:hRule="atLeast"/>
        </w:trPr>
        <w:tc>
          <w:tcPr>
            <w:tcW w:w="5954" w:type="dxa"/>
            <w:vMerge/>
            <w:tcBorders>
              <w:top w:val="nil"/>
            </w:tcBorders>
            <w:shd w:val="clear" w:color="auto" w:fill="D8E6F0"/>
          </w:tcPr>
          <w:p>
            <w:pPr>
              <w:rPr>
                <w:sz w:val="2"/>
                <w:szCs w:val="2"/>
              </w:rPr>
            </w:pPr>
          </w:p>
        </w:tc>
        <w:tc>
          <w:tcPr>
            <w:tcW w:w="4723" w:type="dxa"/>
            <w:shd w:val="clear" w:color="auto" w:fill="D8E6F0"/>
          </w:tcPr>
          <w:p>
            <w:pPr>
              <w:pStyle w:val="TableParagraph"/>
              <w:spacing w:line="335" w:lineRule="exact" w:before="37"/>
              <w:ind w:left="57"/>
              <w:rPr>
                <w:sz w:val="30"/>
              </w:rPr>
            </w:pPr>
            <w:r>
              <w:rPr>
                <w:sz w:val="30"/>
              </w:rPr>
              <w:t>Upper end estimate</w:t>
            </w:r>
          </w:p>
        </w:tc>
        <w:tc>
          <w:tcPr>
            <w:tcW w:w="2109" w:type="dxa"/>
            <w:shd w:val="clear" w:color="auto" w:fill="D8E6F0"/>
          </w:tcPr>
          <w:p>
            <w:pPr>
              <w:pStyle w:val="TableParagraph"/>
              <w:spacing w:line="335" w:lineRule="exact" w:before="37"/>
              <w:ind w:left="237" w:right="185"/>
              <w:jc w:val="center"/>
              <w:rPr>
                <w:sz w:val="30"/>
              </w:rPr>
            </w:pPr>
            <w:r>
              <w:rPr>
                <w:sz w:val="30"/>
              </w:rPr>
              <w:t>8.2%</w:t>
            </w:r>
          </w:p>
        </w:tc>
        <w:tc>
          <w:tcPr>
            <w:tcW w:w="2164" w:type="dxa"/>
            <w:shd w:val="clear" w:color="auto" w:fill="D8E6F0"/>
          </w:tcPr>
          <w:p>
            <w:pPr>
              <w:pStyle w:val="TableParagraph"/>
              <w:spacing w:line="335" w:lineRule="exact" w:before="37"/>
              <w:ind w:left="192" w:right="138"/>
              <w:jc w:val="center"/>
              <w:rPr>
                <w:sz w:val="30"/>
              </w:rPr>
            </w:pPr>
            <w:r>
              <w:rPr>
                <w:sz w:val="30"/>
              </w:rPr>
              <w:t>16.3%</w:t>
            </w:r>
          </w:p>
        </w:tc>
        <w:tc>
          <w:tcPr>
            <w:tcW w:w="2145" w:type="dxa"/>
            <w:shd w:val="clear" w:color="auto" w:fill="D8E6F0"/>
          </w:tcPr>
          <w:p>
            <w:pPr>
              <w:pStyle w:val="TableParagraph"/>
              <w:spacing w:line="335" w:lineRule="exact" w:before="37"/>
              <w:ind w:left="92" w:right="37"/>
              <w:jc w:val="center"/>
              <w:rPr>
                <w:sz w:val="30"/>
              </w:rPr>
            </w:pPr>
            <w:r>
              <w:rPr>
                <w:sz w:val="30"/>
              </w:rPr>
              <w:t>43.9%</w:t>
            </w:r>
          </w:p>
        </w:tc>
      </w:tr>
      <w:tr>
        <w:trPr>
          <w:trHeight w:val="392" w:hRule="atLeast"/>
        </w:trPr>
        <w:tc>
          <w:tcPr>
            <w:tcW w:w="5954" w:type="dxa"/>
            <w:vMerge/>
            <w:tcBorders>
              <w:top w:val="nil"/>
            </w:tcBorders>
            <w:shd w:val="clear" w:color="auto" w:fill="D8E6F0"/>
          </w:tcPr>
          <w:p>
            <w:pPr>
              <w:rPr>
                <w:sz w:val="2"/>
                <w:szCs w:val="2"/>
              </w:rPr>
            </w:pPr>
          </w:p>
        </w:tc>
        <w:tc>
          <w:tcPr>
            <w:tcW w:w="4723" w:type="dxa"/>
            <w:shd w:val="clear" w:color="auto" w:fill="D8E6F0"/>
          </w:tcPr>
          <w:p>
            <w:pPr>
              <w:pStyle w:val="TableParagraph"/>
              <w:spacing w:line="335" w:lineRule="exact" w:before="37"/>
              <w:ind w:left="57"/>
              <w:rPr>
                <w:sz w:val="30"/>
              </w:rPr>
            </w:pPr>
            <w:r>
              <w:rPr>
                <w:sz w:val="30"/>
              </w:rPr>
              <w:t>Central estimate</w:t>
            </w:r>
          </w:p>
        </w:tc>
        <w:tc>
          <w:tcPr>
            <w:tcW w:w="2109" w:type="dxa"/>
            <w:shd w:val="clear" w:color="auto" w:fill="D8E6F0"/>
          </w:tcPr>
          <w:p>
            <w:pPr>
              <w:pStyle w:val="TableParagraph"/>
              <w:spacing w:line="335" w:lineRule="exact" w:before="37"/>
              <w:ind w:left="237" w:right="185"/>
              <w:jc w:val="center"/>
              <w:rPr>
                <w:sz w:val="30"/>
              </w:rPr>
            </w:pPr>
            <w:r>
              <w:rPr>
                <w:sz w:val="30"/>
              </w:rPr>
              <w:t>4.6%</w:t>
            </w:r>
          </w:p>
        </w:tc>
        <w:tc>
          <w:tcPr>
            <w:tcW w:w="2164" w:type="dxa"/>
            <w:shd w:val="clear" w:color="auto" w:fill="D8E6F0"/>
          </w:tcPr>
          <w:p>
            <w:pPr>
              <w:pStyle w:val="TableParagraph"/>
              <w:spacing w:line="335" w:lineRule="exact" w:before="37"/>
              <w:ind w:left="192" w:right="138"/>
              <w:jc w:val="center"/>
              <w:rPr>
                <w:sz w:val="30"/>
              </w:rPr>
            </w:pPr>
            <w:r>
              <w:rPr>
                <w:sz w:val="30"/>
              </w:rPr>
              <w:t>11.9%</w:t>
            </w:r>
          </w:p>
        </w:tc>
        <w:tc>
          <w:tcPr>
            <w:tcW w:w="2145" w:type="dxa"/>
            <w:shd w:val="clear" w:color="auto" w:fill="D8E6F0"/>
          </w:tcPr>
          <w:p>
            <w:pPr>
              <w:pStyle w:val="TableParagraph"/>
              <w:spacing w:line="335" w:lineRule="exact" w:before="37"/>
              <w:ind w:left="92" w:right="37"/>
              <w:jc w:val="center"/>
              <w:rPr>
                <w:sz w:val="30"/>
              </w:rPr>
            </w:pPr>
            <w:r>
              <w:rPr>
                <w:sz w:val="30"/>
              </w:rPr>
              <w:t>16.8%</w:t>
            </w:r>
          </w:p>
        </w:tc>
      </w:tr>
      <w:tr>
        <w:trPr>
          <w:trHeight w:val="409" w:hRule="atLeast"/>
        </w:trPr>
        <w:tc>
          <w:tcPr>
            <w:tcW w:w="5954" w:type="dxa"/>
            <w:vMerge/>
            <w:tcBorders>
              <w:top w:val="nil"/>
            </w:tcBorders>
            <w:shd w:val="clear" w:color="auto" w:fill="D8E6F0"/>
          </w:tcPr>
          <w:p>
            <w:pPr>
              <w:rPr>
                <w:sz w:val="2"/>
                <w:szCs w:val="2"/>
              </w:rPr>
            </w:pPr>
          </w:p>
        </w:tc>
        <w:tc>
          <w:tcPr>
            <w:tcW w:w="4723" w:type="dxa"/>
            <w:shd w:val="clear" w:color="auto" w:fill="D8E6F0"/>
          </w:tcPr>
          <w:p>
            <w:pPr>
              <w:pStyle w:val="TableParagraph"/>
              <w:spacing w:line="335" w:lineRule="exact" w:before="54"/>
              <w:ind w:left="57"/>
              <w:rPr>
                <w:sz w:val="30"/>
              </w:rPr>
            </w:pPr>
            <w:r>
              <w:rPr>
                <w:sz w:val="30"/>
              </w:rPr>
              <w:t>Lower end estimate</w:t>
            </w:r>
          </w:p>
        </w:tc>
        <w:tc>
          <w:tcPr>
            <w:tcW w:w="2109" w:type="dxa"/>
            <w:shd w:val="clear" w:color="auto" w:fill="D8E6F0"/>
          </w:tcPr>
          <w:p>
            <w:pPr>
              <w:pStyle w:val="TableParagraph"/>
              <w:spacing w:line="335" w:lineRule="exact" w:before="54"/>
              <w:ind w:left="237" w:right="185"/>
              <w:jc w:val="center"/>
              <w:rPr>
                <w:sz w:val="30"/>
              </w:rPr>
            </w:pPr>
            <w:r>
              <w:rPr>
                <w:sz w:val="30"/>
              </w:rPr>
              <w:t>1.2%</w:t>
            </w:r>
          </w:p>
        </w:tc>
        <w:tc>
          <w:tcPr>
            <w:tcW w:w="2164" w:type="dxa"/>
            <w:shd w:val="clear" w:color="auto" w:fill="D8E6F0"/>
          </w:tcPr>
          <w:p>
            <w:pPr>
              <w:pStyle w:val="TableParagraph"/>
              <w:spacing w:line="335" w:lineRule="exact" w:before="54"/>
              <w:ind w:left="192" w:right="137"/>
              <w:jc w:val="center"/>
              <w:rPr>
                <w:sz w:val="30"/>
              </w:rPr>
            </w:pPr>
            <w:r>
              <w:rPr>
                <w:sz w:val="30"/>
              </w:rPr>
              <w:t>7.7%</w:t>
            </w:r>
          </w:p>
        </w:tc>
        <w:tc>
          <w:tcPr>
            <w:tcW w:w="2145" w:type="dxa"/>
            <w:shd w:val="clear" w:color="auto" w:fill="D8E6F0"/>
          </w:tcPr>
          <w:p>
            <w:pPr>
              <w:pStyle w:val="TableParagraph"/>
              <w:spacing w:line="335" w:lineRule="exact" w:before="54"/>
              <w:ind w:left="92" w:right="36"/>
              <w:jc w:val="center"/>
              <w:rPr>
                <w:sz w:val="30"/>
              </w:rPr>
            </w:pPr>
            <w:r>
              <w:rPr>
                <w:sz w:val="30"/>
              </w:rPr>
              <w:t>0.5%</w:t>
            </w:r>
          </w:p>
        </w:tc>
      </w:tr>
      <w:tr>
        <w:trPr>
          <w:trHeight w:val="392" w:hRule="atLeast"/>
        </w:trPr>
        <w:tc>
          <w:tcPr>
            <w:tcW w:w="5954" w:type="dxa"/>
            <w:vMerge w:val="restart"/>
          </w:tcPr>
          <w:p>
            <w:pPr>
              <w:pStyle w:val="TableParagraph"/>
              <w:spacing w:line="341" w:lineRule="exact"/>
              <w:ind w:left="57"/>
              <w:rPr>
                <w:sz w:val="30"/>
              </w:rPr>
            </w:pPr>
            <w:r>
              <w:rPr>
                <w:sz w:val="30"/>
              </w:rPr>
              <w:t>Precipitation % on Wettest Day - Summer</w:t>
            </w:r>
          </w:p>
        </w:tc>
        <w:tc>
          <w:tcPr>
            <w:tcW w:w="4723" w:type="dxa"/>
          </w:tcPr>
          <w:p>
            <w:pPr>
              <w:pStyle w:val="TableParagraph"/>
              <w:spacing w:line="335" w:lineRule="exact" w:before="37"/>
              <w:ind w:left="57"/>
              <w:rPr>
                <w:sz w:val="30"/>
              </w:rPr>
            </w:pPr>
            <w:r>
              <w:rPr>
                <w:sz w:val="30"/>
              </w:rPr>
              <w:t>Upper enhanced estimate</w:t>
            </w:r>
          </w:p>
        </w:tc>
        <w:tc>
          <w:tcPr>
            <w:tcW w:w="2109" w:type="dxa"/>
          </w:tcPr>
          <w:p>
            <w:pPr>
              <w:pStyle w:val="TableParagraph"/>
              <w:spacing w:line="335" w:lineRule="exact" w:before="37"/>
              <w:ind w:left="53"/>
              <w:jc w:val="center"/>
              <w:rPr>
                <w:sz w:val="30"/>
              </w:rPr>
            </w:pPr>
            <w:r>
              <w:rPr>
                <w:sz w:val="30"/>
              </w:rPr>
              <w:t>-</w:t>
            </w:r>
          </w:p>
        </w:tc>
        <w:tc>
          <w:tcPr>
            <w:tcW w:w="2164" w:type="dxa"/>
          </w:tcPr>
          <w:p>
            <w:pPr>
              <w:pStyle w:val="TableParagraph"/>
              <w:spacing w:line="335" w:lineRule="exact" w:before="37"/>
              <w:ind w:left="56"/>
              <w:jc w:val="center"/>
              <w:rPr>
                <w:sz w:val="30"/>
              </w:rPr>
            </w:pPr>
            <w:r>
              <w:rPr>
                <w:sz w:val="30"/>
              </w:rPr>
              <w:t>-</w:t>
            </w:r>
          </w:p>
        </w:tc>
        <w:tc>
          <w:tcPr>
            <w:tcW w:w="2145" w:type="dxa"/>
          </w:tcPr>
          <w:p>
            <w:pPr>
              <w:pStyle w:val="TableParagraph"/>
              <w:spacing w:line="335" w:lineRule="exact" w:before="37"/>
              <w:ind w:left="58"/>
              <w:jc w:val="center"/>
              <w:rPr>
                <w:sz w:val="30"/>
              </w:rPr>
            </w:pPr>
            <w:r>
              <w:rPr>
                <w:sz w:val="30"/>
              </w:rPr>
              <w:t>-</w:t>
            </w:r>
          </w:p>
        </w:tc>
      </w:tr>
      <w:tr>
        <w:trPr>
          <w:trHeight w:val="392" w:hRule="atLeast"/>
        </w:trPr>
        <w:tc>
          <w:tcPr>
            <w:tcW w:w="5954" w:type="dxa"/>
            <w:vMerge/>
            <w:tcBorders>
              <w:top w:val="nil"/>
            </w:tcBorders>
          </w:tcPr>
          <w:p>
            <w:pPr>
              <w:rPr>
                <w:sz w:val="2"/>
                <w:szCs w:val="2"/>
              </w:rPr>
            </w:pPr>
          </w:p>
        </w:tc>
        <w:tc>
          <w:tcPr>
            <w:tcW w:w="4723" w:type="dxa"/>
          </w:tcPr>
          <w:p>
            <w:pPr>
              <w:pStyle w:val="TableParagraph"/>
              <w:spacing w:line="335" w:lineRule="exact" w:before="37"/>
              <w:ind w:left="57"/>
              <w:rPr>
                <w:sz w:val="30"/>
              </w:rPr>
            </w:pPr>
            <w:r>
              <w:rPr>
                <w:sz w:val="30"/>
              </w:rPr>
              <w:t>Upper end estimate</w:t>
            </w:r>
          </w:p>
        </w:tc>
        <w:tc>
          <w:tcPr>
            <w:tcW w:w="2109" w:type="dxa"/>
          </w:tcPr>
          <w:p>
            <w:pPr>
              <w:pStyle w:val="TableParagraph"/>
              <w:spacing w:line="335" w:lineRule="exact" w:before="37"/>
              <w:ind w:left="237" w:right="185"/>
              <w:jc w:val="center"/>
              <w:rPr>
                <w:sz w:val="30"/>
              </w:rPr>
            </w:pPr>
            <w:r>
              <w:rPr>
                <w:sz w:val="30"/>
              </w:rPr>
              <w:t>6.4%</w:t>
            </w:r>
          </w:p>
        </w:tc>
        <w:tc>
          <w:tcPr>
            <w:tcW w:w="2164" w:type="dxa"/>
          </w:tcPr>
          <w:p>
            <w:pPr>
              <w:pStyle w:val="TableParagraph"/>
              <w:spacing w:line="335" w:lineRule="exact" w:before="37"/>
              <w:ind w:left="192" w:right="137"/>
              <w:jc w:val="center"/>
              <w:rPr>
                <w:sz w:val="30"/>
              </w:rPr>
            </w:pPr>
            <w:r>
              <w:rPr>
                <w:sz w:val="30"/>
              </w:rPr>
              <w:t>2.9%</w:t>
            </w:r>
          </w:p>
        </w:tc>
        <w:tc>
          <w:tcPr>
            <w:tcW w:w="2145" w:type="dxa"/>
          </w:tcPr>
          <w:p>
            <w:pPr>
              <w:pStyle w:val="TableParagraph"/>
              <w:spacing w:line="335" w:lineRule="exact" w:before="37"/>
              <w:ind w:left="92" w:right="37"/>
              <w:jc w:val="center"/>
              <w:rPr>
                <w:sz w:val="30"/>
              </w:rPr>
            </w:pPr>
            <w:r>
              <w:rPr>
                <w:sz w:val="30"/>
              </w:rPr>
              <w:t>16.0%</w:t>
            </w:r>
          </w:p>
        </w:tc>
      </w:tr>
      <w:tr>
        <w:trPr>
          <w:trHeight w:val="392" w:hRule="atLeast"/>
        </w:trPr>
        <w:tc>
          <w:tcPr>
            <w:tcW w:w="5954" w:type="dxa"/>
            <w:vMerge/>
            <w:tcBorders>
              <w:top w:val="nil"/>
            </w:tcBorders>
          </w:tcPr>
          <w:p>
            <w:pPr>
              <w:rPr>
                <w:sz w:val="2"/>
                <w:szCs w:val="2"/>
              </w:rPr>
            </w:pPr>
          </w:p>
        </w:tc>
        <w:tc>
          <w:tcPr>
            <w:tcW w:w="4723" w:type="dxa"/>
          </w:tcPr>
          <w:p>
            <w:pPr>
              <w:pStyle w:val="TableParagraph"/>
              <w:spacing w:line="335" w:lineRule="exact" w:before="37"/>
              <w:ind w:left="57"/>
              <w:rPr>
                <w:sz w:val="30"/>
              </w:rPr>
            </w:pPr>
            <w:r>
              <w:rPr>
                <w:sz w:val="30"/>
              </w:rPr>
              <w:t>Central estimate</w:t>
            </w:r>
          </w:p>
        </w:tc>
        <w:tc>
          <w:tcPr>
            <w:tcW w:w="2109" w:type="dxa"/>
          </w:tcPr>
          <w:p>
            <w:pPr>
              <w:pStyle w:val="TableParagraph"/>
              <w:spacing w:line="335" w:lineRule="exact" w:before="37"/>
              <w:ind w:left="237" w:right="186"/>
              <w:jc w:val="center"/>
              <w:rPr>
                <w:sz w:val="30"/>
              </w:rPr>
            </w:pPr>
            <w:r>
              <w:rPr>
                <w:sz w:val="30"/>
              </w:rPr>
              <w:t>-0.3%</w:t>
            </w:r>
          </w:p>
        </w:tc>
        <w:tc>
          <w:tcPr>
            <w:tcW w:w="2164" w:type="dxa"/>
          </w:tcPr>
          <w:p>
            <w:pPr>
              <w:pStyle w:val="TableParagraph"/>
              <w:spacing w:line="335" w:lineRule="exact" w:before="37"/>
              <w:ind w:left="192" w:right="137"/>
              <w:jc w:val="center"/>
              <w:rPr>
                <w:sz w:val="30"/>
              </w:rPr>
            </w:pPr>
            <w:r>
              <w:rPr>
                <w:sz w:val="30"/>
              </w:rPr>
              <w:t>-4.0%</w:t>
            </w:r>
          </w:p>
        </w:tc>
        <w:tc>
          <w:tcPr>
            <w:tcW w:w="2145" w:type="dxa"/>
          </w:tcPr>
          <w:p>
            <w:pPr>
              <w:pStyle w:val="TableParagraph"/>
              <w:spacing w:line="335" w:lineRule="exact" w:before="37"/>
              <w:ind w:left="92" w:right="36"/>
              <w:jc w:val="center"/>
              <w:rPr>
                <w:sz w:val="30"/>
              </w:rPr>
            </w:pPr>
            <w:r>
              <w:rPr>
                <w:sz w:val="30"/>
              </w:rPr>
              <w:t>-5.1%</w:t>
            </w:r>
          </w:p>
        </w:tc>
      </w:tr>
      <w:tr>
        <w:trPr>
          <w:trHeight w:val="392" w:hRule="atLeast"/>
        </w:trPr>
        <w:tc>
          <w:tcPr>
            <w:tcW w:w="5954" w:type="dxa"/>
            <w:vMerge/>
            <w:tcBorders>
              <w:top w:val="nil"/>
            </w:tcBorders>
          </w:tcPr>
          <w:p>
            <w:pPr>
              <w:rPr>
                <w:sz w:val="2"/>
                <w:szCs w:val="2"/>
              </w:rPr>
            </w:pPr>
          </w:p>
        </w:tc>
        <w:tc>
          <w:tcPr>
            <w:tcW w:w="4723" w:type="dxa"/>
          </w:tcPr>
          <w:p>
            <w:pPr>
              <w:pStyle w:val="TableParagraph"/>
              <w:spacing w:line="335" w:lineRule="exact" w:before="37"/>
              <w:ind w:left="57"/>
              <w:rPr>
                <w:sz w:val="30"/>
              </w:rPr>
            </w:pPr>
            <w:r>
              <w:rPr>
                <w:sz w:val="30"/>
              </w:rPr>
              <w:t>Lower end estimate</w:t>
            </w:r>
          </w:p>
        </w:tc>
        <w:tc>
          <w:tcPr>
            <w:tcW w:w="2109" w:type="dxa"/>
          </w:tcPr>
          <w:p>
            <w:pPr>
              <w:pStyle w:val="TableParagraph"/>
              <w:spacing w:line="335" w:lineRule="exact" w:before="37"/>
              <w:ind w:left="237" w:right="186"/>
              <w:jc w:val="center"/>
              <w:rPr>
                <w:sz w:val="30"/>
              </w:rPr>
            </w:pPr>
            <w:r>
              <w:rPr>
                <w:sz w:val="30"/>
              </w:rPr>
              <w:t>-6.6%</w:t>
            </w:r>
          </w:p>
        </w:tc>
        <w:tc>
          <w:tcPr>
            <w:tcW w:w="2164" w:type="dxa"/>
          </w:tcPr>
          <w:p>
            <w:pPr>
              <w:pStyle w:val="TableParagraph"/>
              <w:spacing w:line="335" w:lineRule="exact" w:before="37"/>
              <w:ind w:left="192" w:right="138"/>
              <w:jc w:val="center"/>
              <w:rPr>
                <w:sz w:val="30"/>
              </w:rPr>
            </w:pPr>
            <w:r>
              <w:rPr>
                <w:sz w:val="30"/>
              </w:rPr>
              <w:t>-10.5%</w:t>
            </w:r>
          </w:p>
        </w:tc>
        <w:tc>
          <w:tcPr>
            <w:tcW w:w="2145" w:type="dxa"/>
          </w:tcPr>
          <w:p>
            <w:pPr>
              <w:pStyle w:val="TableParagraph"/>
              <w:spacing w:line="335" w:lineRule="exact" w:before="37"/>
              <w:ind w:left="92" w:right="37"/>
              <w:jc w:val="center"/>
              <w:rPr>
                <w:sz w:val="30"/>
              </w:rPr>
            </w:pPr>
            <w:r>
              <w:rPr>
                <w:sz w:val="30"/>
              </w:rPr>
              <w:t>-17.6%</w:t>
            </w:r>
          </w:p>
        </w:tc>
      </w:tr>
      <w:tr>
        <w:trPr>
          <w:trHeight w:val="392" w:hRule="atLeast"/>
        </w:trPr>
        <w:tc>
          <w:tcPr>
            <w:tcW w:w="5954" w:type="dxa"/>
            <w:vMerge w:val="restart"/>
            <w:shd w:val="clear" w:color="auto" w:fill="D8E6F0"/>
          </w:tcPr>
          <w:p>
            <w:pPr>
              <w:pStyle w:val="TableParagraph"/>
              <w:spacing w:line="341" w:lineRule="exact"/>
              <w:ind w:left="57"/>
              <w:rPr>
                <w:sz w:val="30"/>
              </w:rPr>
            </w:pPr>
            <w:r>
              <w:rPr>
                <w:sz w:val="30"/>
              </w:rPr>
              <w:t>Peak River Flow %</w:t>
            </w:r>
          </w:p>
        </w:tc>
        <w:tc>
          <w:tcPr>
            <w:tcW w:w="4723" w:type="dxa"/>
            <w:shd w:val="clear" w:color="auto" w:fill="D8E6F0"/>
          </w:tcPr>
          <w:p>
            <w:pPr>
              <w:pStyle w:val="TableParagraph"/>
              <w:spacing w:line="335" w:lineRule="exact" w:before="37"/>
              <w:ind w:left="57"/>
              <w:rPr>
                <w:sz w:val="30"/>
              </w:rPr>
            </w:pPr>
            <w:r>
              <w:rPr>
                <w:sz w:val="30"/>
              </w:rPr>
              <w:t>Upper enhanced estimate</w:t>
            </w:r>
          </w:p>
        </w:tc>
        <w:tc>
          <w:tcPr>
            <w:tcW w:w="2109" w:type="dxa"/>
            <w:shd w:val="clear" w:color="auto" w:fill="D8E6F0"/>
          </w:tcPr>
          <w:p>
            <w:pPr>
              <w:pStyle w:val="TableParagraph"/>
              <w:spacing w:line="335" w:lineRule="exact" w:before="37"/>
              <w:ind w:left="237" w:right="187"/>
              <w:jc w:val="center"/>
              <w:rPr>
                <w:sz w:val="30"/>
              </w:rPr>
            </w:pPr>
            <w:r>
              <w:rPr>
                <w:sz w:val="30"/>
              </w:rPr>
              <w:t>35.0%</w:t>
            </w:r>
          </w:p>
        </w:tc>
        <w:tc>
          <w:tcPr>
            <w:tcW w:w="2164" w:type="dxa"/>
            <w:shd w:val="clear" w:color="auto" w:fill="D8E6F0"/>
          </w:tcPr>
          <w:p>
            <w:pPr>
              <w:pStyle w:val="TableParagraph"/>
              <w:spacing w:line="335" w:lineRule="exact" w:before="37"/>
              <w:ind w:left="192" w:right="139"/>
              <w:jc w:val="center"/>
              <w:rPr>
                <w:sz w:val="30"/>
              </w:rPr>
            </w:pPr>
            <w:r>
              <w:rPr>
                <w:sz w:val="30"/>
              </w:rPr>
              <w:t>45.0%</w:t>
            </w:r>
          </w:p>
        </w:tc>
        <w:tc>
          <w:tcPr>
            <w:tcW w:w="2145" w:type="dxa"/>
            <w:shd w:val="clear" w:color="auto" w:fill="D8E6F0"/>
          </w:tcPr>
          <w:p>
            <w:pPr>
              <w:pStyle w:val="TableParagraph"/>
              <w:spacing w:line="335" w:lineRule="exact" w:before="37"/>
              <w:ind w:left="91" w:right="37"/>
              <w:jc w:val="center"/>
              <w:rPr>
                <w:sz w:val="30"/>
              </w:rPr>
            </w:pPr>
            <w:r>
              <w:rPr>
                <w:sz w:val="30"/>
              </w:rPr>
              <w:t>75.0%</w:t>
            </w:r>
          </w:p>
        </w:tc>
      </w:tr>
      <w:tr>
        <w:trPr>
          <w:trHeight w:val="392" w:hRule="atLeast"/>
        </w:trPr>
        <w:tc>
          <w:tcPr>
            <w:tcW w:w="5954" w:type="dxa"/>
            <w:vMerge/>
            <w:tcBorders>
              <w:top w:val="nil"/>
            </w:tcBorders>
            <w:shd w:val="clear" w:color="auto" w:fill="D8E6F0"/>
          </w:tcPr>
          <w:p>
            <w:pPr>
              <w:rPr>
                <w:sz w:val="2"/>
                <w:szCs w:val="2"/>
              </w:rPr>
            </w:pPr>
          </w:p>
        </w:tc>
        <w:tc>
          <w:tcPr>
            <w:tcW w:w="4723" w:type="dxa"/>
            <w:shd w:val="clear" w:color="auto" w:fill="D8E6F0"/>
          </w:tcPr>
          <w:p>
            <w:pPr>
              <w:pStyle w:val="TableParagraph"/>
              <w:spacing w:line="335" w:lineRule="exact" w:before="37"/>
              <w:ind w:left="57"/>
              <w:rPr>
                <w:sz w:val="30"/>
              </w:rPr>
            </w:pPr>
            <w:r>
              <w:rPr>
                <w:sz w:val="30"/>
              </w:rPr>
              <w:t>Upper end estimate</w:t>
            </w:r>
          </w:p>
        </w:tc>
        <w:tc>
          <w:tcPr>
            <w:tcW w:w="2109" w:type="dxa"/>
            <w:shd w:val="clear" w:color="auto" w:fill="D8E6F0"/>
          </w:tcPr>
          <w:p>
            <w:pPr>
              <w:pStyle w:val="TableParagraph"/>
              <w:spacing w:line="335" w:lineRule="exact" w:before="37"/>
              <w:ind w:left="237" w:right="187"/>
              <w:jc w:val="center"/>
              <w:rPr>
                <w:sz w:val="30"/>
              </w:rPr>
            </w:pPr>
            <w:r>
              <w:rPr>
                <w:sz w:val="30"/>
              </w:rPr>
              <w:t>25.0%</w:t>
            </w:r>
          </w:p>
        </w:tc>
        <w:tc>
          <w:tcPr>
            <w:tcW w:w="2164" w:type="dxa"/>
            <w:shd w:val="clear" w:color="auto" w:fill="D8E6F0"/>
          </w:tcPr>
          <w:p>
            <w:pPr>
              <w:pStyle w:val="TableParagraph"/>
              <w:spacing w:line="335" w:lineRule="exact" w:before="37"/>
              <w:ind w:left="192" w:right="138"/>
              <w:jc w:val="center"/>
              <w:rPr>
                <w:sz w:val="30"/>
              </w:rPr>
            </w:pPr>
            <w:r>
              <w:rPr>
                <w:sz w:val="30"/>
              </w:rPr>
              <w:t>30.0%</w:t>
            </w:r>
          </w:p>
        </w:tc>
        <w:tc>
          <w:tcPr>
            <w:tcW w:w="2145" w:type="dxa"/>
            <w:shd w:val="clear" w:color="auto" w:fill="D8E6F0"/>
          </w:tcPr>
          <w:p>
            <w:pPr>
              <w:pStyle w:val="TableParagraph"/>
              <w:spacing w:line="335" w:lineRule="exact" w:before="37"/>
              <w:ind w:left="92" w:right="37"/>
              <w:jc w:val="center"/>
              <w:rPr>
                <w:sz w:val="30"/>
              </w:rPr>
            </w:pPr>
            <w:r>
              <w:rPr>
                <w:sz w:val="30"/>
              </w:rPr>
              <w:t>50.0%</w:t>
            </w:r>
          </w:p>
        </w:tc>
      </w:tr>
      <w:tr>
        <w:trPr>
          <w:trHeight w:val="392" w:hRule="atLeast"/>
        </w:trPr>
        <w:tc>
          <w:tcPr>
            <w:tcW w:w="5954" w:type="dxa"/>
            <w:vMerge/>
            <w:tcBorders>
              <w:top w:val="nil"/>
            </w:tcBorders>
            <w:shd w:val="clear" w:color="auto" w:fill="D8E6F0"/>
          </w:tcPr>
          <w:p>
            <w:pPr>
              <w:rPr>
                <w:sz w:val="2"/>
                <w:szCs w:val="2"/>
              </w:rPr>
            </w:pPr>
          </w:p>
        </w:tc>
        <w:tc>
          <w:tcPr>
            <w:tcW w:w="4723" w:type="dxa"/>
            <w:shd w:val="clear" w:color="auto" w:fill="D8E6F0"/>
          </w:tcPr>
          <w:p>
            <w:pPr>
              <w:pStyle w:val="TableParagraph"/>
              <w:spacing w:line="335" w:lineRule="exact" w:before="37"/>
              <w:ind w:left="57"/>
              <w:rPr>
                <w:sz w:val="30"/>
              </w:rPr>
            </w:pPr>
            <w:r>
              <w:rPr>
                <w:sz w:val="30"/>
              </w:rPr>
              <w:t>Central estimate</w:t>
            </w:r>
          </w:p>
        </w:tc>
        <w:tc>
          <w:tcPr>
            <w:tcW w:w="2109" w:type="dxa"/>
            <w:shd w:val="clear" w:color="auto" w:fill="D8E6F0"/>
          </w:tcPr>
          <w:p>
            <w:pPr>
              <w:pStyle w:val="TableParagraph"/>
              <w:spacing w:line="335" w:lineRule="exact" w:before="37"/>
              <w:ind w:left="237" w:right="187"/>
              <w:jc w:val="center"/>
              <w:rPr>
                <w:sz w:val="30"/>
              </w:rPr>
            </w:pPr>
            <w:r>
              <w:rPr>
                <w:sz w:val="30"/>
              </w:rPr>
              <w:t>10.0%</w:t>
            </w:r>
          </w:p>
        </w:tc>
        <w:tc>
          <w:tcPr>
            <w:tcW w:w="2164" w:type="dxa"/>
            <w:shd w:val="clear" w:color="auto" w:fill="D8E6F0"/>
          </w:tcPr>
          <w:p>
            <w:pPr>
              <w:pStyle w:val="TableParagraph"/>
              <w:spacing w:line="335" w:lineRule="exact" w:before="37"/>
              <w:ind w:left="192" w:right="138"/>
              <w:jc w:val="center"/>
              <w:rPr>
                <w:sz w:val="30"/>
              </w:rPr>
            </w:pPr>
            <w:r>
              <w:rPr>
                <w:sz w:val="30"/>
              </w:rPr>
              <w:t>15.0%</w:t>
            </w:r>
          </w:p>
        </w:tc>
        <w:tc>
          <w:tcPr>
            <w:tcW w:w="2145" w:type="dxa"/>
            <w:shd w:val="clear" w:color="auto" w:fill="D8E6F0"/>
          </w:tcPr>
          <w:p>
            <w:pPr>
              <w:pStyle w:val="TableParagraph"/>
              <w:spacing w:line="335" w:lineRule="exact" w:before="37"/>
              <w:ind w:left="92" w:right="37"/>
              <w:jc w:val="center"/>
              <w:rPr>
                <w:sz w:val="30"/>
              </w:rPr>
            </w:pPr>
            <w:r>
              <w:rPr>
                <w:sz w:val="30"/>
              </w:rPr>
              <w:t>20.0%</w:t>
            </w:r>
          </w:p>
        </w:tc>
      </w:tr>
      <w:tr>
        <w:trPr>
          <w:trHeight w:val="409" w:hRule="atLeast"/>
        </w:trPr>
        <w:tc>
          <w:tcPr>
            <w:tcW w:w="5954" w:type="dxa"/>
            <w:vMerge/>
            <w:tcBorders>
              <w:top w:val="nil"/>
            </w:tcBorders>
            <w:shd w:val="clear" w:color="auto" w:fill="D8E6F0"/>
          </w:tcPr>
          <w:p>
            <w:pPr>
              <w:rPr>
                <w:sz w:val="2"/>
                <w:szCs w:val="2"/>
              </w:rPr>
            </w:pPr>
          </w:p>
        </w:tc>
        <w:tc>
          <w:tcPr>
            <w:tcW w:w="4723" w:type="dxa"/>
            <w:shd w:val="clear" w:color="auto" w:fill="D8E6F0"/>
          </w:tcPr>
          <w:p>
            <w:pPr>
              <w:pStyle w:val="TableParagraph"/>
              <w:spacing w:line="335" w:lineRule="exact" w:before="54"/>
              <w:ind w:left="57"/>
              <w:rPr>
                <w:sz w:val="30"/>
              </w:rPr>
            </w:pPr>
            <w:r>
              <w:rPr>
                <w:sz w:val="30"/>
              </w:rPr>
              <w:t>Lower end estimate</w:t>
            </w:r>
          </w:p>
        </w:tc>
        <w:tc>
          <w:tcPr>
            <w:tcW w:w="2109" w:type="dxa"/>
            <w:shd w:val="clear" w:color="auto" w:fill="D8E6F0"/>
          </w:tcPr>
          <w:p>
            <w:pPr>
              <w:pStyle w:val="TableParagraph"/>
              <w:spacing w:line="335" w:lineRule="exact" w:before="54"/>
              <w:ind w:left="237" w:right="186"/>
              <w:jc w:val="center"/>
              <w:rPr>
                <w:sz w:val="30"/>
              </w:rPr>
            </w:pPr>
            <w:r>
              <w:rPr>
                <w:sz w:val="30"/>
              </w:rPr>
              <w:t>-5.0%</w:t>
            </w:r>
          </w:p>
        </w:tc>
        <w:tc>
          <w:tcPr>
            <w:tcW w:w="2164" w:type="dxa"/>
            <w:shd w:val="clear" w:color="auto" w:fill="D8E6F0"/>
          </w:tcPr>
          <w:p>
            <w:pPr>
              <w:pStyle w:val="TableParagraph"/>
              <w:spacing w:line="335" w:lineRule="exact" w:before="54"/>
              <w:ind w:left="192" w:right="137"/>
              <w:jc w:val="center"/>
              <w:rPr>
                <w:sz w:val="30"/>
              </w:rPr>
            </w:pPr>
            <w:r>
              <w:rPr>
                <w:sz w:val="30"/>
              </w:rPr>
              <w:t>0.0%</w:t>
            </w:r>
          </w:p>
        </w:tc>
        <w:tc>
          <w:tcPr>
            <w:tcW w:w="2145" w:type="dxa"/>
            <w:shd w:val="clear" w:color="auto" w:fill="D8E6F0"/>
          </w:tcPr>
          <w:p>
            <w:pPr>
              <w:pStyle w:val="TableParagraph"/>
              <w:spacing w:line="335" w:lineRule="exact" w:before="54"/>
              <w:ind w:left="92" w:right="36"/>
              <w:jc w:val="center"/>
              <w:rPr>
                <w:sz w:val="30"/>
              </w:rPr>
            </w:pPr>
            <w:r>
              <w:rPr>
                <w:sz w:val="30"/>
              </w:rPr>
              <w:t>5.0%</w:t>
            </w:r>
          </w:p>
        </w:tc>
      </w:tr>
    </w:tbl>
    <w:p>
      <w:pPr>
        <w:spacing w:after="0" w:line="335" w:lineRule="exact"/>
        <w:jc w:val="center"/>
        <w:rPr>
          <w:sz w:val="30"/>
        </w:rPr>
        <w:sectPr>
          <w:footerReference w:type="even" r:id="rId57"/>
          <w:pgSz w:w="23820" w:h="16840" w:orient="landscape"/>
          <w:pgMar w:footer="0" w:header="0" w:top="1460" w:bottom="280" w:left="960" w:right="3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62"/>
        <w:ind w:left="161" w:right="0" w:firstLine="0"/>
        <w:jc w:val="left"/>
        <w:rPr>
          <w:sz w:val="122"/>
        </w:rPr>
      </w:pPr>
      <w:r>
        <w:rPr/>
        <w:drawing>
          <wp:anchor distT="0" distB="0" distL="0" distR="0" allowOverlap="1" layoutInCell="1" locked="0" behindDoc="0" simplePos="0" relativeHeight="3376">
            <wp:simplePos x="0" y="0"/>
            <wp:positionH relativeFrom="page">
              <wp:posOffset>4647651</wp:posOffset>
            </wp:positionH>
            <wp:positionV relativeFrom="paragraph">
              <wp:posOffset>232698</wp:posOffset>
            </wp:positionV>
            <wp:extent cx="457146" cy="533331"/>
            <wp:effectExtent l="0" t="0" r="0" b="0"/>
            <wp:wrapNone/>
            <wp:docPr id="55" name="image39.jpeg" descr=""/>
            <wp:cNvGraphicFramePr>
              <a:graphicFrameLocks noChangeAspect="1"/>
            </wp:cNvGraphicFramePr>
            <a:graphic>
              <a:graphicData uri="http://schemas.openxmlformats.org/drawingml/2006/picture">
                <pic:pic>
                  <pic:nvPicPr>
                    <pic:cNvPr id="56" name="image39.jpeg"/>
                    <pic:cNvPicPr/>
                  </pic:nvPicPr>
                  <pic:blipFill>
                    <a:blip r:embed="rId59" cstate="print"/>
                    <a:stretch>
                      <a:fillRect/>
                    </a:stretch>
                  </pic:blipFill>
                  <pic:spPr>
                    <a:xfrm>
                      <a:off x="0" y="0"/>
                      <a:ext cx="457146" cy="533331"/>
                    </a:xfrm>
                    <a:prstGeom prst="rect">
                      <a:avLst/>
                    </a:prstGeom>
                  </pic:spPr>
                </pic:pic>
              </a:graphicData>
            </a:graphic>
          </wp:anchor>
        </w:drawing>
      </w:r>
      <w:bookmarkStart w:name="END3_Page_51" w:id="72"/>
      <w:bookmarkEnd w:id="72"/>
      <w:r>
        <w:rPr/>
      </w:r>
      <w:r>
        <w:rPr>
          <w:color w:val="FD4B3F"/>
          <w:w w:val="105"/>
          <w:sz w:val="122"/>
        </w:rPr>
        <w:t>Appendix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r>
        <w:rPr/>
        <w:drawing>
          <wp:anchor distT="0" distB="0" distL="0" distR="0" allowOverlap="1" layoutInCell="1" locked="0" behindDoc="0" simplePos="0" relativeHeight="97">
            <wp:simplePos x="0" y="0"/>
            <wp:positionH relativeFrom="page">
              <wp:posOffset>888895</wp:posOffset>
            </wp:positionH>
            <wp:positionV relativeFrom="paragraph">
              <wp:posOffset>197797</wp:posOffset>
            </wp:positionV>
            <wp:extent cx="5054688" cy="88677"/>
            <wp:effectExtent l="0" t="0" r="0" b="0"/>
            <wp:wrapTopAndBottom/>
            <wp:docPr id="57" name="image38.png" descr=""/>
            <wp:cNvGraphicFramePr>
              <a:graphicFrameLocks noChangeAspect="1"/>
            </wp:cNvGraphicFramePr>
            <a:graphic>
              <a:graphicData uri="http://schemas.openxmlformats.org/drawingml/2006/picture">
                <pic:pic>
                  <pic:nvPicPr>
                    <pic:cNvPr id="58" name="image38.png"/>
                    <pic:cNvPicPr/>
                  </pic:nvPicPr>
                  <pic:blipFill>
                    <a:blip r:embed="rId56" cstate="print"/>
                    <a:stretch>
                      <a:fillRect/>
                    </a:stretch>
                  </pic:blipFill>
                  <pic:spPr>
                    <a:xfrm>
                      <a:off x="0" y="0"/>
                      <a:ext cx="5054688" cy="88677"/>
                    </a:xfrm>
                    <a:prstGeom prst="rect">
                      <a:avLst/>
                    </a:prstGeom>
                  </pic:spPr>
                </pic:pic>
              </a:graphicData>
            </a:graphic>
          </wp:anchor>
        </w:drawing>
      </w:r>
    </w:p>
    <w:p>
      <w:pPr>
        <w:pStyle w:val="BodyText"/>
        <w:spacing w:before="11"/>
      </w:pPr>
    </w:p>
    <w:p>
      <w:pPr>
        <w:spacing w:line="596" w:lineRule="exact" w:before="0"/>
        <w:ind w:left="142" w:right="0" w:firstLine="0"/>
        <w:jc w:val="left"/>
        <w:rPr>
          <w:rFonts w:ascii="Calibri"/>
          <w:sz w:val="51"/>
        </w:rPr>
      </w:pPr>
      <w:r>
        <w:rPr>
          <w:rFonts w:ascii="Calibri"/>
          <w:w w:val="130"/>
          <w:sz w:val="51"/>
        </w:rPr>
        <w:t>STRATEGIC ENVIRONMENTAL</w:t>
      </w:r>
    </w:p>
    <w:p>
      <w:pPr>
        <w:spacing w:line="584" w:lineRule="exact" w:before="0"/>
        <w:ind w:left="131" w:right="0" w:firstLine="0"/>
        <w:jc w:val="left"/>
        <w:rPr>
          <w:rFonts w:ascii="Calibri"/>
          <w:sz w:val="50"/>
        </w:rPr>
      </w:pPr>
      <w:r>
        <w:rPr>
          <w:rFonts w:ascii="Calibri"/>
          <w:w w:val="135"/>
          <w:sz w:val="50"/>
        </w:rPr>
        <w:t>ASSESSMENT REPORT</w:t>
      </w:r>
    </w:p>
    <w:p>
      <w:pPr>
        <w:spacing w:after="0" w:line="584" w:lineRule="exact"/>
        <w:jc w:val="left"/>
        <w:rPr>
          <w:rFonts w:ascii="Calibri"/>
          <w:sz w:val="50"/>
        </w:rPr>
        <w:sectPr>
          <w:footerReference w:type="default" r:id="rId58"/>
          <w:pgSz w:w="11920" w:h="16840"/>
          <w:pgMar w:footer="0" w:header="0" w:top="1580" w:bottom="280" w:left="1280" w:right="1680"/>
        </w:sectPr>
      </w:pPr>
    </w:p>
    <w:p>
      <w:pPr>
        <w:pStyle w:val="BodyText"/>
        <w:rPr>
          <w:rFonts w:ascii="Calibri"/>
          <w:sz w:val="20"/>
        </w:rPr>
      </w:pPr>
    </w:p>
    <w:p>
      <w:pPr>
        <w:pStyle w:val="BodyText"/>
        <w:spacing w:before="3" w:after="1"/>
        <w:rPr>
          <w:rFonts w:ascii="Calibri"/>
          <w:sz w:val="11"/>
        </w:rPr>
      </w:pPr>
    </w:p>
    <w:p>
      <w:pPr>
        <w:tabs>
          <w:tab w:pos="6364" w:val="left" w:leader="none"/>
        </w:tabs>
        <w:spacing w:line="240" w:lineRule="auto"/>
        <w:ind w:left="220" w:right="0" w:firstLine="0"/>
        <w:rPr>
          <w:rFonts w:ascii="Calibri"/>
          <w:sz w:val="20"/>
        </w:rPr>
      </w:pPr>
      <w:r>
        <w:rPr>
          <w:rFonts w:ascii="Calibri"/>
          <w:sz w:val="20"/>
        </w:rPr>
        <w:drawing>
          <wp:inline distT="0" distB="0" distL="0" distR="0">
            <wp:extent cx="2053041" cy="717803"/>
            <wp:effectExtent l="0" t="0" r="0" b="0"/>
            <wp:docPr id="59" name="image40.jpeg" descr=""/>
            <wp:cNvGraphicFramePr>
              <a:graphicFrameLocks noChangeAspect="1"/>
            </wp:cNvGraphicFramePr>
            <a:graphic>
              <a:graphicData uri="http://schemas.openxmlformats.org/drawingml/2006/picture">
                <pic:pic>
                  <pic:nvPicPr>
                    <pic:cNvPr id="60" name="image40.jpeg"/>
                    <pic:cNvPicPr/>
                  </pic:nvPicPr>
                  <pic:blipFill>
                    <a:blip r:embed="rId62" cstate="print"/>
                    <a:stretch>
                      <a:fillRect/>
                    </a:stretch>
                  </pic:blipFill>
                  <pic:spPr>
                    <a:xfrm>
                      <a:off x="0" y="0"/>
                      <a:ext cx="2053041" cy="717803"/>
                    </a:xfrm>
                    <a:prstGeom prst="rect">
                      <a:avLst/>
                    </a:prstGeom>
                  </pic:spPr>
                </pic:pic>
              </a:graphicData>
            </a:graphic>
          </wp:inline>
        </w:drawing>
      </w:r>
      <w:r>
        <w:rPr>
          <w:rFonts w:ascii="Calibri"/>
          <w:sz w:val="20"/>
        </w:rPr>
      </w:r>
      <w:r>
        <w:rPr>
          <w:rFonts w:ascii="Calibri"/>
          <w:sz w:val="20"/>
        </w:rPr>
        <w:tab/>
      </w:r>
      <w:r>
        <w:rPr>
          <w:rFonts w:ascii="Calibri"/>
          <w:position w:val="16"/>
          <w:sz w:val="20"/>
        </w:rPr>
        <w:drawing>
          <wp:inline distT="0" distB="0" distL="0" distR="0">
            <wp:extent cx="1962194" cy="438912"/>
            <wp:effectExtent l="0" t="0" r="0" b="0"/>
            <wp:docPr id="61" name="image41.jpeg" descr=""/>
            <wp:cNvGraphicFramePr>
              <a:graphicFrameLocks noChangeAspect="1"/>
            </wp:cNvGraphicFramePr>
            <a:graphic>
              <a:graphicData uri="http://schemas.openxmlformats.org/drawingml/2006/picture">
                <pic:pic>
                  <pic:nvPicPr>
                    <pic:cNvPr id="62" name="image41.jpeg"/>
                    <pic:cNvPicPr/>
                  </pic:nvPicPr>
                  <pic:blipFill>
                    <a:blip r:embed="rId63" cstate="print"/>
                    <a:stretch>
                      <a:fillRect/>
                    </a:stretch>
                  </pic:blipFill>
                  <pic:spPr>
                    <a:xfrm>
                      <a:off x="0" y="0"/>
                      <a:ext cx="1962194" cy="438912"/>
                    </a:xfrm>
                    <a:prstGeom prst="rect">
                      <a:avLst/>
                    </a:prstGeom>
                  </pic:spPr>
                </pic:pic>
              </a:graphicData>
            </a:graphic>
          </wp:inline>
        </w:drawing>
      </w:r>
      <w:r>
        <w:rPr>
          <w:rFonts w:ascii="Calibri"/>
          <w:position w:val="16"/>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line="322" w:lineRule="exact" w:before="251"/>
        <w:ind w:left="220" w:right="0" w:firstLine="0"/>
        <w:jc w:val="left"/>
        <w:rPr>
          <w:sz w:val="28"/>
        </w:rPr>
      </w:pPr>
      <w:bookmarkStart w:name="Appendix B - SEA Report, July 2013" w:id="73"/>
      <w:bookmarkEnd w:id="73"/>
      <w:r>
        <w:rPr/>
      </w:r>
      <w:r>
        <w:rPr>
          <w:sz w:val="28"/>
        </w:rPr>
        <w:t>Leeds City Council</w:t>
      </w:r>
    </w:p>
    <w:p>
      <w:pPr>
        <w:spacing w:before="0"/>
        <w:ind w:left="220" w:right="0" w:firstLine="0"/>
        <w:jc w:val="left"/>
        <w:rPr>
          <w:b/>
          <w:sz w:val="28"/>
        </w:rPr>
      </w:pPr>
      <w:r>
        <w:rPr>
          <w:b/>
          <w:sz w:val="28"/>
        </w:rPr>
        <w:t>Local Flood Risk Management Strategy - 2013</w:t>
      </w:r>
    </w:p>
    <w:p>
      <w:pPr>
        <w:pStyle w:val="BodyText"/>
        <w:rPr>
          <w:b/>
          <w:sz w:val="24"/>
        </w:rPr>
      </w:pPr>
    </w:p>
    <w:p>
      <w:pPr>
        <w:spacing w:before="89"/>
        <w:ind w:left="220" w:right="0" w:firstLine="0"/>
        <w:jc w:val="left"/>
        <w:rPr>
          <w:b/>
          <w:sz w:val="32"/>
        </w:rPr>
      </w:pPr>
      <w:r>
        <w:rPr>
          <w:b/>
          <w:sz w:val="32"/>
        </w:rPr>
        <w:t>Strategic Environmental Assessment Report</w:t>
      </w:r>
    </w:p>
    <w:p>
      <w:pPr>
        <w:pStyle w:val="BodyText"/>
        <w:rPr>
          <w:b/>
          <w:sz w:val="36"/>
        </w:rPr>
      </w:pPr>
    </w:p>
    <w:p>
      <w:pPr>
        <w:spacing w:before="323"/>
        <w:ind w:left="220" w:right="0" w:firstLine="0"/>
        <w:jc w:val="left"/>
        <w:rPr>
          <w:b/>
          <w:sz w:val="24"/>
        </w:rPr>
      </w:pPr>
      <w:r>
        <w:rPr>
          <w:b/>
          <w:sz w:val="24"/>
        </w:rPr>
        <w:t>Final Report</w:t>
      </w:r>
    </w:p>
    <w:p>
      <w:pPr>
        <w:pStyle w:val="Heading3"/>
        <w:ind w:left="220"/>
      </w:pPr>
      <w:r>
        <w:rPr/>
        <w:t>July 2013</w:t>
      </w:r>
    </w:p>
    <w:p>
      <w:pPr>
        <w:pStyle w:val="BodyText"/>
        <w:spacing w:before="6"/>
        <w:rPr>
          <w:sz w:val="20"/>
        </w:rPr>
      </w:pPr>
      <w:r>
        <w:rPr/>
        <w:pict>
          <v:group style="position:absolute;margin-left:63.000004pt;margin-top:14.021307pt;width:227.8pt;height:173.05pt;mso-position-horizontal-relative:page;mso-position-vertical-relative:paragraph;z-index:1352;mso-wrap-distance-left:0;mso-wrap-distance-right:0" coordorigin="1260,280" coordsize="4556,3461">
            <v:shape style="position:absolute;left:1269;top:290;width:4536;height:3442" type="#_x0000_t75" stroked="false">
              <v:imagedata r:id="rId64" o:title=""/>
            </v:shape>
            <v:line style="position:absolute" from="1270,285" to="5806,285" stroked="true" strokeweight=".48pt" strokecolor="#000000">
              <v:stroke dashstyle="solid"/>
            </v:line>
            <v:line style="position:absolute" from="1265,280" to="1265,3741" stroked="true" strokeweight=".48pt" strokecolor="#000000">
              <v:stroke dashstyle="solid"/>
            </v:line>
            <v:line style="position:absolute" from="5810,280" to="5810,3741" stroked="true" strokeweight=".48pt" strokecolor="#000000">
              <v:stroke dashstyle="solid"/>
            </v:line>
            <v:line style="position:absolute" from="1270,3736" to="5806,3736" stroked="true" strokeweight=".48pt" strokecolor="#000000">
              <v:stroke dashstyle="solid"/>
            </v:line>
            <w10:wrap type="topAndBottom"/>
          </v:group>
        </w:pict>
      </w:r>
      <w:r>
        <w:rPr/>
        <w:pict>
          <v:group style="position:absolute;margin-left:308.760010pt;margin-top:15.221307pt;width:229.95pt;height:171.85pt;mso-position-horizontal-relative:page;mso-position-vertical-relative:paragraph;z-index:1376;mso-wrap-distance-left:0;mso-wrap-distance-right:0" coordorigin="6175,304" coordsize="4599,3437">
            <v:shape style="position:absolute;left:6184;top:314;width:4580;height:3418" type="#_x0000_t75" stroked="false">
              <v:imagedata r:id="rId65" o:title=""/>
            </v:shape>
            <v:line style="position:absolute" from="6185,309" to="10764,309" stroked="true" strokeweight=".48pt" strokecolor="#000000">
              <v:stroke dashstyle="solid"/>
            </v:line>
            <v:line style="position:absolute" from="6180,304" to="6180,3741" stroked="true" strokeweight=".48pt" strokecolor="#000000">
              <v:stroke dashstyle="solid"/>
            </v:line>
            <v:line style="position:absolute" from="10769,304" to="10769,3741" stroked="true" strokeweight=".48pt" strokecolor="#000000">
              <v:stroke dashstyle="solid"/>
            </v:line>
            <v:line style="position:absolute" from="6185,3736" to="10764,3736" stroked="true" strokeweight=".48pt" strokecolor="#000000">
              <v:stroke dashstyle="solid"/>
            </v:line>
            <w10:wrap type="topAndBottom"/>
          </v:group>
        </w:pict>
      </w:r>
      <w:r>
        <w:rPr/>
        <w:pict>
          <v:group style="position:absolute;margin-left:63.000004pt;margin-top:201.221313pt;width:227.3pt;height:171.5pt;mso-position-horizontal-relative:page;mso-position-vertical-relative:paragraph;z-index:1400;mso-wrap-distance-left:0;mso-wrap-distance-right:0" coordorigin="1260,4024" coordsize="4546,3430">
            <v:shape style="position:absolute;left:1269;top:4034;width:4527;height:3411" type="#_x0000_t75" stroked="false">
              <v:imagedata r:id="rId66" o:title=""/>
            </v:shape>
            <v:line style="position:absolute" from="1270,4029" to="5796,4029" stroked="true" strokeweight=".48pt" strokecolor="#000000">
              <v:stroke dashstyle="solid"/>
            </v:line>
            <v:line style="position:absolute" from="1265,4024" to="1265,7454" stroked="true" strokeweight=".48pt" strokecolor="#000000">
              <v:stroke dashstyle="solid"/>
            </v:line>
            <v:line style="position:absolute" from="5801,4024" to="5801,7454" stroked="true" strokeweight=".48pt" strokecolor="#000000">
              <v:stroke dashstyle="solid"/>
            </v:line>
            <v:line style="position:absolute" from="1270,7449" to="5796,7449" stroked="true" strokeweight=".48pt" strokecolor="#000000">
              <v:stroke dashstyle="solid"/>
            </v:line>
            <w10:wrap type="topAndBottom"/>
          </v:group>
        </w:pict>
      </w:r>
      <w:r>
        <w:rPr/>
        <w:pict>
          <v:group style="position:absolute;margin-left:308.279999pt;margin-top:200.861313pt;width:228.85pt;height:171.85pt;mso-position-horizontal-relative:page;mso-position-vertical-relative:paragraph;z-index:1424;mso-wrap-distance-left:0;mso-wrap-distance-right:0" coordorigin="6166,4017" coordsize="4577,3437">
            <v:shape style="position:absolute;left:6175;top:4026;width:4558;height:3418" type="#_x0000_t75" stroked="false">
              <v:imagedata r:id="rId67" o:title=""/>
            </v:shape>
            <v:line style="position:absolute" from="6175,4022" to="10733,4022" stroked="true" strokeweight=".48pt" strokecolor="#000000">
              <v:stroke dashstyle="solid"/>
            </v:line>
            <v:line style="position:absolute" from="6170,4017" to="6170,7454" stroked="true" strokeweight=".48pt" strokecolor="#000000">
              <v:stroke dashstyle="solid"/>
            </v:line>
            <v:line style="position:absolute" from="10738,4017" to="10738,7454" stroked="true" strokeweight=".48pt" strokecolor="#000000">
              <v:stroke dashstyle="solid"/>
            </v:line>
            <v:line style="position:absolute" from="6175,7449" to="10733,7449" stroked="true" strokeweight=".48pt" strokecolor="#000000">
              <v:stroke dashstyle="solid"/>
            </v:line>
            <w10:wrap type="topAndBottom"/>
          </v:group>
        </w:pict>
      </w:r>
    </w:p>
    <w:p>
      <w:pPr>
        <w:pStyle w:val="BodyText"/>
        <w:spacing w:before="2"/>
        <w:rPr>
          <w:sz w:val="17"/>
        </w:rPr>
      </w:pPr>
    </w:p>
    <w:p>
      <w:pPr>
        <w:spacing w:after="0"/>
        <w:rPr>
          <w:sz w:val="17"/>
        </w:rPr>
        <w:sectPr>
          <w:footerReference w:type="even" r:id="rId60"/>
          <w:footerReference w:type="default" r:id="rId61"/>
          <w:pgSz w:w="11910" w:h="16840"/>
          <w:pgMar w:footer="645" w:header="0" w:top="1580" w:bottom="840" w:left="1040" w:right="520"/>
        </w:sectPr>
      </w:pPr>
    </w:p>
    <w:p>
      <w:pPr>
        <w:pStyle w:val="Heading3"/>
        <w:spacing w:before="78"/>
        <w:ind w:left="3342"/>
      </w:pPr>
      <w:r>
        <w:rPr/>
        <w:t>This page is left blank intentionally</w:t>
      </w:r>
    </w:p>
    <w:p>
      <w:pPr>
        <w:spacing w:after="0"/>
        <w:sectPr>
          <w:pgSz w:w="11910" w:h="16840"/>
          <w:pgMar w:header="0" w:footer="645" w:top="1340" w:bottom="840" w:left="1040" w:right="520"/>
        </w:sectPr>
      </w:pPr>
    </w:p>
    <w:p>
      <w:pPr>
        <w:pStyle w:val="Heading3"/>
        <w:spacing w:before="78"/>
        <w:ind w:left="220"/>
      </w:pPr>
      <w:r>
        <w:rPr/>
        <w:t>Revision Schedule</w:t>
      </w:r>
    </w:p>
    <w:p>
      <w:pPr>
        <w:spacing w:before="229"/>
        <w:ind w:left="220" w:right="5753" w:firstLine="0"/>
        <w:jc w:val="left"/>
        <w:rPr>
          <w:sz w:val="20"/>
        </w:rPr>
      </w:pPr>
      <w:r>
        <w:rPr>
          <w:b/>
          <w:sz w:val="20"/>
        </w:rPr>
        <w:t>Local Flood Risk Management Strategy - 2013 Strategic Environmental Assessment Report </w:t>
      </w:r>
      <w:r>
        <w:rPr>
          <w:sz w:val="20"/>
        </w:rPr>
        <w:t>July 2013</w:t>
      </w:r>
    </w:p>
    <w:p>
      <w:pPr>
        <w:pStyle w:val="BodyText"/>
        <w:spacing w:before="4"/>
        <w:rPr>
          <w:sz w:val="24"/>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1318"/>
        <w:gridCol w:w="1798"/>
        <w:gridCol w:w="2057"/>
        <w:gridCol w:w="2059"/>
        <w:gridCol w:w="2057"/>
      </w:tblGrid>
      <w:tr>
        <w:trPr>
          <w:trHeight w:val="532" w:hRule="atLeast"/>
        </w:trPr>
        <w:tc>
          <w:tcPr>
            <w:tcW w:w="828" w:type="dxa"/>
            <w:shd w:val="clear" w:color="auto" w:fill="727272"/>
          </w:tcPr>
          <w:p>
            <w:pPr>
              <w:pStyle w:val="TableParagraph"/>
              <w:spacing w:before="146"/>
              <w:ind w:left="230"/>
              <w:rPr>
                <w:b/>
                <w:sz w:val="20"/>
              </w:rPr>
            </w:pPr>
            <w:r>
              <w:rPr>
                <w:b/>
                <w:sz w:val="20"/>
              </w:rPr>
              <w:t>Rev</w:t>
            </w:r>
          </w:p>
        </w:tc>
        <w:tc>
          <w:tcPr>
            <w:tcW w:w="1318" w:type="dxa"/>
            <w:shd w:val="clear" w:color="auto" w:fill="727272"/>
          </w:tcPr>
          <w:p>
            <w:pPr>
              <w:pStyle w:val="TableParagraph"/>
              <w:spacing w:before="146"/>
              <w:ind w:left="441"/>
              <w:rPr>
                <w:b/>
                <w:sz w:val="20"/>
              </w:rPr>
            </w:pPr>
            <w:r>
              <w:rPr>
                <w:b/>
                <w:sz w:val="20"/>
              </w:rPr>
              <w:t>Date</w:t>
            </w:r>
          </w:p>
        </w:tc>
        <w:tc>
          <w:tcPr>
            <w:tcW w:w="1798" w:type="dxa"/>
            <w:shd w:val="clear" w:color="auto" w:fill="727272"/>
          </w:tcPr>
          <w:p>
            <w:pPr>
              <w:pStyle w:val="TableParagraph"/>
              <w:spacing w:before="146"/>
              <w:ind w:left="570"/>
              <w:rPr>
                <w:b/>
                <w:sz w:val="20"/>
              </w:rPr>
            </w:pPr>
            <w:r>
              <w:rPr>
                <w:b/>
                <w:sz w:val="20"/>
              </w:rPr>
              <w:t>Details</w:t>
            </w:r>
          </w:p>
        </w:tc>
        <w:tc>
          <w:tcPr>
            <w:tcW w:w="2057" w:type="dxa"/>
            <w:shd w:val="clear" w:color="auto" w:fill="A5A5A5"/>
          </w:tcPr>
          <w:p>
            <w:pPr>
              <w:pStyle w:val="TableParagraph"/>
              <w:spacing w:before="146"/>
              <w:ind w:left="450"/>
              <w:rPr>
                <w:b/>
                <w:sz w:val="20"/>
              </w:rPr>
            </w:pPr>
            <w:r>
              <w:rPr>
                <w:b/>
                <w:sz w:val="20"/>
              </w:rPr>
              <w:t>Prepared by</w:t>
            </w:r>
          </w:p>
        </w:tc>
        <w:tc>
          <w:tcPr>
            <w:tcW w:w="2059" w:type="dxa"/>
            <w:shd w:val="clear" w:color="auto" w:fill="A5A5A5"/>
          </w:tcPr>
          <w:p>
            <w:pPr>
              <w:pStyle w:val="TableParagraph"/>
              <w:spacing w:before="146"/>
              <w:ind w:left="423"/>
              <w:rPr>
                <w:b/>
                <w:sz w:val="20"/>
              </w:rPr>
            </w:pPr>
            <w:r>
              <w:rPr>
                <w:b/>
                <w:sz w:val="20"/>
              </w:rPr>
              <w:t>Reviewed by</w:t>
            </w:r>
          </w:p>
        </w:tc>
        <w:tc>
          <w:tcPr>
            <w:tcW w:w="2057" w:type="dxa"/>
            <w:shd w:val="clear" w:color="auto" w:fill="A5A5A5"/>
          </w:tcPr>
          <w:p>
            <w:pPr>
              <w:pStyle w:val="TableParagraph"/>
              <w:spacing w:before="146"/>
              <w:ind w:left="419"/>
              <w:rPr>
                <w:b/>
                <w:sz w:val="20"/>
              </w:rPr>
            </w:pPr>
            <w:r>
              <w:rPr>
                <w:b/>
                <w:sz w:val="20"/>
              </w:rPr>
              <w:t>Approved by</w:t>
            </w:r>
          </w:p>
        </w:tc>
      </w:tr>
      <w:tr>
        <w:trPr>
          <w:trHeight w:val="923" w:hRule="atLeast"/>
        </w:trPr>
        <w:tc>
          <w:tcPr>
            <w:tcW w:w="828" w:type="dxa"/>
          </w:tcPr>
          <w:p>
            <w:pPr>
              <w:pStyle w:val="TableParagraph"/>
              <w:spacing w:before="9"/>
              <w:rPr>
                <w:sz w:val="29"/>
              </w:rPr>
            </w:pPr>
          </w:p>
          <w:p>
            <w:pPr>
              <w:pStyle w:val="TableParagraph"/>
              <w:ind w:left="275"/>
              <w:rPr>
                <w:sz w:val="20"/>
              </w:rPr>
            </w:pPr>
            <w:r>
              <w:rPr>
                <w:sz w:val="20"/>
              </w:rPr>
              <w:t>1.0</w:t>
            </w:r>
          </w:p>
        </w:tc>
        <w:tc>
          <w:tcPr>
            <w:tcW w:w="1318" w:type="dxa"/>
          </w:tcPr>
          <w:p>
            <w:pPr>
              <w:pStyle w:val="TableParagraph"/>
              <w:spacing w:before="8"/>
              <w:rPr>
                <w:sz w:val="19"/>
              </w:rPr>
            </w:pPr>
          </w:p>
          <w:p>
            <w:pPr>
              <w:pStyle w:val="TableParagraph"/>
              <w:spacing w:before="1"/>
              <w:ind w:left="343"/>
              <w:rPr>
                <w:sz w:val="20"/>
              </w:rPr>
            </w:pPr>
            <w:r>
              <w:rPr>
                <w:sz w:val="20"/>
              </w:rPr>
              <w:t>04 July</w:t>
            </w:r>
          </w:p>
          <w:p>
            <w:pPr>
              <w:pStyle w:val="TableParagraph"/>
              <w:ind w:left="436"/>
              <w:rPr>
                <w:sz w:val="20"/>
              </w:rPr>
            </w:pPr>
            <w:r>
              <w:rPr>
                <w:sz w:val="20"/>
              </w:rPr>
              <w:t>2013</w:t>
            </w:r>
          </w:p>
        </w:tc>
        <w:tc>
          <w:tcPr>
            <w:tcW w:w="1798" w:type="dxa"/>
          </w:tcPr>
          <w:p>
            <w:pPr>
              <w:pStyle w:val="TableParagraph"/>
              <w:spacing w:before="114"/>
              <w:ind w:left="107" w:right="311"/>
              <w:rPr>
                <w:sz w:val="20"/>
              </w:rPr>
            </w:pPr>
            <w:r>
              <w:rPr>
                <w:sz w:val="20"/>
              </w:rPr>
              <w:t>Final Report (for Internal Distribution)</w:t>
            </w:r>
          </w:p>
        </w:tc>
        <w:tc>
          <w:tcPr>
            <w:tcW w:w="2057" w:type="dxa"/>
          </w:tcPr>
          <w:p>
            <w:pPr>
              <w:pStyle w:val="TableParagraph"/>
              <w:spacing w:before="6"/>
              <w:rPr>
                <w:sz w:val="19"/>
              </w:rPr>
            </w:pPr>
          </w:p>
          <w:p>
            <w:pPr>
              <w:pStyle w:val="TableParagraph"/>
              <w:ind w:left="107"/>
              <w:rPr>
                <w:b/>
                <w:sz w:val="20"/>
              </w:rPr>
            </w:pPr>
            <w:r>
              <w:rPr>
                <w:b/>
                <w:sz w:val="20"/>
              </w:rPr>
              <w:t>Simon Gilliland</w:t>
            </w:r>
          </w:p>
          <w:p>
            <w:pPr>
              <w:pStyle w:val="TableParagraph"/>
              <w:spacing w:before="3"/>
              <w:ind w:left="107"/>
              <w:rPr>
                <w:sz w:val="20"/>
              </w:rPr>
            </w:pPr>
            <w:r>
              <w:rPr>
                <w:sz w:val="20"/>
              </w:rPr>
              <w:t>Engineer</w:t>
            </w:r>
          </w:p>
        </w:tc>
        <w:tc>
          <w:tcPr>
            <w:tcW w:w="2059" w:type="dxa"/>
          </w:tcPr>
          <w:p>
            <w:pPr>
              <w:pStyle w:val="TableParagraph"/>
              <w:spacing w:before="6"/>
              <w:rPr>
                <w:sz w:val="19"/>
              </w:rPr>
            </w:pPr>
          </w:p>
          <w:p>
            <w:pPr>
              <w:pStyle w:val="TableParagraph"/>
              <w:ind w:left="106"/>
              <w:rPr>
                <w:b/>
                <w:sz w:val="20"/>
              </w:rPr>
            </w:pPr>
            <w:r>
              <w:rPr>
                <w:b/>
                <w:sz w:val="20"/>
              </w:rPr>
              <w:t>Ian Hope</w:t>
            </w:r>
          </w:p>
          <w:p>
            <w:pPr>
              <w:pStyle w:val="TableParagraph"/>
              <w:spacing w:before="3"/>
              <w:ind w:left="106"/>
              <w:rPr>
                <w:sz w:val="20"/>
              </w:rPr>
            </w:pPr>
            <w:r>
              <w:rPr>
                <w:sz w:val="20"/>
              </w:rPr>
              <w:t>Group Engineer</w:t>
            </w:r>
          </w:p>
        </w:tc>
        <w:tc>
          <w:tcPr>
            <w:tcW w:w="2057" w:type="dxa"/>
          </w:tcPr>
          <w:p>
            <w:pPr>
              <w:pStyle w:val="TableParagraph"/>
              <w:rPr>
                <w:rFonts w:ascii="Times New Roman"/>
                <w:sz w:val="16"/>
              </w:rPr>
            </w:pPr>
          </w:p>
        </w:tc>
      </w:tr>
      <w:tr>
        <w:trPr>
          <w:trHeight w:val="719" w:hRule="atLeast"/>
        </w:trPr>
        <w:tc>
          <w:tcPr>
            <w:tcW w:w="828" w:type="dxa"/>
          </w:tcPr>
          <w:p>
            <w:pPr>
              <w:pStyle w:val="TableParagraph"/>
              <w:rPr>
                <w:rFonts w:ascii="Times New Roman"/>
                <w:sz w:val="16"/>
              </w:rPr>
            </w:pPr>
          </w:p>
        </w:tc>
        <w:tc>
          <w:tcPr>
            <w:tcW w:w="1318" w:type="dxa"/>
          </w:tcPr>
          <w:p>
            <w:pPr>
              <w:pStyle w:val="TableParagraph"/>
              <w:rPr>
                <w:rFonts w:ascii="Times New Roman"/>
                <w:sz w:val="16"/>
              </w:rPr>
            </w:pPr>
          </w:p>
        </w:tc>
        <w:tc>
          <w:tcPr>
            <w:tcW w:w="1798" w:type="dxa"/>
          </w:tcPr>
          <w:p>
            <w:pPr>
              <w:pStyle w:val="TableParagraph"/>
              <w:rPr>
                <w:rFonts w:ascii="Times New Roman"/>
                <w:sz w:val="16"/>
              </w:rPr>
            </w:pPr>
          </w:p>
        </w:tc>
        <w:tc>
          <w:tcPr>
            <w:tcW w:w="2057" w:type="dxa"/>
          </w:tcPr>
          <w:p>
            <w:pPr>
              <w:pStyle w:val="TableParagraph"/>
              <w:rPr>
                <w:rFonts w:ascii="Times New Roman"/>
                <w:sz w:val="16"/>
              </w:rPr>
            </w:pPr>
          </w:p>
        </w:tc>
        <w:tc>
          <w:tcPr>
            <w:tcW w:w="2059" w:type="dxa"/>
          </w:tcPr>
          <w:p>
            <w:pPr>
              <w:pStyle w:val="TableParagraph"/>
              <w:rPr>
                <w:rFonts w:ascii="Times New Roman"/>
                <w:sz w:val="16"/>
              </w:rPr>
            </w:pPr>
          </w:p>
        </w:tc>
        <w:tc>
          <w:tcPr>
            <w:tcW w:w="2057" w:type="dxa"/>
          </w:tcPr>
          <w:p>
            <w:pPr>
              <w:pStyle w:val="TableParagraph"/>
              <w:rPr>
                <w:rFonts w:ascii="Times New Roman"/>
                <w:sz w:val="16"/>
              </w:rPr>
            </w:pPr>
          </w:p>
        </w:tc>
      </w:tr>
      <w:tr>
        <w:trPr>
          <w:trHeight w:val="719" w:hRule="atLeast"/>
        </w:trPr>
        <w:tc>
          <w:tcPr>
            <w:tcW w:w="828" w:type="dxa"/>
          </w:tcPr>
          <w:p>
            <w:pPr>
              <w:pStyle w:val="TableParagraph"/>
              <w:rPr>
                <w:rFonts w:ascii="Times New Roman"/>
                <w:sz w:val="16"/>
              </w:rPr>
            </w:pPr>
          </w:p>
        </w:tc>
        <w:tc>
          <w:tcPr>
            <w:tcW w:w="1318" w:type="dxa"/>
          </w:tcPr>
          <w:p>
            <w:pPr>
              <w:pStyle w:val="TableParagraph"/>
              <w:rPr>
                <w:rFonts w:ascii="Times New Roman"/>
                <w:sz w:val="16"/>
              </w:rPr>
            </w:pPr>
          </w:p>
        </w:tc>
        <w:tc>
          <w:tcPr>
            <w:tcW w:w="1798" w:type="dxa"/>
          </w:tcPr>
          <w:p>
            <w:pPr>
              <w:pStyle w:val="TableParagraph"/>
              <w:rPr>
                <w:rFonts w:ascii="Times New Roman"/>
                <w:sz w:val="16"/>
              </w:rPr>
            </w:pPr>
          </w:p>
        </w:tc>
        <w:tc>
          <w:tcPr>
            <w:tcW w:w="2057" w:type="dxa"/>
          </w:tcPr>
          <w:p>
            <w:pPr>
              <w:pStyle w:val="TableParagraph"/>
              <w:rPr>
                <w:rFonts w:ascii="Times New Roman"/>
                <w:sz w:val="16"/>
              </w:rPr>
            </w:pPr>
          </w:p>
        </w:tc>
        <w:tc>
          <w:tcPr>
            <w:tcW w:w="2059" w:type="dxa"/>
          </w:tcPr>
          <w:p>
            <w:pPr>
              <w:pStyle w:val="TableParagraph"/>
              <w:rPr>
                <w:rFonts w:ascii="Times New Roman"/>
                <w:sz w:val="16"/>
              </w:rPr>
            </w:pPr>
          </w:p>
        </w:tc>
        <w:tc>
          <w:tcPr>
            <w:tcW w:w="2057" w:type="dxa"/>
          </w:tcPr>
          <w:p>
            <w:pPr>
              <w:pStyle w:val="TableParagraph"/>
              <w:rPr>
                <w:rFonts w:ascii="Times New Roman"/>
                <w:sz w:val="16"/>
              </w:rPr>
            </w:pPr>
          </w:p>
        </w:tc>
      </w:tr>
      <w:tr>
        <w:trPr>
          <w:trHeight w:val="719" w:hRule="atLeast"/>
        </w:trPr>
        <w:tc>
          <w:tcPr>
            <w:tcW w:w="828" w:type="dxa"/>
          </w:tcPr>
          <w:p>
            <w:pPr>
              <w:pStyle w:val="TableParagraph"/>
              <w:rPr>
                <w:rFonts w:ascii="Times New Roman"/>
                <w:sz w:val="16"/>
              </w:rPr>
            </w:pPr>
          </w:p>
        </w:tc>
        <w:tc>
          <w:tcPr>
            <w:tcW w:w="1318" w:type="dxa"/>
          </w:tcPr>
          <w:p>
            <w:pPr>
              <w:pStyle w:val="TableParagraph"/>
              <w:rPr>
                <w:rFonts w:ascii="Times New Roman"/>
                <w:sz w:val="16"/>
              </w:rPr>
            </w:pPr>
          </w:p>
        </w:tc>
        <w:tc>
          <w:tcPr>
            <w:tcW w:w="1798" w:type="dxa"/>
          </w:tcPr>
          <w:p>
            <w:pPr>
              <w:pStyle w:val="TableParagraph"/>
              <w:rPr>
                <w:rFonts w:ascii="Times New Roman"/>
                <w:sz w:val="16"/>
              </w:rPr>
            </w:pPr>
          </w:p>
        </w:tc>
        <w:tc>
          <w:tcPr>
            <w:tcW w:w="2057" w:type="dxa"/>
          </w:tcPr>
          <w:p>
            <w:pPr>
              <w:pStyle w:val="TableParagraph"/>
              <w:rPr>
                <w:rFonts w:ascii="Times New Roman"/>
                <w:sz w:val="16"/>
              </w:rPr>
            </w:pPr>
          </w:p>
        </w:tc>
        <w:tc>
          <w:tcPr>
            <w:tcW w:w="2059" w:type="dxa"/>
          </w:tcPr>
          <w:p>
            <w:pPr>
              <w:pStyle w:val="TableParagraph"/>
              <w:rPr>
                <w:rFonts w:ascii="Times New Roman"/>
                <w:sz w:val="16"/>
              </w:rPr>
            </w:pPr>
          </w:p>
        </w:tc>
        <w:tc>
          <w:tcPr>
            <w:tcW w:w="2057" w:type="dxa"/>
          </w:tcPr>
          <w:p>
            <w:pPr>
              <w:pStyle w:val="TableParagraph"/>
              <w:rPr>
                <w:rFonts w:ascii="Times New Roman"/>
                <w:sz w:val="16"/>
              </w:rPr>
            </w:pPr>
          </w:p>
        </w:tc>
      </w:tr>
      <w:tr>
        <w:trPr>
          <w:trHeight w:val="722" w:hRule="atLeast"/>
        </w:trPr>
        <w:tc>
          <w:tcPr>
            <w:tcW w:w="828" w:type="dxa"/>
          </w:tcPr>
          <w:p>
            <w:pPr>
              <w:pStyle w:val="TableParagraph"/>
              <w:rPr>
                <w:rFonts w:ascii="Times New Roman"/>
                <w:sz w:val="16"/>
              </w:rPr>
            </w:pPr>
          </w:p>
        </w:tc>
        <w:tc>
          <w:tcPr>
            <w:tcW w:w="1318" w:type="dxa"/>
          </w:tcPr>
          <w:p>
            <w:pPr>
              <w:pStyle w:val="TableParagraph"/>
              <w:rPr>
                <w:rFonts w:ascii="Times New Roman"/>
                <w:sz w:val="16"/>
              </w:rPr>
            </w:pPr>
          </w:p>
        </w:tc>
        <w:tc>
          <w:tcPr>
            <w:tcW w:w="1798" w:type="dxa"/>
          </w:tcPr>
          <w:p>
            <w:pPr>
              <w:pStyle w:val="TableParagraph"/>
              <w:rPr>
                <w:rFonts w:ascii="Times New Roman"/>
                <w:sz w:val="16"/>
              </w:rPr>
            </w:pPr>
          </w:p>
        </w:tc>
        <w:tc>
          <w:tcPr>
            <w:tcW w:w="2057" w:type="dxa"/>
          </w:tcPr>
          <w:p>
            <w:pPr>
              <w:pStyle w:val="TableParagraph"/>
              <w:rPr>
                <w:rFonts w:ascii="Times New Roman"/>
                <w:sz w:val="16"/>
              </w:rPr>
            </w:pPr>
          </w:p>
        </w:tc>
        <w:tc>
          <w:tcPr>
            <w:tcW w:w="2059" w:type="dxa"/>
          </w:tcPr>
          <w:p>
            <w:pPr>
              <w:pStyle w:val="TableParagraph"/>
              <w:rPr>
                <w:rFonts w:ascii="Times New Roman"/>
                <w:sz w:val="16"/>
              </w:rPr>
            </w:pPr>
          </w:p>
        </w:tc>
        <w:tc>
          <w:tcPr>
            <w:tcW w:w="2057" w:type="dxa"/>
          </w:tcPr>
          <w:p>
            <w:pPr>
              <w:pStyle w:val="TableParagraph"/>
              <w:rPr>
                <w:rFonts w:ascii="Times New Roman"/>
                <w:sz w:val="16"/>
              </w:rPr>
            </w:pPr>
          </w:p>
        </w:tc>
      </w:tr>
      <w:tr>
        <w:trPr>
          <w:trHeight w:val="719" w:hRule="atLeast"/>
        </w:trPr>
        <w:tc>
          <w:tcPr>
            <w:tcW w:w="828" w:type="dxa"/>
          </w:tcPr>
          <w:p>
            <w:pPr>
              <w:pStyle w:val="TableParagraph"/>
              <w:rPr>
                <w:rFonts w:ascii="Times New Roman"/>
                <w:sz w:val="16"/>
              </w:rPr>
            </w:pPr>
          </w:p>
        </w:tc>
        <w:tc>
          <w:tcPr>
            <w:tcW w:w="1318" w:type="dxa"/>
          </w:tcPr>
          <w:p>
            <w:pPr>
              <w:pStyle w:val="TableParagraph"/>
              <w:rPr>
                <w:rFonts w:ascii="Times New Roman"/>
                <w:sz w:val="16"/>
              </w:rPr>
            </w:pPr>
          </w:p>
        </w:tc>
        <w:tc>
          <w:tcPr>
            <w:tcW w:w="1798" w:type="dxa"/>
          </w:tcPr>
          <w:p>
            <w:pPr>
              <w:pStyle w:val="TableParagraph"/>
              <w:rPr>
                <w:rFonts w:ascii="Times New Roman"/>
                <w:sz w:val="16"/>
              </w:rPr>
            </w:pPr>
          </w:p>
        </w:tc>
        <w:tc>
          <w:tcPr>
            <w:tcW w:w="2057" w:type="dxa"/>
          </w:tcPr>
          <w:p>
            <w:pPr>
              <w:pStyle w:val="TableParagraph"/>
              <w:rPr>
                <w:rFonts w:ascii="Times New Roman"/>
                <w:sz w:val="16"/>
              </w:rPr>
            </w:pPr>
          </w:p>
        </w:tc>
        <w:tc>
          <w:tcPr>
            <w:tcW w:w="2059" w:type="dxa"/>
          </w:tcPr>
          <w:p>
            <w:pPr>
              <w:pStyle w:val="TableParagraph"/>
              <w:rPr>
                <w:rFonts w:ascii="Times New Roman"/>
                <w:sz w:val="16"/>
              </w:rPr>
            </w:pPr>
          </w:p>
        </w:tc>
        <w:tc>
          <w:tcPr>
            <w:tcW w:w="2057" w:type="dxa"/>
          </w:tcPr>
          <w:p>
            <w:pPr>
              <w:pStyle w:val="TableParagraph"/>
              <w:rPr>
                <w:rFonts w:ascii="Times New Roman"/>
                <w:sz w:val="16"/>
              </w:rPr>
            </w:pPr>
          </w:p>
        </w:tc>
      </w:tr>
      <w:tr>
        <w:trPr>
          <w:trHeight w:val="719" w:hRule="atLeast"/>
        </w:trPr>
        <w:tc>
          <w:tcPr>
            <w:tcW w:w="828" w:type="dxa"/>
          </w:tcPr>
          <w:p>
            <w:pPr>
              <w:pStyle w:val="TableParagraph"/>
              <w:rPr>
                <w:rFonts w:ascii="Times New Roman"/>
                <w:sz w:val="16"/>
              </w:rPr>
            </w:pPr>
          </w:p>
        </w:tc>
        <w:tc>
          <w:tcPr>
            <w:tcW w:w="1318" w:type="dxa"/>
          </w:tcPr>
          <w:p>
            <w:pPr>
              <w:pStyle w:val="TableParagraph"/>
              <w:rPr>
                <w:rFonts w:ascii="Times New Roman"/>
                <w:sz w:val="16"/>
              </w:rPr>
            </w:pPr>
          </w:p>
        </w:tc>
        <w:tc>
          <w:tcPr>
            <w:tcW w:w="1798" w:type="dxa"/>
          </w:tcPr>
          <w:p>
            <w:pPr>
              <w:pStyle w:val="TableParagraph"/>
              <w:rPr>
                <w:rFonts w:ascii="Times New Roman"/>
                <w:sz w:val="16"/>
              </w:rPr>
            </w:pPr>
          </w:p>
        </w:tc>
        <w:tc>
          <w:tcPr>
            <w:tcW w:w="2057" w:type="dxa"/>
          </w:tcPr>
          <w:p>
            <w:pPr>
              <w:pStyle w:val="TableParagraph"/>
              <w:rPr>
                <w:rFonts w:ascii="Times New Roman"/>
                <w:sz w:val="16"/>
              </w:rPr>
            </w:pPr>
          </w:p>
        </w:tc>
        <w:tc>
          <w:tcPr>
            <w:tcW w:w="2059" w:type="dxa"/>
          </w:tcPr>
          <w:p>
            <w:pPr>
              <w:pStyle w:val="TableParagraph"/>
              <w:rPr>
                <w:rFonts w:ascii="Times New Roman"/>
                <w:sz w:val="16"/>
              </w:rPr>
            </w:pPr>
          </w:p>
        </w:tc>
        <w:tc>
          <w:tcPr>
            <w:tcW w:w="2057" w:type="dxa"/>
          </w:tcPr>
          <w:p>
            <w:pPr>
              <w:pStyle w:val="TableParagraph"/>
              <w:rPr>
                <w:rFonts w:ascii="Times New Roman"/>
                <w:sz w:val="16"/>
              </w:rPr>
            </w:pPr>
          </w:p>
        </w:tc>
      </w:tr>
      <w:tr>
        <w:trPr>
          <w:trHeight w:val="719" w:hRule="atLeast"/>
        </w:trPr>
        <w:tc>
          <w:tcPr>
            <w:tcW w:w="828" w:type="dxa"/>
          </w:tcPr>
          <w:p>
            <w:pPr>
              <w:pStyle w:val="TableParagraph"/>
              <w:rPr>
                <w:rFonts w:ascii="Times New Roman"/>
                <w:sz w:val="16"/>
              </w:rPr>
            </w:pPr>
          </w:p>
        </w:tc>
        <w:tc>
          <w:tcPr>
            <w:tcW w:w="1318" w:type="dxa"/>
          </w:tcPr>
          <w:p>
            <w:pPr>
              <w:pStyle w:val="TableParagraph"/>
              <w:rPr>
                <w:rFonts w:ascii="Times New Roman"/>
                <w:sz w:val="16"/>
              </w:rPr>
            </w:pPr>
          </w:p>
        </w:tc>
        <w:tc>
          <w:tcPr>
            <w:tcW w:w="1798" w:type="dxa"/>
          </w:tcPr>
          <w:p>
            <w:pPr>
              <w:pStyle w:val="TableParagraph"/>
              <w:rPr>
                <w:rFonts w:ascii="Times New Roman"/>
                <w:sz w:val="16"/>
              </w:rPr>
            </w:pPr>
          </w:p>
        </w:tc>
        <w:tc>
          <w:tcPr>
            <w:tcW w:w="2057" w:type="dxa"/>
          </w:tcPr>
          <w:p>
            <w:pPr>
              <w:pStyle w:val="TableParagraph"/>
              <w:rPr>
                <w:rFonts w:ascii="Times New Roman"/>
                <w:sz w:val="16"/>
              </w:rPr>
            </w:pPr>
          </w:p>
        </w:tc>
        <w:tc>
          <w:tcPr>
            <w:tcW w:w="2059" w:type="dxa"/>
          </w:tcPr>
          <w:p>
            <w:pPr>
              <w:pStyle w:val="TableParagraph"/>
              <w:rPr>
                <w:rFonts w:ascii="Times New Roman"/>
                <w:sz w:val="16"/>
              </w:rPr>
            </w:pPr>
          </w:p>
        </w:tc>
        <w:tc>
          <w:tcPr>
            <w:tcW w:w="2057" w:type="dxa"/>
          </w:tcPr>
          <w:p>
            <w:pPr>
              <w:pStyle w:val="TableParagraph"/>
              <w:rPr>
                <w:rFonts w:ascii="Times New Roman"/>
                <w:sz w:val="16"/>
              </w:rPr>
            </w:pPr>
          </w:p>
        </w:tc>
      </w:tr>
      <w:tr>
        <w:trPr>
          <w:trHeight w:val="719" w:hRule="atLeast"/>
        </w:trPr>
        <w:tc>
          <w:tcPr>
            <w:tcW w:w="828" w:type="dxa"/>
          </w:tcPr>
          <w:p>
            <w:pPr>
              <w:pStyle w:val="TableParagraph"/>
              <w:rPr>
                <w:rFonts w:ascii="Times New Roman"/>
                <w:sz w:val="16"/>
              </w:rPr>
            </w:pPr>
          </w:p>
        </w:tc>
        <w:tc>
          <w:tcPr>
            <w:tcW w:w="1318" w:type="dxa"/>
          </w:tcPr>
          <w:p>
            <w:pPr>
              <w:pStyle w:val="TableParagraph"/>
              <w:rPr>
                <w:rFonts w:ascii="Times New Roman"/>
                <w:sz w:val="16"/>
              </w:rPr>
            </w:pPr>
          </w:p>
        </w:tc>
        <w:tc>
          <w:tcPr>
            <w:tcW w:w="1798" w:type="dxa"/>
          </w:tcPr>
          <w:p>
            <w:pPr>
              <w:pStyle w:val="TableParagraph"/>
              <w:rPr>
                <w:rFonts w:ascii="Times New Roman"/>
                <w:sz w:val="16"/>
              </w:rPr>
            </w:pPr>
          </w:p>
        </w:tc>
        <w:tc>
          <w:tcPr>
            <w:tcW w:w="2057" w:type="dxa"/>
          </w:tcPr>
          <w:p>
            <w:pPr>
              <w:pStyle w:val="TableParagraph"/>
              <w:rPr>
                <w:rFonts w:ascii="Times New Roman"/>
                <w:sz w:val="16"/>
              </w:rPr>
            </w:pPr>
          </w:p>
        </w:tc>
        <w:tc>
          <w:tcPr>
            <w:tcW w:w="2059" w:type="dxa"/>
          </w:tcPr>
          <w:p>
            <w:pPr>
              <w:pStyle w:val="TableParagraph"/>
              <w:rPr>
                <w:rFonts w:ascii="Times New Roman"/>
                <w:sz w:val="16"/>
              </w:rPr>
            </w:pPr>
          </w:p>
        </w:tc>
        <w:tc>
          <w:tcPr>
            <w:tcW w:w="2057" w:type="dxa"/>
          </w:tcPr>
          <w:p>
            <w:pPr>
              <w:pStyle w:val="TableParagraph"/>
              <w:rPr>
                <w:rFonts w:ascii="Times New Roman"/>
                <w:sz w:val="16"/>
              </w:rPr>
            </w:pPr>
          </w:p>
        </w:tc>
      </w:tr>
    </w:tbl>
    <w:p>
      <w:pPr>
        <w:spacing w:after="0"/>
        <w:rPr>
          <w:rFonts w:ascii="Times New Roman"/>
          <w:sz w:val="16"/>
        </w:rPr>
        <w:sectPr>
          <w:pgSz w:w="11910" w:h="16840"/>
          <w:pgMar w:header="0" w:footer="645" w:top="1340" w:bottom="840" w:left="1040" w:right="520"/>
        </w:sectPr>
      </w:pPr>
    </w:p>
    <w:p>
      <w:pPr>
        <w:pStyle w:val="Heading3"/>
        <w:spacing w:before="78"/>
        <w:ind w:left="3342"/>
      </w:pPr>
      <w:r>
        <w:rPr/>
        <w:t>This page is left blank intentionally</w:t>
      </w:r>
    </w:p>
    <w:p>
      <w:pPr>
        <w:spacing w:after="0"/>
        <w:sectPr>
          <w:pgSz w:w="11910" w:h="16840"/>
          <w:pgMar w:header="0" w:footer="645" w:top="1340" w:bottom="840" w:left="1040" w:right="520"/>
        </w:sectPr>
      </w:pPr>
    </w:p>
    <w:p>
      <w:pPr>
        <w:pStyle w:val="Heading1"/>
        <w:spacing w:before="78"/>
        <w:ind w:left="3731"/>
      </w:pPr>
      <w:bookmarkStart w:name="_TOC_250025" w:id="74"/>
      <w:bookmarkEnd w:id="74"/>
      <w:r>
        <w:rPr/>
        <w:t>Table of Contents</w:t>
      </w:r>
    </w:p>
    <w:p>
      <w:pPr>
        <w:pStyle w:val="BodyText"/>
        <w:rPr>
          <w:b/>
          <w:sz w:val="26"/>
        </w:rPr>
      </w:pPr>
      <w:r>
        <w:rPr/>
        <w:br w:type="column"/>
      </w:r>
      <w:r>
        <w:rPr>
          <w:b/>
          <w:sz w:val="26"/>
        </w:rPr>
      </w:r>
    </w:p>
    <w:p>
      <w:pPr>
        <w:spacing w:before="160"/>
        <w:ind w:left="0" w:right="585" w:firstLine="0"/>
        <w:jc w:val="right"/>
        <w:rPr>
          <w:b/>
          <w:sz w:val="24"/>
        </w:rPr>
      </w:pPr>
      <w:r>
        <w:rPr>
          <w:b/>
          <w:sz w:val="24"/>
        </w:rPr>
        <w:t>Page</w:t>
      </w:r>
    </w:p>
    <w:p>
      <w:pPr>
        <w:spacing w:after="0"/>
        <w:jc w:val="right"/>
        <w:rPr>
          <w:sz w:val="24"/>
        </w:rPr>
        <w:sectPr>
          <w:footerReference w:type="default" r:id="rId68"/>
          <w:footerReference w:type="even" r:id="rId69"/>
          <w:pgSz w:w="11910" w:h="16840"/>
          <w:pgMar w:footer="906" w:header="0" w:top="1580" w:bottom="1100" w:left="1040" w:right="520"/>
          <w:pgNumType w:start="1"/>
          <w:cols w:num="2" w:equalWidth="0">
            <w:col w:w="6103" w:space="40"/>
            <w:col w:w="4207"/>
          </w:cols>
        </w:sectPr>
      </w:pPr>
    </w:p>
    <w:sdt>
      <w:sdtPr>
        <w:docPartObj>
          <w:docPartGallery w:val="Table of Contents"/>
          <w:docPartUnique/>
        </w:docPartObj>
      </w:sdtPr>
      <w:sdtEndPr/>
      <w:sdtContent>
        <w:p>
          <w:pPr>
            <w:pStyle w:val="TOC1"/>
            <w:tabs>
              <w:tab w:pos="9757" w:val="right" w:leader="dot"/>
            </w:tabs>
            <w:spacing w:before="163"/>
            <w:ind w:left="400" w:firstLine="0"/>
          </w:pPr>
          <w:hyperlink w:history="true" w:anchor="_TOC_250025">
            <w:r>
              <w:rPr/>
              <w:t>Table</w:t>
            </w:r>
            <w:r>
              <w:rPr>
                <w:spacing w:val="-1"/>
              </w:rPr>
              <w:t> </w:t>
            </w:r>
            <w:r>
              <w:rPr/>
              <w:t>of</w:t>
            </w:r>
            <w:r>
              <w:rPr>
                <w:spacing w:val="-1"/>
              </w:rPr>
              <w:t> </w:t>
            </w:r>
            <w:r>
              <w:rPr/>
              <w:t>Contents</w:t>
            </w:r>
            <w:r>
              <w:rPr>
                <w:rFonts w:ascii="Times New Roman"/>
                <w:b w:val="0"/>
              </w:rPr>
              <w:tab/>
            </w:r>
            <w:r>
              <w:rPr/>
              <w:t>1</w:t>
            </w:r>
          </w:hyperlink>
        </w:p>
        <w:p>
          <w:pPr>
            <w:pStyle w:val="TOC1"/>
            <w:numPr>
              <w:ilvl w:val="0"/>
              <w:numId w:val="21"/>
            </w:numPr>
            <w:tabs>
              <w:tab w:pos="882" w:val="left" w:leader="none"/>
              <w:tab w:pos="883" w:val="left" w:leader="none"/>
              <w:tab w:pos="9757" w:val="right" w:leader="dot"/>
            </w:tabs>
            <w:spacing w:line="240" w:lineRule="auto" w:before="298" w:after="0"/>
            <w:ind w:left="882" w:right="0" w:hanging="482"/>
            <w:jc w:val="left"/>
          </w:pPr>
          <w:hyperlink w:history="true" w:anchor="_TOC_250024">
            <w:r>
              <w:rPr/>
              <w:t>Executive</w:t>
            </w:r>
            <w:r>
              <w:rPr>
                <w:spacing w:val="-1"/>
              </w:rPr>
              <w:t> </w:t>
            </w:r>
            <w:r>
              <w:rPr/>
              <w:t>Summary</w:t>
            </w:r>
            <w:r>
              <w:rPr>
                <w:rFonts w:ascii="Times New Roman"/>
                <w:b w:val="0"/>
              </w:rPr>
              <w:tab/>
            </w:r>
            <w:r>
              <w:rPr/>
              <w:t>2</w:t>
            </w:r>
          </w:hyperlink>
        </w:p>
        <w:p>
          <w:pPr>
            <w:pStyle w:val="TOC1"/>
            <w:numPr>
              <w:ilvl w:val="0"/>
              <w:numId w:val="21"/>
            </w:numPr>
            <w:tabs>
              <w:tab w:pos="882" w:val="left" w:leader="none"/>
              <w:tab w:pos="883" w:val="left" w:leader="none"/>
              <w:tab w:pos="9757" w:val="right" w:leader="dot"/>
            </w:tabs>
            <w:spacing w:line="240" w:lineRule="auto" w:before="298" w:after="0"/>
            <w:ind w:left="882" w:right="0" w:hanging="482"/>
            <w:jc w:val="left"/>
          </w:pPr>
          <w:hyperlink w:history="true" w:anchor="_TOC_250023">
            <w:r>
              <w:rPr/>
              <w:t>Introduction</w:t>
            </w:r>
            <w:r>
              <w:rPr>
                <w:rFonts w:ascii="Times New Roman"/>
                <w:b w:val="0"/>
              </w:rPr>
              <w:tab/>
            </w:r>
            <w:r>
              <w:rPr/>
              <w:t>3</w:t>
            </w:r>
          </w:hyperlink>
        </w:p>
        <w:p>
          <w:pPr>
            <w:pStyle w:val="TOC2"/>
            <w:numPr>
              <w:ilvl w:val="1"/>
              <w:numId w:val="21"/>
            </w:numPr>
            <w:tabs>
              <w:tab w:pos="1358" w:val="left" w:leader="none"/>
              <w:tab w:pos="9758" w:val="right" w:leader="dot"/>
            </w:tabs>
            <w:spacing w:line="240" w:lineRule="auto" w:before="139" w:after="0"/>
            <w:ind w:left="1357" w:right="0" w:hanging="504"/>
            <w:jc w:val="left"/>
          </w:pPr>
          <w:hyperlink w:history="true" w:anchor="_TOC_250022">
            <w:r>
              <w:rPr/>
              <w:t>Local Flood Risk</w:t>
            </w:r>
            <w:r>
              <w:rPr>
                <w:spacing w:val="-3"/>
              </w:rPr>
              <w:t> </w:t>
            </w:r>
            <w:r>
              <w:rPr/>
              <w:t>Management Strategy</w:t>
            </w:r>
            <w:r>
              <w:rPr>
                <w:rFonts w:ascii="Times New Roman"/>
                <w:b w:val="0"/>
              </w:rPr>
              <w:tab/>
            </w:r>
            <w:r>
              <w:rPr/>
              <w:t>3</w:t>
            </w:r>
          </w:hyperlink>
        </w:p>
        <w:p>
          <w:pPr>
            <w:pStyle w:val="TOC2"/>
            <w:numPr>
              <w:ilvl w:val="1"/>
              <w:numId w:val="21"/>
            </w:numPr>
            <w:tabs>
              <w:tab w:pos="1358" w:val="left" w:leader="none"/>
              <w:tab w:pos="9757" w:val="right" w:leader="dot"/>
            </w:tabs>
            <w:spacing w:line="240" w:lineRule="auto" w:before="137" w:after="0"/>
            <w:ind w:left="1357" w:right="0" w:hanging="504"/>
            <w:jc w:val="left"/>
          </w:pPr>
          <w:hyperlink w:history="true" w:anchor="_TOC_250021">
            <w:r>
              <w:rPr/>
              <w:t>Strategic</w:t>
            </w:r>
            <w:r>
              <w:rPr>
                <w:spacing w:val="-1"/>
              </w:rPr>
              <w:t> </w:t>
            </w:r>
            <w:r>
              <w:rPr/>
              <w:t>Environmental</w:t>
            </w:r>
            <w:r>
              <w:rPr>
                <w:spacing w:val="-1"/>
              </w:rPr>
              <w:t> </w:t>
            </w:r>
            <w:r>
              <w:rPr/>
              <w:t>Assessment</w:t>
            </w:r>
            <w:r>
              <w:rPr>
                <w:rFonts w:ascii="Times New Roman"/>
                <w:b w:val="0"/>
              </w:rPr>
              <w:tab/>
            </w:r>
            <w:r>
              <w:rPr/>
              <w:t>3</w:t>
            </w:r>
          </w:hyperlink>
        </w:p>
        <w:p>
          <w:pPr>
            <w:pStyle w:val="TOC2"/>
            <w:numPr>
              <w:ilvl w:val="1"/>
              <w:numId w:val="21"/>
            </w:numPr>
            <w:tabs>
              <w:tab w:pos="1358" w:val="left" w:leader="none"/>
              <w:tab w:pos="9757" w:val="right" w:leader="dot"/>
            </w:tabs>
            <w:spacing w:line="240" w:lineRule="auto" w:before="139" w:after="0"/>
            <w:ind w:left="1357" w:right="0" w:hanging="504"/>
            <w:jc w:val="left"/>
          </w:pPr>
          <w:hyperlink w:history="true" w:anchor="_TOC_250020">
            <w:r>
              <w:rPr/>
              <w:t>Leeds Sustainability</w:t>
            </w:r>
            <w:r>
              <w:rPr>
                <w:spacing w:val="-2"/>
              </w:rPr>
              <w:t> </w:t>
            </w:r>
            <w:r>
              <w:rPr/>
              <w:t>Appraisal</w:t>
            </w:r>
            <w:r>
              <w:rPr>
                <w:spacing w:val="-1"/>
              </w:rPr>
              <w:t> </w:t>
            </w:r>
            <w:r>
              <w:rPr/>
              <w:t>Framework</w:t>
            </w:r>
            <w:r>
              <w:rPr>
                <w:rFonts w:ascii="Times New Roman"/>
                <w:b w:val="0"/>
              </w:rPr>
              <w:tab/>
            </w:r>
            <w:r>
              <w:rPr/>
              <w:t>4</w:t>
            </w:r>
          </w:hyperlink>
        </w:p>
        <w:p>
          <w:pPr>
            <w:pStyle w:val="TOC1"/>
            <w:numPr>
              <w:ilvl w:val="0"/>
              <w:numId w:val="21"/>
            </w:numPr>
            <w:tabs>
              <w:tab w:pos="882" w:val="left" w:leader="none"/>
              <w:tab w:pos="883" w:val="left" w:leader="none"/>
              <w:tab w:pos="9757" w:val="right" w:leader="dot"/>
            </w:tabs>
            <w:spacing w:line="240" w:lineRule="auto" w:before="298" w:after="0"/>
            <w:ind w:left="882" w:right="0" w:hanging="482"/>
            <w:jc w:val="left"/>
          </w:pPr>
          <w:hyperlink w:history="true" w:anchor="_TOC_250019">
            <w:r>
              <w:rPr/>
              <w:t>Appraisal</w:t>
            </w:r>
            <w:r>
              <w:rPr>
                <w:spacing w:val="-1"/>
              </w:rPr>
              <w:t> </w:t>
            </w:r>
            <w:r>
              <w:rPr/>
              <w:t>Process</w:t>
            </w:r>
            <w:r>
              <w:rPr>
                <w:rFonts w:ascii="Times New Roman"/>
                <w:b w:val="0"/>
              </w:rPr>
              <w:tab/>
            </w:r>
            <w:r>
              <w:rPr/>
              <w:t>5</w:t>
            </w:r>
          </w:hyperlink>
        </w:p>
        <w:p>
          <w:pPr>
            <w:pStyle w:val="TOC1"/>
            <w:numPr>
              <w:ilvl w:val="0"/>
              <w:numId w:val="21"/>
            </w:numPr>
            <w:tabs>
              <w:tab w:pos="882" w:val="left" w:leader="none"/>
              <w:tab w:pos="883" w:val="left" w:leader="none"/>
              <w:tab w:pos="9757" w:val="right" w:leader="dot"/>
            </w:tabs>
            <w:spacing w:line="240" w:lineRule="auto" w:before="297" w:after="0"/>
            <w:ind w:left="882" w:right="0" w:hanging="482"/>
            <w:jc w:val="left"/>
          </w:pPr>
          <w:hyperlink w:history="true" w:anchor="_TOC_250018">
            <w:r>
              <w:rPr/>
              <w:t>Appraisal</w:t>
            </w:r>
            <w:r>
              <w:rPr>
                <w:spacing w:val="-1"/>
              </w:rPr>
              <w:t> </w:t>
            </w:r>
            <w:r>
              <w:rPr/>
              <w:t>Findings</w:t>
            </w:r>
            <w:r>
              <w:rPr>
                <w:rFonts w:ascii="Times New Roman"/>
                <w:b w:val="0"/>
              </w:rPr>
              <w:tab/>
            </w:r>
            <w:r>
              <w:rPr/>
              <w:t>6</w:t>
            </w:r>
          </w:hyperlink>
        </w:p>
        <w:p>
          <w:pPr>
            <w:pStyle w:val="TOC2"/>
            <w:numPr>
              <w:ilvl w:val="1"/>
              <w:numId w:val="21"/>
            </w:numPr>
            <w:tabs>
              <w:tab w:pos="1358" w:val="left" w:leader="none"/>
              <w:tab w:pos="9756" w:val="right" w:leader="dot"/>
            </w:tabs>
            <w:spacing w:line="240" w:lineRule="auto" w:before="137" w:after="0"/>
            <w:ind w:left="1357" w:right="0" w:hanging="504"/>
            <w:jc w:val="left"/>
          </w:pPr>
          <w:hyperlink w:history="true" w:anchor="_TOC_250017">
            <w:r>
              <w:rPr/>
              <w:t>Summary.</w:t>
            </w:r>
            <w:r>
              <w:rPr>
                <w:rFonts w:ascii="Times New Roman"/>
                <w:b w:val="0"/>
              </w:rPr>
              <w:tab/>
            </w:r>
            <w:r>
              <w:rPr/>
              <w:t>6</w:t>
            </w:r>
          </w:hyperlink>
        </w:p>
        <w:p>
          <w:pPr>
            <w:pStyle w:val="TOC2"/>
            <w:numPr>
              <w:ilvl w:val="1"/>
              <w:numId w:val="21"/>
            </w:numPr>
            <w:tabs>
              <w:tab w:pos="1358" w:val="left" w:leader="none"/>
              <w:tab w:pos="9757" w:val="right" w:leader="dot"/>
            </w:tabs>
            <w:spacing w:line="240" w:lineRule="auto" w:before="139" w:after="0"/>
            <w:ind w:left="1357" w:right="0" w:hanging="504"/>
            <w:jc w:val="left"/>
          </w:pPr>
          <w:hyperlink w:history="true" w:anchor="_TOC_250016">
            <w:r>
              <w:rPr/>
              <w:t>Environment</w:t>
            </w:r>
            <w:r>
              <w:rPr>
                <w:rFonts w:ascii="Times New Roman"/>
                <w:b w:val="0"/>
              </w:rPr>
              <w:tab/>
            </w:r>
            <w:r>
              <w:rPr/>
              <w:t>6</w:t>
            </w:r>
          </w:hyperlink>
        </w:p>
        <w:p>
          <w:pPr>
            <w:pStyle w:val="TOC2"/>
            <w:numPr>
              <w:ilvl w:val="1"/>
              <w:numId w:val="21"/>
            </w:numPr>
            <w:tabs>
              <w:tab w:pos="1358" w:val="left" w:leader="none"/>
              <w:tab w:pos="9757" w:val="right" w:leader="dot"/>
            </w:tabs>
            <w:spacing w:line="240" w:lineRule="auto" w:before="137" w:after="0"/>
            <w:ind w:left="1357" w:right="0" w:hanging="504"/>
            <w:jc w:val="left"/>
          </w:pPr>
          <w:hyperlink w:history="true" w:anchor="_TOC_250015">
            <w:r>
              <w:rPr/>
              <w:t>Education</w:t>
            </w:r>
            <w:r>
              <w:rPr>
                <w:spacing w:val="-1"/>
              </w:rPr>
              <w:t> </w:t>
            </w:r>
            <w:r>
              <w:rPr/>
              <w:t>and</w:t>
            </w:r>
            <w:r>
              <w:rPr>
                <w:spacing w:val="-1"/>
              </w:rPr>
              <w:t> </w:t>
            </w:r>
            <w:r>
              <w:rPr/>
              <w:t>Training</w:t>
            </w:r>
            <w:r>
              <w:rPr>
                <w:rFonts w:ascii="Times New Roman"/>
                <w:b w:val="0"/>
              </w:rPr>
              <w:tab/>
            </w:r>
            <w:r>
              <w:rPr/>
              <w:t>6</w:t>
            </w:r>
          </w:hyperlink>
        </w:p>
        <w:p>
          <w:pPr>
            <w:pStyle w:val="TOC2"/>
            <w:numPr>
              <w:ilvl w:val="1"/>
              <w:numId w:val="21"/>
            </w:numPr>
            <w:tabs>
              <w:tab w:pos="1358" w:val="left" w:leader="none"/>
              <w:tab w:pos="9756" w:val="right" w:leader="dot"/>
            </w:tabs>
            <w:spacing w:line="240" w:lineRule="auto" w:before="139" w:after="0"/>
            <w:ind w:left="1357" w:right="0" w:hanging="504"/>
            <w:jc w:val="left"/>
          </w:pPr>
          <w:hyperlink w:history="true" w:anchor="_TOC_250014">
            <w:r>
              <w:rPr/>
              <w:t>Cooperation</w:t>
            </w:r>
            <w:r>
              <w:rPr>
                <w:rFonts w:ascii="Times New Roman"/>
                <w:b w:val="0"/>
              </w:rPr>
              <w:tab/>
            </w:r>
            <w:r>
              <w:rPr/>
              <w:t>6</w:t>
            </w:r>
          </w:hyperlink>
        </w:p>
        <w:p>
          <w:pPr>
            <w:pStyle w:val="TOC2"/>
            <w:numPr>
              <w:ilvl w:val="1"/>
              <w:numId w:val="21"/>
            </w:numPr>
            <w:tabs>
              <w:tab w:pos="1358" w:val="left" w:leader="none"/>
              <w:tab w:pos="9757" w:val="right" w:leader="dot"/>
            </w:tabs>
            <w:spacing w:line="240" w:lineRule="auto" w:before="137" w:after="0"/>
            <w:ind w:left="1357" w:right="0" w:hanging="504"/>
            <w:jc w:val="left"/>
          </w:pPr>
          <w:hyperlink w:history="true" w:anchor="_TOC_250013">
            <w:r>
              <w:rPr/>
              <w:t>Economy</w:t>
            </w:r>
            <w:r>
              <w:rPr>
                <w:rFonts w:ascii="Times New Roman"/>
                <w:b w:val="0"/>
              </w:rPr>
              <w:tab/>
            </w:r>
            <w:r>
              <w:rPr/>
              <w:t>7</w:t>
            </w:r>
          </w:hyperlink>
        </w:p>
        <w:p>
          <w:pPr>
            <w:pStyle w:val="TOC2"/>
            <w:numPr>
              <w:ilvl w:val="1"/>
              <w:numId w:val="21"/>
            </w:numPr>
            <w:tabs>
              <w:tab w:pos="1358" w:val="left" w:leader="none"/>
              <w:tab w:pos="9756" w:val="right" w:leader="dot"/>
            </w:tabs>
            <w:spacing w:line="240" w:lineRule="auto" w:before="139" w:after="0"/>
            <w:ind w:left="1357" w:right="0" w:hanging="504"/>
            <w:jc w:val="left"/>
          </w:pPr>
          <w:hyperlink w:history="true" w:anchor="_TOC_250012">
            <w:r>
              <w:rPr/>
              <w:t>Health</w:t>
            </w:r>
            <w:r>
              <w:rPr>
                <w:spacing w:val="-1"/>
              </w:rPr>
              <w:t> </w:t>
            </w:r>
            <w:r>
              <w:rPr/>
              <w:t>and</w:t>
            </w:r>
            <w:r>
              <w:rPr>
                <w:spacing w:val="-1"/>
              </w:rPr>
              <w:t> </w:t>
            </w:r>
            <w:r>
              <w:rPr/>
              <w:t>Equality</w:t>
            </w:r>
            <w:r>
              <w:rPr>
                <w:rFonts w:ascii="Times New Roman"/>
                <w:b w:val="0"/>
              </w:rPr>
              <w:tab/>
            </w:r>
            <w:r>
              <w:rPr/>
              <w:t>7</w:t>
            </w:r>
          </w:hyperlink>
        </w:p>
        <w:p>
          <w:pPr>
            <w:pStyle w:val="TOC2"/>
            <w:numPr>
              <w:ilvl w:val="1"/>
              <w:numId w:val="21"/>
            </w:numPr>
            <w:tabs>
              <w:tab w:pos="1358" w:val="left" w:leader="none"/>
              <w:tab w:pos="9756" w:val="right" w:leader="dot"/>
            </w:tabs>
            <w:spacing w:line="240" w:lineRule="auto" w:before="137" w:after="0"/>
            <w:ind w:left="1357" w:right="0" w:hanging="504"/>
            <w:jc w:val="left"/>
          </w:pPr>
          <w:hyperlink w:history="true" w:anchor="_TOC_250011">
            <w:r>
              <w:rPr/>
              <w:t>Climate</w:t>
            </w:r>
            <w:r>
              <w:rPr>
                <w:spacing w:val="-1"/>
              </w:rPr>
              <w:t> </w:t>
            </w:r>
            <w:r>
              <w:rPr/>
              <w:t>Proofing</w:t>
            </w:r>
            <w:r>
              <w:rPr>
                <w:rFonts w:ascii="Times New Roman"/>
                <w:b w:val="0"/>
              </w:rPr>
              <w:tab/>
            </w:r>
            <w:r>
              <w:rPr/>
              <w:t>7</w:t>
            </w:r>
          </w:hyperlink>
        </w:p>
        <w:p>
          <w:pPr>
            <w:pStyle w:val="TOC1"/>
            <w:numPr>
              <w:ilvl w:val="0"/>
              <w:numId w:val="21"/>
            </w:numPr>
            <w:tabs>
              <w:tab w:pos="882" w:val="left" w:leader="none"/>
              <w:tab w:pos="883" w:val="left" w:leader="none"/>
              <w:tab w:pos="9757" w:val="right" w:leader="dot"/>
            </w:tabs>
            <w:spacing w:line="240" w:lineRule="auto" w:before="300" w:after="0"/>
            <w:ind w:left="882" w:right="0" w:hanging="482"/>
            <w:jc w:val="left"/>
          </w:pPr>
          <w:hyperlink w:history="true" w:anchor="_TOC_250010">
            <w:r>
              <w:rPr/>
              <w:t>Changes</w:t>
            </w:r>
            <w:r>
              <w:rPr>
                <w:spacing w:val="-1"/>
              </w:rPr>
              <w:t> </w:t>
            </w:r>
            <w:r>
              <w:rPr/>
              <w:t>to</w:t>
            </w:r>
            <w:r>
              <w:rPr>
                <w:spacing w:val="-1"/>
              </w:rPr>
              <w:t> </w:t>
            </w:r>
            <w:r>
              <w:rPr/>
              <w:t>LFRMS</w:t>
            </w:r>
            <w:r>
              <w:rPr>
                <w:rFonts w:ascii="Times New Roman"/>
                <w:b w:val="0"/>
              </w:rPr>
              <w:tab/>
            </w:r>
            <w:r>
              <w:rPr/>
              <w:t>8</w:t>
            </w:r>
          </w:hyperlink>
        </w:p>
        <w:p>
          <w:pPr>
            <w:pStyle w:val="TOC1"/>
            <w:numPr>
              <w:ilvl w:val="0"/>
              <w:numId w:val="21"/>
            </w:numPr>
            <w:tabs>
              <w:tab w:pos="882" w:val="left" w:leader="none"/>
              <w:tab w:pos="883" w:val="left" w:leader="none"/>
              <w:tab w:pos="9757" w:val="right" w:leader="dot"/>
            </w:tabs>
            <w:spacing w:line="240" w:lineRule="auto" w:before="298" w:after="0"/>
            <w:ind w:left="882" w:right="0" w:hanging="482"/>
            <w:jc w:val="left"/>
          </w:pPr>
          <w:hyperlink w:history="true" w:anchor="_TOC_250009">
            <w:r>
              <w:rPr/>
              <w:t>Monitoring</w:t>
            </w:r>
            <w:r>
              <w:rPr>
                <w:spacing w:val="-1"/>
              </w:rPr>
              <w:t> </w:t>
            </w:r>
            <w:r>
              <w:rPr/>
              <w:t>of</w:t>
            </w:r>
            <w:r>
              <w:rPr>
                <w:spacing w:val="-1"/>
              </w:rPr>
              <w:t> </w:t>
            </w:r>
            <w:r>
              <w:rPr/>
              <w:t>LFRMS</w:t>
            </w:r>
            <w:r>
              <w:rPr>
                <w:rFonts w:ascii="Times New Roman"/>
                <w:b w:val="0"/>
              </w:rPr>
              <w:tab/>
            </w:r>
            <w:r>
              <w:rPr/>
              <w:t>9</w:t>
            </w:r>
          </w:hyperlink>
        </w:p>
        <w:p>
          <w:pPr>
            <w:pStyle w:val="TOC1"/>
            <w:numPr>
              <w:ilvl w:val="0"/>
              <w:numId w:val="21"/>
            </w:numPr>
            <w:tabs>
              <w:tab w:pos="882" w:val="left" w:leader="none"/>
              <w:tab w:pos="883" w:val="left" w:leader="none"/>
              <w:tab w:pos="9756" w:val="right" w:leader="dot"/>
            </w:tabs>
            <w:spacing w:line="240" w:lineRule="auto" w:before="297" w:after="0"/>
            <w:ind w:left="882" w:right="0" w:hanging="482"/>
            <w:jc w:val="left"/>
          </w:pPr>
          <w:hyperlink w:history="true" w:anchor="_TOC_250008">
            <w:r>
              <w:rPr/>
              <w:t>References</w:t>
            </w:r>
            <w:r>
              <w:rPr>
                <w:rFonts w:ascii="Times New Roman"/>
                <w:b w:val="0"/>
              </w:rPr>
              <w:tab/>
            </w:r>
            <w:r>
              <w:rPr/>
              <w:t>10</w:t>
            </w:r>
          </w:hyperlink>
        </w:p>
        <w:p>
          <w:pPr>
            <w:pStyle w:val="TOC1"/>
            <w:numPr>
              <w:ilvl w:val="0"/>
              <w:numId w:val="21"/>
            </w:numPr>
            <w:tabs>
              <w:tab w:pos="882" w:val="left" w:leader="none"/>
              <w:tab w:pos="883" w:val="left" w:leader="none"/>
              <w:tab w:pos="9756" w:val="right" w:leader="dot"/>
            </w:tabs>
            <w:spacing w:line="240" w:lineRule="auto" w:before="298" w:after="0"/>
            <w:ind w:left="882" w:right="0" w:hanging="482"/>
            <w:jc w:val="left"/>
          </w:pPr>
          <w:hyperlink w:history="true" w:anchor="_TOC_250007">
            <w:r>
              <w:rPr/>
              <w:t>Acronyms</w:t>
            </w:r>
            <w:r>
              <w:rPr>
                <w:rFonts w:ascii="Times New Roman"/>
                <w:b w:val="0"/>
              </w:rPr>
              <w:tab/>
            </w:r>
            <w:r>
              <w:rPr/>
              <w:t>11</w:t>
            </w:r>
          </w:hyperlink>
        </w:p>
        <w:p>
          <w:pPr>
            <w:pStyle w:val="TOC1"/>
            <w:numPr>
              <w:ilvl w:val="0"/>
              <w:numId w:val="21"/>
            </w:numPr>
            <w:tabs>
              <w:tab w:pos="882" w:val="left" w:leader="none"/>
              <w:tab w:pos="883" w:val="left" w:leader="none"/>
              <w:tab w:pos="9756" w:val="right" w:leader="dot"/>
            </w:tabs>
            <w:spacing w:line="240" w:lineRule="auto" w:before="298" w:after="0"/>
            <w:ind w:left="882" w:right="0" w:hanging="482"/>
            <w:jc w:val="left"/>
          </w:pPr>
          <w:hyperlink w:history="true" w:anchor="_TOC_250006">
            <w:r>
              <w:rPr/>
              <w:t>Appendices</w:t>
            </w:r>
            <w:r>
              <w:rPr>
                <w:rFonts w:ascii="Times New Roman"/>
                <w:b w:val="0"/>
              </w:rPr>
              <w:tab/>
            </w:r>
            <w:r>
              <w:rPr/>
              <w:t>12</w:t>
            </w:r>
          </w:hyperlink>
        </w:p>
        <w:p>
          <w:pPr>
            <w:pStyle w:val="TOC2"/>
            <w:tabs>
              <w:tab w:pos="9756" w:val="right" w:leader="dot"/>
            </w:tabs>
            <w:spacing w:before="139"/>
            <w:ind w:left="853" w:firstLine="0"/>
          </w:pPr>
          <w:hyperlink w:history="true" w:anchor="_TOC_250005">
            <w:r>
              <w:rPr/>
              <w:t>Appendix A – SEA</w:t>
            </w:r>
            <w:r>
              <w:rPr>
                <w:spacing w:val="-6"/>
              </w:rPr>
              <w:t> </w:t>
            </w:r>
            <w:r>
              <w:rPr/>
              <w:t>Workshop</w:t>
            </w:r>
            <w:r>
              <w:rPr>
                <w:spacing w:val="-1"/>
              </w:rPr>
              <w:t> </w:t>
            </w:r>
            <w:r>
              <w:rPr/>
              <w:t>Participants</w:t>
            </w:r>
            <w:r>
              <w:rPr>
                <w:rFonts w:ascii="Times New Roman" w:hAnsi="Times New Roman"/>
                <w:b w:val="0"/>
              </w:rPr>
              <w:tab/>
            </w:r>
            <w:r>
              <w:rPr/>
              <w:t>13</w:t>
            </w:r>
          </w:hyperlink>
        </w:p>
        <w:p>
          <w:pPr>
            <w:pStyle w:val="TOC2"/>
            <w:tabs>
              <w:tab w:pos="9756" w:val="right" w:leader="dot"/>
            </w:tabs>
            <w:ind w:left="853" w:firstLine="0"/>
          </w:pPr>
          <w:hyperlink w:history="true" w:anchor="_TOC_250004">
            <w:r>
              <w:rPr/>
              <w:t>Appendix B –</w:t>
            </w:r>
            <w:r>
              <w:rPr>
                <w:spacing w:val="2"/>
              </w:rPr>
              <w:t> </w:t>
            </w:r>
            <w:r>
              <w:rPr/>
              <w:t>Baseline</w:t>
            </w:r>
            <w:r>
              <w:rPr>
                <w:spacing w:val="-1"/>
              </w:rPr>
              <w:t> </w:t>
            </w:r>
            <w:r>
              <w:rPr/>
              <w:t>Data</w:t>
            </w:r>
            <w:r>
              <w:rPr>
                <w:rFonts w:ascii="Times New Roman" w:hAnsi="Times New Roman"/>
                <w:b w:val="0"/>
              </w:rPr>
              <w:tab/>
            </w:r>
            <w:r>
              <w:rPr/>
              <w:t>14</w:t>
            </w:r>
          </w:hyperlink>
        </w:p>
        <w:p>
          <w:pPr>
            <w:pStyle w:val="TOC2"/>
            <w:tabs>
              <w:tab w:pos="9757" w:val="right" w:leader="dot"/>
            </w:tabs>
            <w:ind w:left="853" w:firstLine="0"/>
          </w:pPr>
          <w:hyperlink w:history="true" w:anchor="_TOC_250003">
            <w:r>
              <w:rPr/>
              <w:t>Appendix C – Leeds Sustainability</w:t>
            </w:r>
            <w:r>
              <w:rPr>
                <w:spacing w:val="-1"/>
              </w:rPr>
              <w:t> </w:t>
            </w:r>
            <w:r>
              <w:rPr/>
              <w:t>Appraisal</w:t>
            </w:r>
            <w:r>
              <w:rPr>
                <w:spacing w:val="-1"/>
              </w:rPr>
              <w:t> </w:t>
            </w:r>
            <w:r>
              <w:rPr/>
              <w:t>Framework</w:t>
            </w:r>
            <w:r>
              <w:rPr>
                <w:rFonts w:ascii="Times New Roman" w:hAnsi="Times New Roman"/>
                <w:b w:val="0"/>
              </w:rPr>
              <w:tab/>
            </w:r>
            <w:r>
              <w:rPr/>
              <w:t>15</w:t>
            </w:r>
          </w:hyperlink>
        </w:p>
        <w:p>
          <w:pPr>
            <w:pStyle w:val="TOC2"/>
            <w:tabs>
              <w:tab w:pos="9757" w:val="right" w:leader="dot"/>
            </w:tabs>
            <w:spacing w:before="139"/>
            <w:ind w:left="853" w:firstLine="0"/>
          </w:pPr>
          <w:hyperlink w:history="true" w:anchor="_TOC_250002">
            <w:r>
              <w:rPr/>
              <w:t>Appendix D – List</w:t>
            </w:r>
            <w:r>
              <w:rPr>
                <w:spacing w:val="1"/>
              </w:rPr>
              <w:t> </w:t>
            </w:r>
            <w:r>
              <w:rPr/>
              <w:t>of Measures</w:t>
            </w:r>
            <w:r>
              <w:rPr>
                <w:rFonts w:ascii="Times New Roman" w:hAnsi="Times New Roman"/>
                <w:b w:val="0"/>
              </w:rPr>
              <w:tab/>
            </w:r>
            <w:r>
              <w:rPr/>
              <w:t>17</w:t>
            </w:r>
          </w:hyperlink>
        </w:p>
        <w:p>
          <w:pPr>
            <w:pStyle w:val="TOC2"/>
            <w:tabs>
              <w:tab w:pos="9758" w:val="right" w:leader="dot"/>
            </w:tabs>
            <w:ind w:left="853" w:firstLine="0"/>
          </w:pPr>
          <w:hyperlink w:history="true" w:anchor="_TOC_250001">
            <w:r>
              <w:rPr/>
              <w:t>Appendix E – Summary of SEA</w:t>
            </w:r>
            <w:r>
              <w:rPr>
                <w:spacing w:val="-1"/>
              </w:rPr>
              <w:t> </w:t>
            </w:r>
            <w:r>
              <w:rPr/>
              <w:t>Workshop</w:t>
            </w:r>
            <w:r>
              <w:rPr>
                <w:spacing w:val="-1"/>
              </w:rPr>
              <w:t> </w:t>
            </w:r>
            <w:r>
              <w:rPr/>
              <w:t>Discussions</w:t>
            </w:r>
            <w:r>
              <w:rPr>
                <w:rFonts w:ascii="Times New Roman" w:hAnsi="Times New Roman"/>
                <w:b w:val="0"/>
              </w:rPr>
              <w:tab/>
            </w:r>
            <w:r>
              <w:rPr/>
              <w:t>20</w:t>
            </w:r>
          </w:hyperlink>
        </w:p>
        <w:p>
          <w:pPr>
            <w:pStyle w:val="TOC2"/>
            <w:tabs>
              <w:tab w:pos="9756" w:val="right" w:leader="dot"/>
            </w:tabs>
            <w:spacing w:before="139"/>
            <w:ind w:left="853" w:firstLine="0"/>
          </w:pPr>
          <w:hyperlink w:history="true" w:anchor="_TOC_250000">
            <w:r>
              <w:rPr/>
              <w:t>Appendix F – Climate Proofing</w:t>
            </w:r>
            <w:r>
              <w:rPr>
                <w:spacing w:val="-1"/>
              </w:rPr>
              <w:t> </w:t>
            </w:r>
            <w:r>
              <w:rPr/>
              <w:t>Assessment</w:t>
            </w:r>
            <w:r>
              <w:rPr>
                <w:rFonts w:ascii="Times New Roman" w:hAnsi="Times New Roman"/>
                <w:b w:val="0"/>
              </w:rPr>
              <w:tab/>
            </w:r>
            <w:r>
              <w:rPr/>
              <w:t>45</w:t>
            </w:r>
          </w:hyperlink>
        </w:p>
      </w:sdtContent>
    </w:sdt>
    <w:p>
      <w:pPr>
        <w:spacing w:after="0"/>
        <w:sectPr>
          <w:type w:val="continuous"/>
          <w:pgSz w:w="11910" w:h="16840"/>
          <w:pgMar w:top="1220" w:bottom="0" w:left="1040" w:right="520"/>
        </w:sectPr>
      </w:pPr>
    </w:p>
    <w:p>
      <w:pPr>
        <w:pStyle w:val="ListParagraph"/>
        <w:numPr>
          <w:ilvl w:val="0"/>
          <w:numId w:val="22"/>
        </w:numPr>
        <w:tabs>
          <w:tab w:pos="760" w:val="left" w:leader="none"/>
        </w:tabs>
        <w:spacing w:line="240" w:lineRule="auto" w:before="78" w:after="0"/>
        <w:ind w:left="759" w:right="0" w:hanging="359"/>
        <w:jc w:val="both"/>
        <w:rPr>
          <w:b/>
          <w:sz w:val="24"/>
        </w:rPr>
      </w:pPr>
      <w:bookmarkStart w:name="_TOC_250024" w:id="75"/>
      <w:r>
        <w:rPr>
          <w:b/>
          <w:sz w:val="24"/>
        </w:rPr>
        <w:t>Executive</w:t>
      </w:r>
      <w:r>
        <w:rPr>
          <w:b/>
          <w:spacing w:val="-1"/>
          <w:sz w:val="24"/>
        </w:rPr>
        <w:t> </w:t>
      </w:r>
      <w:bookmarkEnd w:id="75"/>
      <w:r>
        <w:rPr>
          <w:b/>
          <w:sz w:val="24"/>
        </w:rPr>
        <w:t>Summary</w:t>
      </w:r>
    </w:p>
    <w:p>
      <w:pPr>
        <w:pStyle w:val="BodyText"/>
        <w:spacing w:before="2"/>
        <w:rPr>
          <w:b/>
          <w:sz w:val="29"/>
        </w:rPr>
      </w:pPr>
    </w:p>
    <w:p>
      <w:pPr>
        <w:pStyle w:val="Heading3"/>
        <w:ind w:right="915"/>
        <w:jc w:val="both"/>
      </w:pPr>
      <w:r>
        <w:rPr/>
        <w:t>This report has been produced to document the Strategic Environmental Assessment (SEA) undertaken on the Council’s Local Flood Risk Management Strategy (LFRMS). An SEA is required in order to comply with the Environmental Assessment of Plans and Programmes Regulations 2004. Leeds City Council is required under Section 9 of the Flood and Water Management Act (FWMA), to develop, maintain, apply and monitor a LFRMS for the metropolitan district of Leeds to guide all flood risk management activities</w:t>
      </w:r>
      <w:r>
        <w:rPr>
          <w:spacing w:val="-9"/>
        </w:rPr>
        <w:t> </w:t>
      </w:r>
      <w:r>
        <w:rPr/>
        <w:t>undertaken.</w:t>
      </w:r>
    </w:p>
    <w:p>
      <w:pPr>
        <w:pStyle w:val="BodyText"/>
        <w:rPr>
          <w:sz w:val="24"/>
        </w:rPr>
      </w:pPr>
    </w:p>
    <w:p>
      <w:pPr>
        <w:pStyle w:val="Heading3"/>
        <w:ind w:right="915"/>
        <w:jc w:val="both"/>
      </w:pPr>
      <w:r>
        <w:rPr/>
        <w:t>The Leeds Sustainability Appraisal Framework, developed by the Council’s Sustainable Development Unit has been used to structure the SEA process and ensure compliance with legislation. This framework promotes sustainable development: development that “meets the needs of the present without compromising the ability of future generations to meet their own needs” (Brundtland Commission, 1987).</w:t>
      </w:r>
    </w:p>
    <w:p>
      <w:pPr>
        <w:pStyle w:val="BodyText"/>
        <w:rPr>
          <w:sz w:val="24"/>
        </w:rPr>
      </w:pPr>
    </w:p>
    <w:p>
      <w:pPr>
        <w:pStyle w:val="Heading3"/>
        <w:ind w:right="915"/>
        <w:jc w:val="both"/>
      </w:pPr>
      <w:r>
        <w:rPr/>
        <w:t>The appraisal of the LFRMS principally comprised a workshop session on 5</w:t>
      </w:r>
      <w:r>
        <w:rPr>
          <w:vertAlign w:val="superscript"/>
        </w:rPr>
        <w:t>th</w:t>
      </w:r>
      <w:r>
        <w:rPr>
          <w:vertAlign w:val="baseline"/>
        </w:rPr>
        <w:t> July 2012 where internal departments and external partner organisations reviewed the LFRMS to appraise its performance against various sustainability objectives. The feedback provided at this workshop session has been incorporated in the final version of the LFRMS. The appraisal process focused on the ‘Objectives for managing local flood risk’, which steer the overall direction of the LFRMS. Consequently, the LFRMS ‘Objectives’ have been strengthened to provide greater clarity, improve consideration of a wider range of factors and promote sustainable flood risk management; which includes the addition of a sixth</w:t>
      </w:r>
      <w:r>
        <w:rPr>
          <w:spacing w:val="-16"/>
          <w:vertAlign w:val="baseline"/>
        </w:rPr>
        <w:t> </w:t>
      </w:r>
      <w:r>
        <w:rPr>
          <w:vertAlign w:val="baseline"/>
        </w:rPr>
        <w:t>objective.</w:t>
      </w:r>
    </w:p>
    <w:p>
      <w:pPr>
        <w:pStyle w:val="BodyText"/>
        <w:spacing w:before="1"/>
        <w:rPr>
          <w:sz w:val="24"/>
        </w:rPr>
      </w:pPr>
    </w:p>
    <w:p>
      <w:pPr>
        <w:pStyle w:val="Heading3"/>
        <w:ind w:right="916"/>
        <w:jc w:val="both"/>
      </w:pPr>
      <w:r>
        <w:rPr/>
        <w:t>In order to effectively monitor the implementation of the LFRMS and its success in managing flood risk in Leeds eight monitoring indicators have been established; these are presented in Chapter 6 of this SEA report. Reviews of these monitoring indicators will be undertaken concurrently with reviews of the ‘List of Measures’.</w:t>
      </w:r>
    </w:p>
    <w:p>
      <w:pPr>
        <w:spacing w:after="0"/>
        <w:jc w:val="both"/>
        <w:sectPr>
          <w:pgSz w:w="11910" w:h="16840"/>
          <w:pgMar w:header="0" w:footer="906" w:top="1580" w:bottom="1100" w:left="1040" w:right="520"/>
        </w:sectPr>
      </w:pPr>
    </w:p>
    <w:p>
      <w:pPr>
        <w:pStyle w:val="ListParagraph"/>
        <w:numPr>
          <w:ilvl w:val="0"/>
          <w:numId w:val="22"/>
        </w:numPr>
        <w:tabs>
          <w:tab w:pos="760" w:val="left" w:leader="none"/>
        </w:tabs>
        <w:spacing w:line="240" w:lineRule="auto" w:before="78" w:after="0"/>
        <w:ind w:left="759" w:right="0" w:hanging="359"/>
        <w:jc w:val="both"/>
        <w:rPr>
          <w:b/>
          <w:sz w:val="24"/>
        </w:rPr>
      </w:pPr>
      <w:bookmarkStart w:name="_TOC_250023" w:id="76"/>
      <w:bookmarkEnd w:id="76"/>
      <w:r>
        <w:rPr>
          <w:b/>
          <w:sz w:val="24"/>
        </w:rPr>
        <w:t>Introduction</w:t>
      </w:r>
    </w:p>
    <w:p>
      <w:pPr>
        <w:pStyle w:val="BodyText"/>
        <w:spacing w:before="9"/>
        <w:rPr>
          <w:b/>
          <w:sz w:val="20"/>
        </w:rPr>
      </w:pPr>
    </w:p>
    <w:p>
      <w:pPr>
        <w:pStyle w:val="Heading2"/>
        <w:numPr>
          <w:ilvl w:val="1"/>
          <w:numId w:val="22"/>
        </w:numPr>
        <w:tabs>
          <w:tab w:pos="1080" w:val="left" w:leader="none"/>
        </w:tabs>
        <w:spacing w:line="240" w:lineRule="auto" w:before="1" w:after="0"/>
        <w:ind w:left="1079" w:right="0" w:hanging="679"/>
        <w:jc w:val="both"/>
      </w:pPr>
      <w:bookmarkStart w:name="_TOC_250022" w:id="77"/>
      <w:r>
        <w:rPr/>
        <w:t>Local Flood Risk Management</w:t>
      </w:r>
      <w:r>
        <w:rPr>
          <w:spacing w:val="-3"/>
        </w:rPr>
        <w:t> </w:t>
      </w:r>
      <w:bookmarkEnd w:id="77"/>
      <w:r>
        <w:rPr/>
        <w:t>Strategy</w:t>
      </w:r>
    </w:p>
    <w:p>
      <w:pPr>
        <w:pStyle w:val="BodyText"/>
        <w:spacing w:before="2"/>
        <w:rPr>
          <w:b/>
          <w:sz w:val="29"/>
        </w:rPr>
      </w:pPr>
    </w:p>
    <w:p>
      <w:pPr>
        <w:pStyle w:val="Heading3"/>
        <w:ind w:right="916"/>
        <w:jc w:val="both"/>
      </w:pPr>
      <w:r>
        <w:rPr/>
        <w:t>As Lead Local Flood Authority (LLFA), Leeds City Council is required under Section 9 of the Flood and Water Management Act (FWMA), to develop, maintain, apply and monitor a strategy for local flood risk management – a “Local Flood Risk Management Strategy”</w:t>
      </w:r>
      <w:r>
        <w:rPr>
          <w:spacing w:val="-2"/>
        </w:rPr>
        <w:t> </w:t>
      </w:r>
      <w:r>
        <w:rPr/>
        <w:t>(LFRMS).</w:t>
      </w:r>
    </w:p>
    <w:p>
      <w:pPr>
        <w:pStyle w:val="BodyText"/>
        <w:rPr>
          <w:sz w:val="24"/>
        </w:rPr>
      </w:pPr>
    </w:p>
    <w:p>
      <w:pPr>
        <w:pStyle w:val="Heading3"/>
        <w:ind w:right="915"/>
        <w:jc w:val="both"/>
      </w:pPr>
      <w:r>
        <w:rPr/>
        <w:t>The scope of the LFRMS covers all sources of flooding including Main River  flooding, although this is primarily the Environment Agency’s responsibility, but it focuses more specifically on ‘local flooding’ which originates from ordinary watercourses, surface water, sewers (rainfall only) and</w:t>
      </w:r>
      <w:r>
        <w:rPr>
          <w:spacing w:val="-12"/>
        </w:rPr>
        <w:t> </w:t>
      </w:r>
      <w:r>
        <w:rPr/>
        <w:t>groundwater.</w:t>
      </w:r>
    </w:p>
    <w:p>
      <w:pPr>
        <w:pStyle w:val="BodyText"/>
        <w:rPr>
          <w:sz w:val="24"/>
        </w:rPr>
      </w:pPr>
    </w:p>
    <w:p>
      <w:pPr>
        <w:pStyle w:val="Heading3"/>
        <w:ind w:right="915"/>
        <w:jc w:val="both"/>
      </w:pPr>
      <w:r>
        <w:rPr/>
        <w:t>The purpose of the LFRMS is to guide the flood risk management activities undertaken by Risk Management Authorities operating in the metropolitan district of Leeds; namely, Leeds City Council, the Environment Agency, Yorkshire Water Services, Ainsty Internal Drainage Board and the Highways</w:t>
      </w:r>
      <w:r>
        <w:rPr>
          <w:spacing w:val="-6"/>
        </w:rPr>
        <w:t> </w:t>
      </w:r>
      <w:r>
        <w:rPr/>
        <w:t>Agency.</w:t>
      </w:r>
    </w:p>
    <w:p>
      <w:pPr>
        <w:pStyle w:val="BodyText"/>
        <w:rPr>
          <w:sz w:val="24"/>
        </w:rPr>
      </w:pPr>
    </w:p>
    <w:p>
      <w:pPr>
        <w:pStyle w:val="Heading3"/>
        <w:spacing w:before="1"/>
        <w:ind w:right="916"/>
        <w:jc w:val="both"/>
      </w:pPr>
      <w:r>
        <w:rPr/>
        <w:t>The five principal ‘Objectives for managing flood risk’ in Leeds, as specified in the LFRMS, are listed below. These are the </w:t>
      </w:r>
      <w:r>
        <w:rPr>
          <w:u w:val="single"/>
        </w:rPr>
        <w:t>first draft</w:t>
      </w:r>
      <w:r>
        <w:rPr/>
        <w:t> of the objectives which were issued prior to the appraisal of the LFRMS undertaken on the 5</w:t>
      </w:r>
      <w:r>
        <w:rPr>
          <w:vertAlign w:val="superscript"/>
        </w:rPr>
        <w:t>th</w:t>
      </w:r>
      <w:r>
        <w:rPr>
          <w:vertAlign w:val="baseline"/>
        </w:rPr>
        <w:t> July 2012. The </w:t>
      </w:r>
      <w:r>
        <w:rPr>
          <w:u w:val="single"/>
          <w:vertAlign w:val="baseline"/>
        </w:rPr>
        <w:t>updated</w:t>
      </w:r>
      <w:r>
        <w:rPr>
          <w:vertAlign w:val="baseline"/>
        </w:rPr>
        <w:t> version of the ‘Objectives for managing flood risk’ are presented in Chapter 5.</w:t>
      </w:r>
    </w:p>
    <w:p>
      <w:pPr>
        <w:pStyle w:val="BodyText"/>
        <w:spacing w:before="11"/>
      </w:pPr>
    </w:p>
    <w:p>
      <w:pPr>
        <w:pStyle w:val="Heading3"/>
        <w:numPr>
          <w:ilvl w:val="0"/>
          <w:numId w:val="23"/>
        </w:numPr>
        <w:tabs>
          <w:tab w:pos="1120" w:val="left" w:leader="none"/>
        </w:tabs>
        <w:spacing w:line="240" w:lineRule="auto" w:before="0" w:after="0"/>
        <w:ind w:left="1120" w:right="918" w:hanging="360"/>
        <w:jc w:val="both"/>
      </w:pPr>
      <w:r>
        <w:rPr/>
        <w:t>Improve co-operation between LLFA and other RMAs, in terms of procedure, to meet the requirements of new legislation and achieve holistic solutions to identified</w:t>
      </w:r>
      <w:r>
        <w:rPr>
          <w:spacing w:val="-1"/>
        </w:rPr>
        <w:t> </w:t>
      </w:r>
      <w:r>
        <w:rPr/>
        <w:t>risks/problems;</w:t>
      </w:r>
    </w:p>
    <w:p>
      <w:pPr>
        <w:pStyle w:val="BodyText"/>
        <w:rPr>
          <w:sz w:val="24"/>
        </w:rPr>
      </w:pPr>
    </w:p>
    <w:p>
      <w:pPr>
        <w:pStyle w:val="Heading3"/>
        <w:numPr>
          <w:ilvl w:val="0"/>
          <w:numId w:val="23"/>
        </w:numPr>
        <w:tabs>
          <w:tab w:pos="1120" w:val="left" w:leader="none"/>
        </w:tabs>
        <w:spacing w:line="240" w:lineRule="auto" w:before="0" w:after="0"/>
        <w:ind w:left="1120" w:right="913" w:hanging="360"/>
        <w:jc w:val="both"/>
      </w:pPr>
      <w:r>
        <w:rPr/>
        <w:t>Develop a consistent approach to planning and investment in flood risk management between RMAs (land allocation, sustainable development, climate change adaptation and emergency planning) and avoid duplication of effort or inefficient</w:t>
      </w:r>
      <w:r>
        <w:rPr>
          <w:spacing w:val="-4"/>
        </w:rPr>
        <w:t> </w:t>
      </w:r>
      <w:r>
        <w:rPr/>
        <w:t>investment;</w:t>
      </w:r>
    </w:p>
    <w:p>
      <w:pPr>
        <w:pStyle w:val="BodyText"/>
        <w:rPr>
          <w:sz w:val="24"/>
        </w:rPr>
      </w:pPr>
    </w:p>
    <w:p>
      <w:pPr>
        <w:pStyle w:val="Heading3"/>
        <w:numPr>
          <w:ilvl w:val="0"/>
          <w:numId w:val="23"/>
        </w:numPr>
        <w:tabs>
          <w:tab w:pos="1120" w:val="left" w:leader="none"/>
        </w:tabs>
        <w:spacing w:line="240" w:lineRule="auto" w:before="0" w:after="0"/>
        <w:ind w:left="1120" w:right="0" w:hanging="360"/>
        <w:jc w:val="left"/>
      </w:pPr>
      <w:r>
        <w:rPr/>
        <w:t>Increase internal skills and ultimately capacity for flood risk</w:t>
      </w:r>
      <w:r>
        <w:rPr>
          <w:spacing w:val="-11"/>
        </w:rPr>
        <w:t> </w:t>
      </w:r>
      <w:r>
        <w:rPr/>
        <w:t>management;</w:t>
      </w:r>
    </w:p>
    <w:p>
      <w:pPr>
        <w:pStyle w:val="BodyText"/>
        <w:rPr>
          <w:sz w:val="24"/>
        </w:rPr>
      </w:pPr>
    </w:p>
    <w:p>
      <w:pPr>
        <w:pStyle w:val="Heading3"/>
        <w:numPr>
          <w:ilvl w:val="0"/>
          <w:numId w:val="23"/>
        </w:numPr>
        <w:tabs>
          <w:tab w:pos="1120" w:val="left" w:leader="none"/>
        </w:tabs>
        <w:spacing w:line="240" w:lineRule="auto" w:before="0" w:after="0"/>
        <w:ind w:left="1120" w:right="916" w:hanging="360"/>
        <w:jc w:val="both"/>
      </w:pPr>
      <w:r>
        <w:rPr/>
        <w:t>Increase community awareness of the work of the LLFA and local flood risk and involve local communities in decision making – localism</w:t>
      </w:r>
      <w:r>
        <w:rPr>
          <w:spacing w:val="-19"/>
        </w:rPr>
        <w:t> </w:t>
      </w:r>
      <w:r>
        <w:rPr/>
        <w:t>agenda;</w:t>
      </w:r>
    </w:p>
    <w:p>
      <w:pPr>
        <w:pStyle w:val="BodyText"/>
        <w:rPr>
          <w:sz w:val="24"/>
        </w:rPr>
      </w:pPr>
    </w:p>
    <w:p>
      <w:pPr>
        <w:pStyle w:val="Heading3"/>
        <w:numPr>
          <w:ilvl w:val="0"/>
          <w:numId w:val="23"/>
        </w:numPr>
        <w:tabs>
          <w:tab w:pos="1120" w:val="left" w:leader="none"/>
        </w:tabs>
        <w:spacing w:line="240" w:lineRule="auto" w:before="0" w:after="0"/>
        <w:ind w:left="1120" w:right="917" w:hanging="360"/>
        <w:jc w:val="both"/>
      </w:pPr>
      <w:r>
        <w:rPr/>
        <w:t>Improve understanding of local flood risk and seek to decrease local flood risk through implementation of measures to alleviate flooding where</w:t>
      </w:r>
      <w:r>
        <w:rPr>
          <w:spacing w:val="-24"/>
        </w:rPr>
        <w:t> </w:t>
      </w:r>
      <w:r>
        <w:rPr/>
        <w:t>practicable.</w:t>
      </w:r>
    </w:p>
    <w:p>
      <w:pPr>
        <w:pStyle w:val="BodyText"/>
        <w:rPr>
          <w:sz w:val="26"/>
        </w:rPr>
      </w:pPr>
    </w:p>
    <w:p>
      <w:pPr>
        <w:pStyle w:val="Heading2"/>
        <w:numPr>
          <w:ilvl w:val="1"/>
          <w:numId w:val="22"/>
        </w:numPr>
        <w:tabs>
          <w:tab w:pos="1080" w:val="left" w:leader="none"/>
        </w:tabs>
        <w:spacing w:line="240" w:lineRule="auto" w:before="218" w:after="0"/>
        <w:ind w:left="1079" w:right="0" w:hanging="679"/>
        <w:jc w:val="both"/>
      </w:pPr>
      <w:bookmarkStart w:name="_TOC_250021" w:id="78"/>
      <w:r>
        <w:rPr/>
        <w:t>Strategic Environmental</w:t>
      </w:r>
      <w:r>
        <w:rPr>
          <w:spacing w:val="-2"/>
        </w:rPr>
        <w:t> </w:t>
      </w:r>
      <w:bookmarkEnd w:id="78"/>
      <w:r>
        <w:rPr/>
        <w:t>Assessment</w:t>
      </w:r>
    </w:p>
    <w:p>
      <w:pPr>
        <w:pStyle w:val="BodyText"/>
        <w:spacing w:before="2"/>
        <w:rPr>
          <w:b/>
          <w:sz w:val="29"/>
        </w:rPr>
      </w:pPr>
    </w:p>
    <w:p>
      <w:pPr>
        <w:pStyle w:val="Heading3"/>
        <w:ind w:right="914"/>
        <w:jc w:val="both"/>
      </w:pPr>
      <w:r>
        <w:rPr/>
        <w:t>The Strategic Environmental Assessment (SEA) Directive (2001) (EC Directive 2001/42/EC) is transposed into UK law as The Environmental Assessment of Plans and Programmes Regulations 2004. This legislation aims to increase the consideration of environmental issues during the decision making and preparation of</w:t>
      </w:r>
    </w:p>
    <w:p>
      <w:pPr>
        <w:spacing w:after="0"/>
        <w:jc w:val="both"/>
        <w:sectPr>
          <w:pgSz w:w="11910" w:h="16840"/>
          <w:pgMar w:header="0" w:footer="906" w:top="1580" w:bottom="1100" w:left="1040" w:right="520"/>
        </w:sectPr>
      </w:pPr>
    </w:p>
    <w:p>
      <w:pPr>
        <w:pStyle w:val="Heading3"/>
        <w:spacing w:before="78"/>
        <w:ind w:right="916"/>
        <w:jc w:val="both"/>
      </w:pPr>
      <w:r>
        <w:rPr/>
        <w:t>strategic level documents such as plans, programmes or strategies. The LFRMS is a statutory plan and is therefore subject to the requirements of The Environmental Assessment of Plans and Programmes Regulations 2004.</w:t>
      </w:r>
    </w:p>
    <w:p>
      <w:pPr>
        <w:pStyle w:val="BodyText"/>
        <w:spacing w:before="9"/>
        <w:rPr>
          <w:sz w:val="20"/>
        </w:rPr>
      </w:pPr>
    </w:p>
    <w:p>
      <w:pPr>
        <w:pStyle w:val="Heading2"/>
        <w:numPr>
          <w:ilvl w:val="1"/>
          <w:numId w:val="22"/>
        </w:numPr>
        <w:tabs>
          <w:tab w:pos="1080" w:val="left" w:leader="none"/>
        </w:tabs>
        <w:spacing w:line="240" w:lineRule="auto" w:before="1" w:after="0"/>
        <w:ind w:left="1079" w:right="0" w:hanging="679"/>
        <w:jc w:val="both"/>
      </w:pPr>
      <w:bookmarkStart w:name="_TOC_250020" w:id="79"/>
      <w:r>
        <w:rPr/>
        <w:t>Leeds Sustainability Appraisal</w:t>
      </w:r>
      <w:r>
        <w:rPr>
          <w:spacing w:val="-3"/>
        </w:rPr>
        <w:t> </w:t>
      </w:r>
      <w:bookmarkEnd w:id="79"/>
      <w:r>
        <w:rPr/>
        <w:t>Framework</w:t>
      </w:r>
    </w:p>
    <w:p>
      <w:pPr>
        <w:pStyle w:val="BodyText"/>
        <w:spacing w:before="2"/>
        <w:rPr>
          <w:b/>
          <w:sz w:val="29"/>
        </w:rPr>
      </w:pPr>
    </w:p>
    <w:p>
      <w:pPr>
        <w:pStyle w:val="Heading3"/>
        <w:ind w:right="914"/>
        <w:jc w:val="both"/>
      </w:pPr>
      <w:r>
        <w:rPr/>
        <w:t>The Council’s Sustainable Development Unit (SDU) developed its Sustainability Appraisal (SA) Framework in 2004 in anticipation of the introduction of the Planning Compulsory Purchase Act (2004) which requires SEA’s to be undertaken for all Development Plan Documents (DPD’s); and also the requirement for compliance with the SEA</w:t>
      </w:r>
      <w:r>
        <w:rPr>
          <w:spacing w:val="-3"/>
        </w:rPr>
        <w:t> </w:t>
      </w:r>
      <w:r>
        <w:rPr/>
        <w:t>Directive.</w:t>
      </w:r>
    </w:p>
    <w:p>
      <w:pPr>
        <w:pStyle w:val="BodyText"/>
        <w:rPr>
          <w:sz w:val="24"/>
        </w:rPr>
      </w:pPr>
    </w:p>
    <w:p>
      <w:pPr>
        <w:pStyle w:val="Heading3"/>
        <w:ind w:right="915"/>
        <w:jc w:val="both"/>
      </w:pPr>
      <w:r>
        <w:rPr/>
        <w:t>The scope of the SA Framework is to appraise the economic, environmental and social impacts of emerging DPD’s, policies and proposals against a set of identified objectives/criteria. The underlying purpose of this being to seek to improve the effectiveness of planning (and other strategic documents) in delivering sustainable development: development that “meets the needs of the present without compromising the ability of future generations to meet their own needs” (Brundtland Commission, 1987); and to ensure compliance with the SEA Directive.</w:t>
      </w:r>
    </w:p>
    <w:p>
      <w:pPr>
        <w:pStyle w:val="BodyText"/>
        <w:rPr>
          <w:sz w:val="24"/>
        </w:rPr>
      </w:pPr>
    </w:p>
    <w:p>
      <w:pPr>
        <w:pStyle w:val="Heading3"/>
        <w:spacing w:before="1"/>
        <w:ind w:right="914"/>
        <w:jc w:val="both"/>
      </w:pPr>
      <w:r>
        <w:rPr/>
        <w:t>Whilst the 2004 framework has enabled the systematic appraisal of documents against the requirements, it was felt by practitioners that there was considerable scope for improvement in terms of a more targeted and efficient process, to lead to clearer outcomes. Within this context, the Council has undertaken a number of reviews and revisions to the SA process, with the overall ambition to meet these important requirements.</w:t>
      </w:r>
    </w:p>
    <w:p>
      <w:pPr>
        <w:pStyle w:val="BodyText"/>
        <w:rPr>
          <w:sz w:val="24"/>
        </w:rPr>
      </w:pPr>
    </w:p>
    <w:p>
      <w:pPr>
        <w:pStyle w:val="Heading3"/>
        <w:ind w:right="916"/>
        <w:jc w:val="both"/>
      </w:pPr>
      <w:r>
        <w:rPr/>
        <w:t>To date several documents, including Supplementary Planning Documents (SPD), which previously required SEA’s have been appraised using this framework. The current revision of the framework, used in this SEA, was finalised in November 2011.</w:t>
      </w:r>
    </w:p>
    <w:p>
      <w:pPr>
        <w:pStyle w:val="BodyText"/>
        <w:rPr>
          <w:sz w:val="24"/>
        </w:rPr>
      </w:pPr>
    </w:p>
    <w:p>
      <w:pPr>
        <w:pStyle w:val="Heading3"/>
        <w:ind w:right="918"/>
        <w:jc w:val="both"/>
      </w:pPr>
      <w:r>
        <w:rPr/>
        <w:t>For more information on the development of the Leeds SA Framework refer to the document prepared by the Council’s SDU entitled ‘Leeds Sustainability Appraisal Revised Methodology, Version 5, November 2011.</w:t>
      </w:r>
    </w:p>
    <w:p>
      <w:pPr>
        <w:spacing w:after="0"/>
        <w:jc w:val="both"/>
        <w:sectPr>
          <w:pgSz w:w="11910" w:h="16840"/>
          <w:pgMar w:header="0" w:footer="906" w:top="1340" w:bottom="1100" w:left="1040" w:right="520"/>
        </w:sectPr>
      </w:pPr>
    </w:p>
    <w:p>
      <w:pPr>
        <w:pStyle w:val="ListParagraph"/>
        <w:numPr>
          <w:ilvl w:val="0"/>
          <w:numId w:val="22"/>
        </w:numPr>
        <w:tabs>
          <w:tab w:pos="1079" w:val="left" w:leader="none"/>
          <w:tab w:pos="1080" w:val="left" w:leader="none"/>
        </w:tabs>
        <w:spacing w:line="240" w:lineRule="auto" w:before="78" w:after="0"/>
        <w:ind w:left="1079" w:right="0" w:hanging="679"/>
        <w:jc w:val="left"/>
        <w:rPr>
          <w:b/>
          <w:sz w:val="24"/>
        </w:rPr>
      </w:pPr>
      <w:bookmarkStart w:name="_TOC_250019" w:id="80"/>
      <w:r>
        <w:rPr>
          <w:b/>
          <w:sz w:val="24"/>
        </w:rPr>
        <w:t>Appraisal</w:t>
      </w:r>
      <w:r>
        <w:rPr>
          <w:b/>
          <w:spacing w:val="-1"/>
          <w:sz w:val="24"/>
        </w:rPr>
        <w:t> </w:t>
      </w:r>
      <w:bookmarkEnd w:id="80"/>
      <w:r>
        <w:rPr>
          <w:b/>
          <w:sz w:val="24"/>
        </w:rPr>
        <w:t>Process</w:t>
      </w:r>
    </w:p>
    <w:p>
      <w:pPr>
        <w:pStyle w:val="BodyText"/>
        <w:spacing w:before="2"/>
        <w:rPr>
          <w:b/>
          <w:sz w:val="29"/>
        </w:rPr>
      </w:pPr>
    </w:p>
    <w:p>
      <w:pPr>
        <w:pStyle w:val="Heading3"/>
        <w:ind w:right="913"/>
        <w:jc w:val="both"/>
      </w:pPr>
      <w:r>
        <w:rPr/>
        <w:t>In order to facilitate the appraisal of the LFRMS using the Leeds SA Framework a full day workshop session was held on Thursday 5</w:t>
      </w:r>
      <w:r>
        <w:rPr>
          <w:vertAlign w:val="superscript"/>
        </w:rPr>
        <w:t>th</w:t>
      </w:r>
      <w:r>
        <w:rPr>
          <w:vertAlign w:val="baseline"/>
        </w:rPr>
        <w:t> July 2012 at Leeds Civic Hall. This was attended by representatives from Leeds City Council: Flood Risk Management, Emergency Planning, Sustainable Development and Transport Policy and also by the Environment Agency. The Workshop was facilitated by Dr Tom Knowland from SDU. A full list of workshop participants is included in Appendix</w:t>
      </w:r>
      <w:r>
        <w:rPr>
          <w:spacing w:val="-16"/>
          <w:vertAlign w:val="baseline"/>
        </w:rPr>
        <w:t> </w:t>
      </w:r>
      <w:r>
        <w:rPr>
          <w:vertAlign w:val="baseline"/>
        </w:rPr>
        <w:t>A.</w:t>
      </w:r>
    </w:p>
    <w:p>
      <w:pPr>
        <w:pStyle w:val="BodyText"/>
        <w:rPr>
          <w:sz w:val="24"/>
        </w:rPr>
      </w:pPr>
    </w:p>
    <w:p>
      <w:pPr>
        <w:pStyle w:val="Heading3"/>
      </w:pPr>
      <w:r>
        <w:rPr/>
        <w:t>The following appraisal process was followed:</w:t>
      </w:r>
    </w:p>
    <w:p>
      <w:pPr>
        <w:pStyle w:val="BodyText"/>
        <w:spacing w:before="1"/>
        <w:rPr>
          <w:sz w:val="24"/>
        </w:rPr>
      </w:pPr>
    </w:p>
    <w:p>
      <w:pPr>
        <w:pStyle w:val="Heading3"/>
        <w:numPr>
          <w:ilvl w:val="0"/>
          <w:numId w:val="24"/>
        </w:numPr>
        <w:tabs>
          <w:tab w:pos="1120" w:val="left" w:leader="none"/>
        </w:tabs>
        <w:spacing w:line="240" w:lineRule="auto" w:before="0" w:after="0"/>
        <w:ind w:left="1120" w:right="913" w:hanging="360"/>
        <w:jc w:val="both"/>
      </w:pPr>
      <w:r>
        <w:rPr/>
        <w:t>Baseline data, prepared in advance of the workshop by staff from the Council’s Flood Risk Management section, was presented and discussed. This included specific information on the risk of flooding in the Leeds district and the extent of drainage infrastructure; this data is included in Appendix B. In addition to this baseline data, other information was also provided on the day including copies of the ‘The State of the City Report – Leeds 2011’ which sets out key facts about the city, and the challenges that it faces and the Council’s Environmental Statement (EMAS) which documents the Council’s environmental performance over the past</w:t>
      </w:r>
      <w:r>
        <w:rPr>
          <w:spacing w:val="-1"/>
        </w:rPr>
        <w:t> </w:t>
      </w:r>
      <w:r>
        <w:rPr/>
        <w:t>year.</w:t>
      </w:r>
    </w:p>
    <w:p>
      <w:pPr>
        <w:pStyle w:val="BodyText"/>
        <w:spacing w:before="10"/>
      </w:pPr>
    </w:p>
    <w:p>
      <w:pPr>
        <w:pStyle w:val="Heading3"/>
        <w:numPr>
          <w:ilvl w:val="0"/>
          <w:numId w:val="24"/>
        </w:numPr>
        <w:tabs>
          <w:tab w:pos="1120" w:val="left" w:leader="none"/>
        </w:tabs>
        <w:spacing w:line="240" w:lineRule="auto" w:before="0" w:after="0"/>
        <w:ind w:left="1120" w:right="916" w:hanging="360"/>
        <w:jc w:val="both"/>
      </w:pPr>
      <w:r>
        <w:rPr/>
        <w:t>The revised SA Framework was explained and discussed. In the revised methodology eight of the twenty four sustainability appraisal objectives have been identified as ‘upstream’ objectives that could in turn lead to ‘midstream’ and ‘downstream effects. A complete list of the SA objectives is included in Appendix C. The LFRMS was tested in terms of its ‘upstream’ effects first,  and was then tested for related ‘midstream’ and ‘downstream’ effects associated with the upstream objective. More attention was paid in the SA process to the appraisal of upstream objectives as this should result in more positive outcomes for the associated downstream</w:t>
      </w:r>
      <w:r>
        <w:rPr>
          <w:spacing w:val="-11"/>
        </w:rPr>
        <w:t> </w:t>
      </w:r>
      <w:r>
        <w:rPr/>
        <w:t>effects.</w:t>
      </w:r>
    </w:p>
    <w:p>
      <w:pPr>
        <w:pStyle w:val="BodyText"/>
        <w:spacing w:before="8"/>
      </w:pPr>
    </w:p>
    <w:p>
      <w:pPr>
        <w:pStyle w:val="Heading3"/>
        <w:numPr>
          <w:ilvl w:val="0"/>
          <w:numId w:val="24"/>
        </w:numPr>
        <w:tabs>
          <w:tab w:pos="1120" w:val="left" w:leader="none"/>
        </w:tabs>
        <w:spacing w:line="240" w:lineRule="auto" w:before="1" w:after="0"/>
        <w:ind w:left="1120" w:right="915" w:hanging="360"/>
        <w:jc w:val="both"/>
      </w:pPr>
      <w:r>
        <w:rPr/>
        <w:t>Each of the five flood risk management objectives in the LFRMS was appraised along with the draft ‘List of Measures’ (Action Plan) included in Appendix D, although this is subject to revision. The focus of the appraisal was firmly on making the LFRMS as sustainable as possible: the appraisal process was used as a checklist and trigger for discussion about whether the LFRMS says the right things in the right way, rather than an end in itself. The SA process also included a Health and Equality Impact Assessment and a Climate Proofing</w:t>
      </w:r>
      <w:r>
        <w:rPr>
          <w:spacing w:val="-2"/>
        </w:rPr>
        <w:t> </w:t>
      </w:r>
      <w:r>
        <w:rPr/>
        <w:t>Assessment.</w:t>
      </w:r>
    </w:p>
    <w:p>
      <w:pPr>
        <w:pStyle w:val="BodyText"/>
        <w:spacing w:before="10"/>
      </w:pPr>
    </w:p>
    <w:p>
      <w:pPr>
        <w:pStyle w:val="Heading3"/>
        <w:numPr>
          <w:ilvl w:val="0"/>
          <w:numId w:val="24"/>
        </w:numPr>
        <w:tabs>
          <w:tab w:pos="1120" w:val="left" w:leader="none"/>
        </w:tabs>
        <w:spacing w:line="240" w:lineRule="auto" w:before="0" w:after="0"/>
        <w:ind w:left="1120" w:right="916" w:hanging="360"/>
        <w:jc w:val="both"/>
      </w:pPr>
      <w:r>
        <w:rPr/>
        <w:t>Comments made during the discussions, and suggestions for changing the LFRMS to make it more sustainable, were documented and written up. A summary of the discussions are included in Appendix E for the SA and Appendix F for the Climate Proofing</w:t>
      </w:r>
      <w:r>
        <w:rPr>
          <w:spacing w:val="-5"/>
        </w:rPr>
        <w:t> </w:t>
      </w:r>
      <w:r>
        <w:rPr/>
        <w:t>Assessment.</w:t>
      </w:r>
    </w:p>
    <w:p>
      <w:pPr>
        <w:spacing w:after="0" w:line="240" w:lineRule="auto"/>
        <w:jc w:val="both"/>
        <w:sectPr>
          <w:pgSz w:w="11910" w:h="16840"/>
          <w:pgMar w:header="0" w:footer="906" w:top="1580" w:bottom="1100" w:left="1040" w:right="520"/>
        </w:sectPr>
      </w:pPr>
    </w:p>
    <w:p>
      <w:pPr>
        <w:pStyle w:val="ListParagraph"/>
        <w:numPr>
          <w:ilvl w:val="0"/>
          <w:numId w:val="22"/>
        </w:numPr>
        <w:tabs>
          <w:tab w:pos="760" w:val="left" w:leader="none"/>
        </w:tabs>
        <w:spacing w:line="240" w:lineRule="auto" w:before="78" w:after="0"/>
        <w:ind w:left="759" w:right="0" w:hanging="359"/>
        <w:jc w:val="both"/>
        <w:rPr>
          <w:b/>
          <w:sz w:val="24"/>
        </w:rPr>
      </w:pPr>
      <w:bookmarkStart w:name="_TOC_250018" w:id="81"/>
      <w:r>
        <w:rPr>
          <w:b/>
          <w:sz w:val="24"/>
        </w:rPr>
        <w:t>Appraisal</w:t>
      </w:r>
      <w:r>
        <w:rPr>
          <w:b/>
          <w:spacing w:val="-1"/>
          <w:sz w:val="24"/>
        </w:rPr>
        <w:t> </w:t>
      </w:r>
      <w:bookmarkEnd w:id="81"/>
      <w:r>
        <w:rPr>
          <w:b/>
          <w:sz w:val="24"/>
        </w:rPr>
        <w:t>Findings</w:t>
      </w:r>
    </w:p>
    <w:p>
      <w:pPr>
        <w:pStyle w:val="BodyText"/>
        <w:spacing w:before="9"/>
        <w:rPr>
          <w:b/>
          <w:sz w:val="20"/>
        </w:rPr>
      </w:pPr>
    </w:p>
    <w:p>
      <w:pPr>
        <w:pStyle w:val="Heading2"/>
        <w:numPr>
          <w:ilvl w:val="1"/>
          <w:numId w:val="22"/>
        </w:numPr>
        <w:tabs>
          <w:tab w:pos="1080" w:val="left" w:leader="none"/>
        </w:tabs>
        <w:spacing w:line="240" w:lineRule="auto" w:before="1" w:after="0"/>
        <w:ind w:left="1079" w:right="0" w:hanging="679"/>
        <w:jc w:val="both"/>
      </w:pPr>
      <w:bookmarkStart w:name="_TOC_250017" w:id="82"/>
      <w:bookmarkEnd w:id="82"/>
      <w:r>
        <w:rPr/>
        <w:t>Summary</w:t>
      </w:r>
    </w:p>
    <w:p>
      <w:pPr>
        <w:pStyle w:val="Heading3"/>
        <w:spacing w:before="60"/>
        <w:ind w:right="915"/>
        <w:jc w:val="both"/>
      </w:pPr>
      <w:r>
        <w:rPr/>
        <w:t>The sustainability appraisal undertaken confirmed that the LFRMS should have very positive impacts in terms of reducing and managing the risk of flooding, encouraging sustainable development and drainage design, contributing to economic success, increasing the quality and number of green spaces, raising public awareness of flood risk, promoting social inclusion and ensuring the operation of key transport infrastructure during flood events. In doing so, it should also increase support for regeneration and promote the remediation and development of Brownfield sites. A more detailed summary of the SA discussions is included in Appendix E.</w:t>
      </w:r>
    </w:p>
    <w:p>
      <w:pPr>
        <w:pStyle w:val="BodyText"/>
        <w:rPr>
          <w:sz w:val="26"/>
        </w:rPr>
      </w:pPr>
    </w:p>
    <w:p>
      <w:pPr>
        <w:pStyle w:val="Heading2"/>
        <w:numPr>
          <w:ilvl w:val="1"/>
          <w:numId w:val="22"/>
        </w:numPr>
        <w:tabs>
          <w:tab w:pos="1080" w:val="left" w:leader="none"/>
        </w:tabs>
        <w:spacing w:line="240" w:lineRule="auto" w:before="217" w:after="0"/>
        <w:ind w:left="1079" w:right="0" w:hanging="679"/>
        <w:jc w:val="both"/>
      </w:pPr>
      <w:bookmarkStart w:name="_TOC_250016" w:id="83"/>
      <w:bookmarkEnd w:id="83"/>
      <w:r>
        <w:rPr/>
        <w:t>Environment</w:t>
      </w:r>
    </w:p>
    <w:p>
      <w:pPr>
        <w:pStyle w:val="Heading3"/>
        <w:spacing w:before="60"/>
        <w:ind w:right="914"/>
        <w:jc w:val="both"/>
      </w:pPr>
      <w:r>
        <w:rPr/>
        <w:t>There is potential that measures in the ‘List of measures’ involving construction related activities will have a detrimental impact on the wider environment both visual and environmental. Therefore, rewording objectives in the LFRMS to put a greater focus on high quality sustainable design of Sustainable Drainage Systems (SuDS) and flood alleviation schemes will ensure that the public realm is enhanced and will also promote greater pride in place and provide environmental improvements. Sustainable construction techniques will also keep resource consumption low and promote the use of recycled materials and low carbon alternatives.</w:t>
      </w:r>
    </w:p>
    <w:p>
      <w:pPr>
        <w:pStyle w:val="BodyText"/>
        <w:rPr>
          <w:sz w:val="24"/>
        </w:rPr>
      </w:pPr>
    </w:p>
    <w:p>
      <w:pPr>
        <w:pStyle w:val="Heading3"/>
        <w:ind w:right="917"/>
        <w:jc w:val="both"/>
      </w:pPr>
      <w:r>
        <w:rPr/>
        <w:t>In addition, the LFRMS has significant potential to improve the public realm and provide new recreational opportunities. The promotion of SuDS and green corridors will enhance local environments and provide new amenities there may also be opportunities with the implementation of the ‘List of Measures’ to provide regeneration opportunities on contaminated sites through land</w:t>
      </w:r>
      <w:r>
        <w:rPr>
          <w:spacing w:val="-10"/>
        </w:rPr>
        <w:t> </w:t>
      </w:r>
      <w:r>
        <w:rPr/>
        <w:t>remediation.</w:t>
      </w:r>
    </w:p>
    <w:p>
      <w:pPr>
        <w:pStyle w:val="BodyText"/>
        <w:rPr>
          <w:sz w:val="24"/>
        </w:rPr>
      </w:pPr>
    </w:p>
    <w:p>
      <w:pPr>
        <w:pStyle w:val="Heading3"/>
        <w:ind w:right="913"/>
        <w:jc w:val="both"/>
      </w:pPr>
      <w:r>
        <w:rPr/>
        <w:t>Fine-tuning of the flood risk management objectives in the LFRMS to put greater emphasis on ensuring that the Water Framework Directive is complied with in the implementation of measures will also ensure that water quality and biodiversity are enhanced.</w:t>
      </w:r>
    </w:p>
    <w:p>
      <w:pPr>
        <w:pStyle w:val="BodyText"/>
        <w:rPr>
          <w:sz w:val="26"/>
        </w:rPr>
      </w:pPr>
    </w:p>
    <w:p>
      <w:pPr>
        <w:pStyle w:val="Heading2"/>
        <w:numPr>
          <w:ilvl w:val="1"/>
          <w:numId w:val="22"/>
        </w:numPr>
        <w:tabs>
          <w:tab w:pos="1080" w:val="left" w:leader="none"/>
        </w:tabs>
        <w:spacing w:line="240" w:lineRule="auto" w:before="217" w:after="0"/>
        <w:ind w:left="1079" w:right="0" w:hanging="679"/>
        <w:jc w:val="both"/>
      </w:pPr>
      <w:bookmarkStart w:name="_TOC_250015" w:id="84"/>
      <w:r>
        <w:rPr/>
        <w:t>Education and</w:t>
      </w:r>
      <w:r>
        <w:rPr>
          <w:spacing w:val="-2"/>
        </w:rPr>
        <w:t> </w:t>
      </w:r>
      <w:bookmarkEnd w:id="84"/>
      <w:r>
        <w:rPr/>
        <w:t>Training</w:t>
      </w:r>
    </w:p>
    <w:p>
      <w:pPr>
        <w:pStyle w:val="Heading3"/>
        <w:spacing w:before="60"/>
        <w:ind w:right="915"/>
        <w:jc w:val="both"/>
      </w:pPr>
      <w:r>
        <w:rPr/>
        <w:t>The LFRMS objectives will provide a minimal increase in external education and training opportunities; although there may be some indirect increases through job opportunities on the River Aire Flood Alleviation Scheme for example. However, the LFRMS objectives do provide opportunities for the development of internal Council staff to meet the requirements of new legislation and improve the Council’s understanding of flood risk and its capacity for flood risk management.</w:t>
      </w:r>
    </w:p>
    <w:p>
      <w:pPr>
        <w:pStyle w:val="BodyText"/>
        <w:rPr>
          <w:sz w:val="26"/>
        </w:rPr>
      </w:pPr>
    </w:p>
    <w:p>
      <w:pPr>
        <w:pStyle w:val="Heading2"/>
        <w:numPr>
          <w:ilvl w:val="1"/>
          <w:numId w:val="22"/>
        </w:numPr>
        <w:tabs>
          <w:tab w:pos="1080" w:val="left" w:leader="none"/>
        </w:tabs>
        <w:spacing w:line="240" w:lineRule="auto" w:before="218" w:after="0"/>
        <w:ind w:left="1079" w:right="0" w:hanging="679"/>
        <w:jc w:val="both"/>
      </w:pPr>
      <w:bookmarkStart w:name="_TOC_250014" w:id="85"/>
      <w:bookmarkEnd w:id="85"/>
      <w:r>
        <w:rPr/>
        <w:t>Cooperation</w:t>
      </w:r>
    </w:p>
    <w:p>
      <w:pPr>
        <w:pStyle w:val="Heading3"/>
        <w:spacing w:before="60"/>
        <w:ind w:right="915"/>
        <w:jc w:val="both"/>
      </w:pPr>
      <w:r>
        <w:rPr/>
        <w:t>New legislation, such as the Flood and Water Management Act (2010) have been the drivers for closer cooperation and planning between risk management authorities. There is a need to improve engagement with local communities on the current and projected impacts of climate change; in particular, overcoming</w:t>
      </w:r>
      <w:r>
        <w:rPr>
          <w:spacing w:val="61"/>
        </w:rPr>
        <w:t> </w:t>
      </w:r>
      <w:r>
        <w:rPr/>
        <w:t>the</w:t>
      </w:r>
    </w:p>
    <w:p>
      <w:pPr>
        <w:spacing w:after="0"/>
        <w:jc w:val="both"/>
        <w:sectPr>
          <w:pgSz w:w="11910" w:h="16840"/>
          <w:pgMar w:header="0" w:footer="906" w:top="1580" w:bottom="1100" w:left="1040" w:right="520"/>
        </w:sectPr>
      </w:pPr>
    </w:p>
    <w:p>
      <w:pPr>
        <w:pStyle w:val="Heading3"/>
        <w:spacing w:before="78"/>
        <w:ind w:right="914"/>
        <w:jc w:val="both"/>
      </w:pPr>
      <w:r>
        <w:rPr/>
        <w:t>apathy of residents, which is considered to be a key problem. Work is ongoing by the EA and the Council to improve understanding of flood risk and promote cost effective solutions to flooding problems; for example: partnership funding and property level protection and resilience schemes.</w:t>
      </w:r>
    </w:p>
    <w:p>
      <w:pPr>
        <w:pStyle w:val="BodyText"/>
        <w:spacing w:before="11"/>
      </w:pPr>
    </w:p>
    <w:p>
      <w:pPr>
        <w:pStyle w:val="Heading3"/>
        <w:ind w:right="916"/>
        <w:jc w:val="both"/>
      </w:pPr>
      <w:r>
        <w:rPr/>
        <w:t>Rewording the LFRMS objectives to promote greater community inclusion and engagement rather than just increasing community awareness of flood risk as at present will also more proactive engagement with local communities.</w:t>
      </w:r>
    </w:p>
    <w:p>
      <w:pPr>
        <w:pStyle w:val="BodyText"/>
        <w:rPr>
          <w:sz w:val="26"/>
        </w:rPr>
      </w:pPr>
    </w:p>
    <w:p>
      <w:pPr>
        <w:pStyle w:val="Heading2"/>
        <w:numPr>
          <w:ilvl w:val="1"/>
          <w:numId w:val="22"/>
        </w:numPr>
        <w:tabs>
          <w:tab w:pos="1080" w:val="left" w:leader="none"/>
        </w:tabs>
        <w:spacing w:line="240" w:lineRule="auto" w:before="217" w:after="0"/>
        <w:ind w:left="1079" w:right="0" w:hanging="679"/>
        <w:jc w:val="both"/>
      </w:pPr>
      <w:bookmarkStart w:name="_TOC_250013" w:id="86"/>
      <w:bookmarkEnd w:id="86"/>
      <w:r>
        <w:rPr/>
        <w:t>Economy</w:t>
      </w:r>
    </w:p>
    <w:p>
      <w:pPr>
        <w:pStyle w:val="Heading3"/>
        <w:spacing w:before="60"/>
        <w:ind w:right="916"/>
        <w:jc w:val="both"/>
      </w:pPr>
      <w:r>
        <w:rPr/>
        <w:t>The LFRMS objectives encourage efficient investment in flood risk management, this is investment which provides benefits to the local economy in terms of reduced flood damage and disruption and an increase in economic opportunities. There are measures in the ‘List of Measures’ which will undoubtedly bring significant benefits to the economy of Leeds. This is particularly the case with the River Aire Flood Alleviation Scheme, the first item in the ‘List of Measures’, which will help secure the long-term economic success of businesses in Leeds city centre.</w:t>
      </w:r>
    </w:p>
    <w:p>
      <w:pPr>
        <w:pStyle w:val="BodyText"/>
        <w:rPr>
          <w:sz w:val="26"/>
        </w:rPr>
      </w:pPr>
    </w:p>
    <w:p>
      <w:pPr>
        <w:pStyle w:val="Heading2"/>
        <w:numPr>
          <w:ilvl w:val="1"/>
          <w:numId w:val="22"/>
        </w:numPr>
        <w:tabs>
          <w:tab w:pos="1080" w:val="left" w:leader="none"/>
        </w:tabs>
        <w:spacing w:line="240" w:lineRule="auto" w:before="218" w:after="0"/>
        <w:ind w:left="1079" w:right="0" w:hanging="679"/>
        <w:jc w:val="both"/>
      </w:pPr>
      <w:bookmarkStart w:name="_TOC_250012" w:id="87"/>
      <w:r>
        <w:rPr/>
        <w:t>Health and</w:t>
      </w:r>
      <w:r>
        <w:rPr>
          <w:spacing w:val="-9"/>
        </w:rPr>
        <w:t> </w:t>
      </w:r>
      <w:bookmarkEnd w:id="87"/>
      <w:r>
        <w:rPr/>
        <w:t>Equality</w:t>
      </w:r>
    </w:p>
    <w:p>
      <w:pPr>
        <w:pStyle w:val="Heading3"/>
        <w:spacing w:before="60"/>
        <w:ind w:right="915"/>
        <w:jc w:val="both"/>
      </w:pPr>
      <w:r>
        <w:rPr/>
        <w:t>It is noted that the LFRMS objectives say nothing specifically about health and equality issues. In relation to health, the impacts of the LFRMS are clearly positive  as the objectives will benefit health through reduction in flood risk and better management of flood risk in general. In relation to equality the impacts are less clear, however, the measures in the ‘List of Measures’ are generally targeted at communities where there has been historic flooding or where the risk of flooding is greatest, which are often areas of higher social deprivation, in this way the LFRMS will actually reduce social</w:t>
      </w:r>
      <w:r>
        <w:rPr>
          <w:spacing w:val="-4"/>
        </w:rPr>
        <w:t> </w:t>
      </w:r>
      <w:r>
        <w:rPr/>
        <w:t>inequalities.</w:t>
      </w:r>
    </w:p>
    <w:p>
      <w:pPr>
        <w:pStyle w:val="BodyText"/>
        <w:rPr>
          <w:sz w:val="26"/>
        </w:rPr>
      </w:pPr>
    </w:p>
    <w:p>
      <w:pPr>
        <w:pStyle w:val="Heading2"/>
        <w:numPr>
          <w:ilvl w:val="1"/>
          <w:numId w:val="22"/>
        </w:numPr>
        <w:tabs>
          <w:tab w:pos="1080" w:val="left" w:leader="none"/>
        </w:tabs>
        <w:spacing w:line="240" w:lineRule="auto" w:before="217" w:after="0"/>
        <w:ind w:left="1079" w:right="0" w:hanging="679"/>
        <w:jc w:val="both"/>
      </w:pPr>
      <w:bookmarkStart w:name="_TOC_250011" w:id="88"/>
      <w:r>
        <w:rPr/>
        <w:t>Climate</w:t>
      </w:r>
      <w:r>
        <w:rPr>
          <w:spacing w:val="-1"/>
        </w:rPr>
        <w:t> </w:t>
      </w:r>
      <w:bookmarkEnd w:id="88"/>
      <w:r>
        <w:rPr/>
        <w:t>Proofing</w:t>
      </w:r>
    </w:p>
    <w:p>
      <w:pPr>
        <w:pStyle w:val="Heading3"/>
        <w:spacing w:before="60"/>
        <w:ind w:right="914"/>
        <w:jc w:val="both"/>
      </w:pPr>
      <w:r>
        <w:rPr/>
        <w:t>The Climate Proofing Assessment which was undertaken as part of the SA process demonstrated that LFRMS performs well in relation to mitigating existing and projected climate risks. Allowances for climate change are currently being used, however, greater use of the latest data provided by the United Kingdom Climate Impacts Programme (UKCIP) should be promoted. In addition, new tools are being developed by the EA to improve the mapping of flood risk such as the Mapping All Sources Tool (MAST) which will bring together all sources of flooding on one map. A more detailed summary of the Climate Proofing discussions is included in Appendix F.</w:t>
      </w:r>
    </w:p>
    <w:p>
      <w:pPr>
        <w:spacing w:after="0"/>
        <w:jc w:val="both"/>
        <w:sectPr>
          <w:pgSz w:w="11910" w:h="16840"/>
          <w:pgMar w:header="0" w:footer="906" w:top="1340" w:bottom="1100" w:left="1040" w:right="520"/>
        </w:sectPr>
      </w:pPr>
    </w:p>
    <w:p>
      <w:pPr>
        <w:pStyle w:val="ListParagraph"/>
        <w:numPr>
          <w:ilvl w:val="0"/>
          <w:numId w:val="22"/>
        </w:numPr>
        <w:tabs>
          <w:tab w:pos="760" w:val="left" w:leader="none"/>
        </w:tabs>
        <w:spacing w:line="240" w:lineRule="auto" w:before="78" w:after="0"/>
        <w:ind w:left="759" w:right="0" w:hanging="359"/>
        <w:jc w:val="left"/>
        <w:rPr>
          <w:b/>
          <w:sz w:val="24"/>
        </w:rPr>
      </w:pPr>
      <w:bookmarkStart w:name="_TOC_250010" w:id="89"/>
      <w:r>
        <w:rPr>
          <w:b/>
          <w:sz w:val="24"/>
        </w:rPr>
        <w:t>Changes to</w:t>
      </w:r>
      <w:r>
        <w:rPr>
          <w:b/>
          <w:spacing w:val="-2"/>
          <w:sz w:val="24"/>
        </w:rPr>
        <w:t> </w:t>
      </w:r>
      <w:bookmarkEnd w:id="89"/>
      <w:r>
        <w:rPr>
          <w:b/>
          <w:sz w:val="24"/>
        </w:rPr>
        <w:t>LFRMS</w:t>
      </w:r>
    </w:p>
    <w:p>
      <w:pPr>
        <w:pStyle w:val="Heading3"/>
        <w:spacing w:before="60"/>
        <w:ind w:right="916"/>
        <w:jc w:val="both"/>
      </w:pPr>
      <w:r>
        <w:rPr/>
        <w:t>Following the SEA workshop the LFRMS objectives have been strengthened to provide greater clarity, improve consideration of a wider range of factors and promote sustainable flood risk management. This includes splitting objective 2 to create an additional objective. The revised LFRMS objectives are listed below; these are also presented in the</w:t>
      </w:r>
      <w:r>
        <w:rPr>
          <w:spacing w:val="-5"/>
        </w:rPr>
        <w:t> </w:t>
      </w:r>
      <w:r>
        <w:rPr/>
        <w:t>LFRMS.</w:t>
      </w:r>
    </w:p>
    <w:p>
      <w:pPr>
        <w:pStyle w:val="BodyText"/>
        <w:rPr>
          <w:sz w:val="24"/>
        </w:rPr>
      </w:pPr>
    </w:p>
    <w:p>
      <w:pPr>
        <w:pStyle w:val="Heading3"/>
        <w:numPr>
          <w:ilvl w:val="0"/>
          <w:numId w:val="25"/>
        </w:numPr>
        <w:tabs>
          <w:tab w:pos="1120" w:val="left" w:leader="none"/>
        </w:tabs>
        <w:spacing w:line="240" w:lineRule="auto" w:before="0" w:after="0"/>
        <w:ind w:left="1120" w:right="915" w:hanging="360"/>
        <w:jc w:val="both"/>
      </w:pPr>
      <w:r>
        <w:rPr/>
        <w:t>Improve co-operation between LLFA and other RMAs, in terms of procedure, to meet the requirements of new legislation and achieve holistic (catchment wide) solutions to identified risks and problems – emergency</w:t>
      </w:r>
      <w:r>
        <w:rPr>
          <w:spacing w:val="-20"/>
        </w:rPr>
        <w:t> </w:t>
      </w:r>
      <w:r>
        <w:rPr/>
        <w:t>planning;</w:t>
      </w:r>
    </w:p>
    <w:p>
      <w:pPr>
        <w:pStyle w:val="BodyText"/>
        <w:rPr>
          <w:sz w:val="24"/>
        </w:rPr>
      </w:pPr>
    </w:p>
    <w:p>
      <w:pPr>
        <w:pStyle w:val="Heading3"/>
        <w:numPr>
          <w:ilvl w:val="0"/>
          <w:numId w:val="25"/>
        </w:numPr>
        <w:tabs>
          <w:tab w:pos="1120" w:val="left" w:leader="none"/>
        </w:tabs>
        <w:spacing w:line="240" w:lineRule="auto" w:before="0" w:after="0"/>
        <w:ind w:left="1120" w:right="916" w:hanging="360"/>
        <w:jc w:val="both"/>
      </w:pPr>
      <w:r>
        <w:rPr/>
        <w:t>Promote sustainable flood risk management through: </w:t>
      </w:r>
      <w:r>
        <w:rPr>
          <w:spacing w:val="2"/>
        </w:rPr>
        <w:t>WFD </w:t>
      </w:r>
      <w:r>
        <w:rPr/>
        <w:t>compliance, climate change adaptation (UKCIP), land management, habitat protection and creation;</w:t>
      </w:r>
    </w:p>
    <w:p>
      <w:pPr>
        <w:pStyle w:val="BodyText"/>
        <w:rPr>
          <w:sz w:val="24"/>
        </w:rPr>
      </w:pPr>
    </w:p>
    <w:p>
      <w:pPr>
        <w:pStyle w:val="Heading3"/>
        <w:numPr>
          <w:ilvl w:val="0"/>
          <w:numId w:val="25"/>
        </w:numPr>
        <w:tabs>
          <w:tab w:pos="1120" w:val="left" w:leader="none"/>
        </w:tabs>
        <w:spacing w:line="240" w:lineRule="auto" w:before="0" w:after="0"/>
        <w:ind w:left="1120" w:right="919" w:hanging="360"/>
        <w:jc w:val="both"/>
      </w:pPr>
      <w:r>
        <w:rPr/>
        <w:t>Develop a consistent, affordable and sustainable approach to planning and investment in flood risk management: land allocation, SuDS,</w:t>
      </w:r>
      <w:r>
        <w:rPr>
          <w:spacing w:val="-13"/>
        </w:rPr>
        <w:t> </w:t>
      </w:r>
      <w:r>
        <w:rPr/>
        <w:t>SABs;</w:t>
      </w:r>
    </w:p>
    <w:p>
      <w:pPr>
        <w:pStyle w:val="BodyText"/>
        <w:rPr>
          <w:sz w:val="24"/>
        </w:rPr>
      </w:pPr>
    </w:p>
    <w:p>
      <w:pPr>
        <w:pStyle w:val="Heading3"/>
        <w:numPr>
          <w:ilvl w:val="0"/>
          <w:numId w:val="25"/>
        </w:numPr>
        <w:tabs>
          <w:tab w:pos="1120" w:val="left" w:leader="none"/>
        </w:tabs>
        <w:spacing w:line="240" w:lineRule="auto" w:before="0" w:after="0"/>
        <w:ind w:left="1120" w:right="0" w:hanging="360"/>
        <w:jc w:val="left"/>
      </w:pPr>
      <w:r>
        <w:rPr/>
        <w:t>Increase internal skills and ultimately capacity for flood risk</w:t>
      </w:r>
      <w:r>
        <w:rPr>
          <w:spacing w:val="-11"/>
        </w:rPr>
        <w:t> </w:t>
      </w:r>
      <w:r>
        <w:rPr/>
        <w:t>management;</w:t>
      </w:r>
    </w:p>
    <w:p>
      <w:pPr>
        <w:pStyle w:val="BodyText"/>
        <w:rPr>
          <w:sz w:val="24"/>
        </w:rPr>
      </w:pPr>
    </w:p>
    <w:p>
      <w:pPr>
        <w:pStyle w:val="Heading3"/>
        <w:numPr>
          <w:ilvl w:val="0"/>
          <w:numId w:val="25"/>
        </w:numPr>
        <w:tabs>
          <w:tab w:pos="1120" w:val="left" w:leader="none"/>
        </w:tabs>
        <w:spacing w:line="240" w:lineRule="auto" w:before="0" w:after="0"/>
        <w:ind w:left="1120" w:right="916" w:hanging="360"/>
        <w:jc w:val="both"/>
      </w:pPr>
      <w:r>
        <w:rPr/>
        <w:t>Increase community awareness of flood risk and the work of the LLFA in managing this risk; engage with local communities and involve them in decision making – localism</w:t>
      </w:r>
      <w:r>
        <w:rPr>
          <w:spacing w:val="-4"/>
        </w:rPr>
        <w:t> </w:t>
      </w:r>
      <w:r>
        <w:rPr/>
        <w:t>agenda;</w:t>
      </w:r>
    </w:p>
    <w:p>
      <w:pPr>
        <w:pStyle w:val="BodyText"/>
        <w:rPr>
          <w:sz w:val="24"/>
        </w:rPr>
      </w:pPr>
    </w:p>
    <w:p>
      <w:pPr>
        <w:pStyle w:val="Heading3"/>
        <w:numPr>
          <w:ilvl w:val="0"/>
          <w:numId w:val="25"/>
        </w:numPr>
        <w:tabs>
          <w:tab w:pos="1120" w:val="left" w:leader="none"/>
        </w:tabs>
        <w:spacing w:line="240" w:lineRule="auto" w:before="0" w:after="0"/>
        <w:ind w:left="1120" w:right="917" w:hanging="360"/>
        <w:jc w:val="both"/>
      </w:pPr>
      <w:r>
        <w:rPr/>
        <w:t>Improve understanding of local flood risk and seek to decrease local flood risk through implementation of affordable, high quality measures to alleviate flooding where</w:t>
      </w:r>
      <w:r>
        <w:rPr>
          <w:spacing w:val="-2"/>
        </w:rPr>
        <w:t> </w:t>
      </w:r>
      <w:r>
        <w:rPr/>
        <w:t>practicable.</w:t>
      </w:r>
    </w:p>
    <w:p>
      <w:pPr>
        <w:spacing w:after="0" w:line="240" w:lineRule="auto"/>
        <w:jc w:val="both"/>
        <w:sectPr>
          <w:pgSz w:w="11910" w:h="16840"/>
          <w:pgMar w:header="0" w:footer="906" w:top="1580" w:bottom="1100" w:left="1040" w:right="520"/>
        </w:sectPr>
      </w:pPr>
    </w:p>
    <w:p>
      <w:pPr>
        <w:pStyle w:val="ListParagraph"/>
        <w:numPr>
          <w:ilvl w:val="0"/>
          <w:numId w:val="26"/>
        </w:numPr>
        <w:tabs>
          <w:tab w:pos="760" w:val="left" w:leader="none"/>
        </w:tabs>
        <w:spacing w:line="240" w:lineRule="auto" w:before="78" w:after="0"/>
        <w:ind w:left="759" w:right="0" w:hanging="359"/>
        <w:jc w:val="left"/>
        <w:rPr>
          <w:b/>
          <w:sz w:val="24"/>
        </w:rPr>
      </w:pPr>
      <w:bookmarkStart w:name="_TOC_250009" w:id="90"/>
      <w:r>
        <w:rPr>
          <w:b/>
          <w:sz w:val="24"/>
        </w:rPr>
        <w:t>Monitoring of</w:t>
      </w:r>
      <w:r>
        <w:rPr>
          <w:b/>
          <w:spacing w:val="-2"/>
          <w:sz w:val="24"/>
        </w:rPr>
        <w:t> </w:t>
      </w:r>
      <w:bookmarkEnd w:id="90"/>
      <w:r>
        <w:rPr>
          <w:b/>
          <w:sz w:val="24"/>
        </w:rPr>
        <w:t>LFRMS</w:t>
      </w:r>
    </w:p>
    <w:p>
      <w:pPr>
        <w:pStyle w:val="Heading3"/>
        <w:spacing w:before="60"/>
        <w:ind w:right="916"/>
        <w:jc w:val="both"/>
      </w:pPr>
      <w:r>
        <w:rPr/>
        <w:t>In order to monitor the implementation of the LFRMS and its success in managing flood risk in Leeds eight monitoring indicators were identified at the SEA workshop. These will ensure that the ‘Objectives for managing flood risk’ are providing the intended steer to the flood risk management activities undertaken in Leeds and that the ‘List of Measures’ are being progressed. Reviews of the monitoring indicators will be undertaken concurrently with reviews of the ‘List of Measures’.</w:t>
      </w:r>
    </w:p>
    <w:p>
      <w:pPr>
        <w:pStyle w:val="BodyText"/>
        <w:rPr>
          <w:sz w:val="24"/>
        </w:rPr>
      </w:pPr>
    </w:p>
    <w:p>
      <w:pPr>
        <w:pStyle w:val="Heading3"/>
        <w:ind w:right="921"/>
        <w:jc w:val="both"/>
      </w:pPr>
      <w:r>
        <w:rPr/>
        <w:t>The eight key monitoring indicators for the LFRMS are listed below. Additional monitoring indicators will be added as appropriate:</w:t>
      </w:r>
    </w:p>
    <w:p>
      <w:pPr>
        <w:pStyle w:val="BodyText"/>
        <w:rPr>
          <w:sz w:val="24"/>
        </w:rPr>
      </w:pPr>
    </w:p>
    <w:p>
      <w:pPr>
        <w:pStyle w:val="Heading3"/>
        <w:numPr>
          <w:ilvl w:val="1"/>
          <w:numId w:val="26"/>
        </w:numPr>
        <w:tabs>
          <w:tab w:pos="1120" w:val="left" w:leader="none"/>
        </w:tabs>
        <w:spacing w:line="240" w:lineRule="auto" w:before="0" w:after="0"/>
        <w:ind w:left="1120" w:right="918" w:hanging="360"/>
        <w:jc w:val="both"/>
      </w:pPr>
      <w:r>
        <w:rPr/>
        <w:t>The number of measures in the ‘List of Measures’ which have been completed?</w:t>
      </w:r>
    </w:p>
    <w:p>
      <w:pPr>
        <w:pStyle w:val="BodyText"/>
        <w:rPr>
          <w:sz w:val="24"/>
        </w:rPr>
      </w:pPr>
    </w:p>
    <w:p>
      <w:pPr>
        <w:pStyle w:val="Heading3"/>
        <w:numPr>
          <w:ilvl w:val="1"/>
          <w:numId w:val="26"/>
        </w:numPr>
        <w:tabs>
          <w:tab w:pos="1120" w:val="left" w:leader="none"/>
        </w:tabs>
        <w:spacing w:line="240" w:lineRule="auto" w:before="0" w:after="0"/>
        <w:ind w:left="1120" w:right="918" w:hanging="360"/>
        <w:jc w:val="both"/>
      </w:pPr>
      <w:r>
        <w:rPr/>
        <w:t>Are there active measures in the ‘List of Measures’ which cover each of the six ‘Objectives for managing flood</w:t>
      </w:r>
      <w:r>
        <w:rPr>
          <w:spacing w:val="-5"/>
        </w:rPr>
        <w:t> </w:t>
      </w:r>
      <w:r>
        <w:rPr/>
        <w:t>risk’?</w:t>
      </w:r>
    </w:p>
    <w:p>
      <w:pPr>
        <w:pStyle w:val="BodyText"/>
        <w:rPr>
          <w:sz w:val="24"/>
        </w:rPr>
      </w:pPr>
    </w:p>
    <w:p>
      <w:pPr>
        <w:pStyle w:val="Heading3"/>
        <w:numPr>
          <w:ilvl w:val="1"/>
          <w:numId w:val="26"/>
        </w:numPr>
        <w:tabs>
          <w:tab w:pos="1120" w:val="left" w:leader="none"/>
        </w:tabs>
        <w:spacing w:line="240" w:lineRule="auto" w:before="0" w:after="0"/>
        <w:ind w:left="1120" w:right="917" w:hanging="360"/>
        <w:jc w:val="both"/>
      </w:pPr>
      <w:r>
        <w:rPr/>
        <w:t>Improving engagement on flood risk - How many public engagement events have taken place? School events, flood fairs, flood action group</w:t>
      </w:r>
      <w:r>
        <w:rPr>
          <w:spacing w:val="-20"/>
        </w:rPr>
        <w:t> </w:t>
      </w:r>
      <w:r>
        <w:rPr/>
        <w:t>meetings.</w:t>
      </w:r>
    </w:p>
    <w:p>
      <w:pPr>
        <w:pStyle w:val="BodyText"/>
        <w:rPr>
          <w:sz w:val="24"/>
        </w:rPr>
      </w:pPr>
    </w:p>
    <w:p>
      <w:pPr>
        <w:pStyle w:val="Heading3"/>
        <w:numPr>
          <w:ilvl w:val="1"/>
          <w:numId w:val="26"/>
        </w:numPr>
        <w:tabs>
          <w:tab w:pos="1120" w:val="left" w:leader="none"/>
        </w:tabs>
        <w:spacing w:line="240" w:lineRule="auto" w:before="0" w:after="0"/>
        <w:ind w:left="1120" w:right="916" w:hanging="360"/>
        <w:jc w:val="both"/>
      </w:pPr>
      <w:r>
        <w:rPr/>
        <w:t>The number of new developments where SuDS have been installed? Include SuDS, green corridors, rainwater harvesting, green roofs, land management (tree</w:t>
      </w:r>
      <w:r>
        <w:rPr>
          <w:spacing w:val="-1"/>
        </w:rPr>
        <w:t> </w:t>
      </w:r>
      <w:r>
        <w:rPr/>
        <w:t>planting).</w:t>
      </w:r>
    </w:p>
    <w:p>
      <w:pPr>
        <w:pStyle w:val="BodyText"/>
        <w:rPr>
          <w:sz w:val="24"/>
        </w:rPr>
      </w:pPr>
    </w:p>
    <w:p>
      <w:pPr>
        <w:pStyle w:val="Heading3"/>
        <w:numPr>
          <w:ilvl w:val="1"/>
          <w:numId w:val="26"/>
        </w:numPr>
        <w:tabs>
          <w:tab w:pos="1120" w:val="left" w:leader="none"/>
        </w:tabs>
        <w:spacing w:line="240" w:lineRule="auto" w:before="0" w:after="0"/>
        <w:ind w:left="1120" w:right="917" w:hanging="360"/>
        <w:jc w:val="both"/>
      </w:pPr>
      <w:r>
        <w:rPr/>
        <w:t>Are property level flood protection (PLP) schemes reducing flood risk – Number of properties where PLP schemes have been installed and operated successfully in a flood</w:t>
      </w:r>
      <w:r>
        <w:rPr>
          <w:spacing w:val="-4"/>
        </w:rPr>
        <w:t> </w:t>
      </w:r>
      <w:r>
        <w:rPr/>
        <w:t>event?</w:t>
      </w:r>
    </w:p>
    <w:p>
      <w:pPr>
        <w:pStyle w:val="BodyText"/>
        <w:rPr>
          <w:sz w:val="24"/>
        </w:rPr>
      </w:pPr>
    </w:p>
    <w:p>
      <w:pPr>
        <w:pStyle w:val="Heading3"/>
        <w:numPr>
          <w:ilvl w:val="1"/>
          <w:numId w:val="26"/>
        </w:numPr>
        <w:tabs>
          <w:tab w:pos="1120" w:val="left" w:leader="none"/>
        </w:tabs>
        <w:spacing w:line="240" w:lineRule="auto" w:before="0" w:after="0"/>
        <w:ind w:left="1120" w:right="920" w:hanging="360"/>
        <w:jc w:val="both"/>
      </w:pPr>
      <w:r>
        <w:rPr/>
        <w:t>Number of Leeds City Council staff engaged in flood risk management activities?</w:t>
      </w:r>
    </w:p>
    <w:p>
      <w:pPr>
        <w:pStyle w:val="BodyText"/>
        <w:rPr>
          <w:sz w:val="24"/>
        </w:rPr>
      </w:pPr>
    </w:p>
    <w:p>
      <w:pPr>
        <w:pStyle w:val="Heading3"/>
        <w:numPr>
          <w:ilvl w:val="1"/>
          <w:numId w:val="26"/>
        </w:numPr>
        <w:tabs>
          <w:tab w:pos="1120" w:val="left" w:leader="none"/>
        </w:tabs>
        <w:spacing w:line="240" w:lineRule="auto" w:before="0" w:after="0"/>
        <w:ind w:left="1120" w:right="916" w:hanging="360"/>
        <w:jc w:val="both"/>
      </w:pPr>
      <w:r>
        <w:rPr/>
        <w:t>Reliability of public transport – Number of Metro bus and train routes  disrupted by flooding/drainage</w:t>
      </w:r>
      <w:r>
        <w:rPr>
          <w:spacing w:val="-3"/>
        </w:rPr>
        <w:t> </w:t>
      </w:r>
      <w:r>
        <w:rPr/>
        <w:t>problems?</w:t>
      </w:r>
    </w:p>
    <w:p>
      <w:pPr>
        <w:pStyle w:val="BodyText"/>
        <w:rPr>
          <w:sz w:val="24"/>
        </w:rPr>
      </w:pPr>
    </w:p>
    <w:p>
      <w:pPr>
        <w:pStyle w:val="Heading3"/>
        <w:numPr>
          <w:ilvl w:val="1"/>
          <w:numId w:val="26"/>
        </w:numPr>
        <w:tabs>
          <w:tab w:pos="1120" w:val="left" w:leader="none"/>
        </w:tabs>
        <w:spacing w:line="240" w:lineRule="auto" w:before="0" w:after="0"/>
        <w:ind w:left="1120" w:right="919" w:hanging="360"/>
        <w:jc w:val="both"/>
      </w:pPr>
      <w:r>
        <w:rPr/>
        <w:t>Is the LFRMS consistent with the plans and actions of partner organisations? Review and incorporate relevant actions from the Aire and Ouse CFMP’s in the ‘List of</w:t>
      </w:r>
      <w:r>
        <w:rPr>
          <w:spacing w:val="-3"/>
        </w:rPr>
        <w:t> </w:t>
      </w:r>
      <w:r>
        <w:rPr/>
        <w:t>Measures’?</w:t>
      </w:r>
    </w:p>
    <w:p>
      <w:pPr>
        <w:spacing w:after="0" w:line="240" w:lineRule="auto"/>
        <w:jc w:val="both"/>
        <w:sectPr>
          <w:pgSz w:w="11910" w:h="16840"/>
          <w:pgMar w:header="0" w:footer="906" w:top="1580" w:bottom="1100" w:left="1040" w:right="520"/>
        </w:sectPr>
      </w:pPr>
    </w:p>
    <w:p>
      <w:pPr>
        <w:pStyle w:val="ListParagraph"/>
        <w:numPr>
          <w:ilvl w:val="0"/>
          <w:numId w:val="26"/>
        </w:numPr>
        <w:tabs>
          <w:tab w:pos="760" w:val="left" w:leader="none"/>
        </w:tabs>
        <w:spacing w:line="240" w:lineRule="auto" w:before="78" w:after="0"/>
        <w:ind w:left="759" w:right="0" w:hanging="359"/>
        <w:jc w:val="left"/>
        <w:rPr>
          <w:b/>
          <w:sz w:val="24"/>
        </w:rPr>
      </w:pPr>
      <w:bookmarkStart w:name="_TOC_250008" w:id="91"/>
      <w:bookmarkEnd w:id="91"/>
      <w:r>
        <w:rPr>
          <w:b/>
          <w:sz w:val="24"/>
        </w:rPr>
        <w:t>References</w:t>
      </w:r>
    </w:p>
    <w:p>
      <w:pPr>
        <w:pStyle w:val="BodyText"/>
        <w:spacing w:before="2"/>
        <w:rPr>
          <w:b/>
          <w:sz w:val="29"/>
        </w:rPr>
      </w:pPr>
    </w:p>
    <w:p>
      <w:pPr>
        <w:pStyle w:val="Heading3"/>
        <w:ind w:right="2126"/>
      </w:pPr>
      <w:r>
        <w:rPr/>
        <w:t>Framework to assist the development of the Local Strategy for Flood Risk Management, ‘A Living Document’, 2</w:t>
      </w:r>
      <w:r>
        <w:rPr>
          <w:vertAlign w:val="superscript"/>
        </w:rPr>
        <w:t>nd</w:t>
      </w:r>
      <w:r>
        <w:rPr>
          <w:vertAlign w:val="baseline"/>
        </w:rPr>
        <w:t> Edition, LGA, November 2011.</w:t>
      </w:r>
    </w:p>
    <w:p>
      <w:pPr>
        <w:pStyle w:val="BodyText"/>
        <w:rPr>
          <w:sz w:val="24"/>
        </w:rPr>
      </w:pPr>
    </w:p>
    <w:p>
      <w:pPr>
        <w:pStyle w:val="Heading3"/>
        <w:ind w:right="978"/>
      </w:pPr>
      <w:r>
        <w:rPr/>
        <w:t>National Flood and Coastal Erosion Risk Management Strategy for England, EA and Defra, July 2011.</w:t>
      </w:r>
    </w:p>
    <w:p>
      <w:pPr>
        <w:pStyle w:val="BodyText"/>
        <w:rPr>
          <w:sz w:val="24"/>
        </w:rPr>
      </w:pPr>
    </w:p>
    <w:p>
      <w:pPr>
        <w:pStyle w:val="Heading3"/>
        <w:spacing w:line="480" w:lineRule="auto"/>
        <w:ind w:right="3727"/>
      </w:pPr>
      <w:r>
        <w:rPr/>
        <w:t>Flood and Water Management Act (FWMA), HMSO, 2010. Flood Risk Regulations (FRR), HMSO, 2009.</w:t>
      </w:r>
    </w:p>
    <w:p>
      <w:pPr>
        <w:pStyle w:val="Heading3"/>
      </w:pPr>
      <w:r>
        <w:rPr/>
        <w:t>Water Framework Directive (WFD), European Parliament, 2010.</w:t>
      </w:r>
    </w:p>
    <w:p>
      <w:pPr>
        <w:pStyle w:val="BodyText"/>
        <w:rPr>
          <w:sz w:val="24"/>
        </w:rPr>
      </w:pPr>
    </w:p>
    <w:p>
      <w:pPr>
        <w:pStyle w:val="Heading3"/>
      </w:pPr>
      <w:r>
        <w:rPr/>
        <w:t>Preliminary Flood Risk Assessment (PFRA), Leeds City Council, September 2011.</w:t>
      </w:r>
    </w:p>
    <w:p>
      <w:pPr>
        <w:pStyle w:val="BodyText"/>
        <w:rPr>
          <w:sz w:val="24"/>
        </w:rPr>
      </w:pPr>
    </w:p>
    <w:p>
      <w:pPr>
        <w:pStyle w:val="Heading3"/>
        <w:ind w:right="979"/>
      </w:pPr>
      <w:r>
        <w:rPr/>
        <w:t>Leeds Local Flood Risk Management Strategy (LFRMS) – Draft, Leeds City Council, August 2012.</w:t>
      </w:r>
    </w:p>
    <w:p>
      <w:pPr>
        <w:pStyle w:val="BodyText"/>
        <w:rPr>
          <w:sz w:val="24"/>
        </w:rPr>
      </w:pPr>
    </w:p>
    <w:p>
      <w:pPr>
        <w:pStyle w:val="Heading3"/>
        <w:spacing w:line="480" w:lineRule="auto" w:before="1"/>
        <w:ind w:right="1259"/>
      </w:pPr>
      <w:r>
        <w:rPr/>
        <w:t>Environmental Assessment of Plans and Programmes Regulations, HMSO, 2004. Building Trust with Others – a guide for staff, Environment Agency.</w:t>
      </w:r>
    </w:p>
    <w:p>
      <w:pPr>
        <w:pStyle w:val="Heading3"/>
      </w:pPr>
      <w:r>
        <w:rPr/>
        <w:t>National Planning Policy Framework (NPPF), DCLG, March 2012</w:t>
      </w:r>
    </w:p>
    <w:p>
      <w:pPr>
        <w:pStyle w:val="BodyText"/>
        <w:spacing w:before="11"/>
      </w:pPr>
    </w:p>
    <w:p>
      <w:pPr>
        <w:pStyle w:val="Heading3"/>
        <w:spacing w:line="480" w:lineRule="auto"/>
        <w:ind w:right="965"/>
      </w:pPr>
      <w:r>
        <w:rPr/>
        <w:t>Aire Catchment Flood Management Plan (CFMP), Environment Agency, July 2010. Ouse Catchment Flood Management Plan (CFMP), Environment Agency, July 2010.</w:t>
      </w:r>
    </w:p>
    <w:p>
      <w:pPr>
        <w:pStyle w:val="Heading3"/>
        <w:ind w:right="2299"/>
      </w:pPr>
      <w:r>
        <w:rPr/>
        <w:t>Adapting to Climate Change: Advice for Flood and Coastal Erosion Risk Management Authorities, Environment Agency, August 2011.</w:t>
      </w:r>
    </w:p>
    <w:p>
      <w:pPr>
        <w:pStyle w:val="BodyText"/>
        <w:rPr>
          <w:sz w:val="24"/>
        </w:rPr>
      </w:pPr>
    </w:p>
    <w:p>
      <w:pPr>
        <w:pStyle w:val="Heading3"/>
        <w:ind w:right="1044"/>
      </w:pPr>
      <w:r>
        <w:rPr/>
        <w:t>Guidance for risk management authorities on sustainable development in relation to their flood and coastal erosion risk management functions, Defra, October 2011.</w:t>
      </w:r>
    </w:p>
    <w:p>
      <w:pPr>
        <w:pStyle w:val="BodyText"/>
        <w:rPr>
          <w:sz w:val="24"/>
        </w:rPr>
      </w:pPr>
    </w:p>
    <w:p>
      <w:pPr>
        <w:pStyle w:val="Heading3"/>
        <w:ind w:right="1071"/>
      </w:pPr>
      <w:r>
        <w:rPr/>
        <w:t>Leeds Sustainability Appraisal Revised Methodology, Version 5, Leeds City Council Sustainable Development Unit, November 2011.</w:t>
      </w:r>
    </w:p>
    <w:p>
      <w:pPr>
        <w:pStyle w:val="BodyText"/>
        <w:rPr>
          <w:sz w:val="24"/>
        </w:rPr>
      </w:pPr>
    </w:p>
    <w:p>
      <w:pPr>
        <w:pStyle w:val="Heading3"/>
        <w:ind w:right="992"/>
      </w:pPr>
      <w:r>
        <w:rPr/>
        <w:t>A Practical Guide to the Strategic Environmental Assessment Directive, Office of the Deputy Prime Minister, September 2005.</w:t>
      </w:r>
    </w:p>
    <w:p>
      <w:pPr>
        <w:pStyle w:val="BodyText"/>
        <w:rPr>
          <w:sz w:val="24"/>
        </w:rPr>
      </w:pPr>
    </w:p>
    <w:p>
      <w:pPr>
        <w:pStyle w:val="Heading3"/>
        <w:spacing w:before="1"/>
        <w:ind w:right="952"/>
      </w:pPr>
      <w:r>
        <w:rPr/>
        <w:t>Leeds City Council Environmental Management Statement, Leeds City Council, April 2010 – 31 March 2011.</w:t>
      </w:r>
    </w:p>
    <w:p>
      <w:pPr>
        <w:pStyle w:val="BodyText"/>
        <w:spacing w:before="11"/>
      </w:pPr>
    </w:p>
    <w:p>
      <w:pPr>
        <w:pStyle w:val="Heading3"/>
      </w:pPr>
      <w:r>
        <w:rPr/>
        <w:t>State of the City – Our vision to be the best city in the UK, Leeds City Council, 2011</w:t>
      </w:r>
    </w:p>
    <w:p>
      <w:pPr>
        <w:spacing w:after="0"/>
        <w:sectPr>
          <w:pgSz w:w="11910" w:h="16840"/>
          <w:pgMar w:header="0" w:footer="906" w:top="1580" w:bottom="1100" w:left="1040" w:right="520"/>
        </w:sectPr>
      </w:pPr>
    </w:p>
    <w:p>
      <w:pPr>
        <w:pStyle w:val="ListParagraph"/>
        <w:numPr>
          <w:ilvl w:val="0"/>
          <w:numId w:val="26"/>
        </w:numPr>
        <w:tabs>
          <w:tab w:pos="760" w:val="left" w:leader="none"/>
        </w:tabs>
        <w:spacing w:line="240" w:lineRule="auto" w:before="78" w:after="0"/>
        <w:ind w:left="759" w:right="0" w:hanging="359"/>
        <w:jc w:val="left"/>
        <w:rPr>
          <w:b/>
          <w:sz w:val="24"/>
        </w:rPr>
      </w:pPr>
      <w:bookmarkStart w:name="_TOC_250007" w:id="92"/>
      <w:bookmarkEnd w:id="92"/>
      <w:r>
        <w:rPr>
          <w:b/>
          <w:sz w:val="24"/>
        </w:rPr>
        <w:t>Acronyms</w:t>
      </w:r>
    </w:p>
    <w:p>
      <w:pPr>
        <w:pStyle w:val="BodyText"/>
        <w:spacing w:before="2"/>
        <w:rPr>
          <w:b/>
          <w:sz w:val="29"/>
        </w:rPr>
      </w:pPr>
    </w:p>
    <w:p>
      <w:pPr>
        <w:pStyle w:val="Heading3"/>
        <w:tabs>
          <w:tab w:pos="2127" w:val="left" w:leader="none"/>
        </w:tabs>
        <w:ind w:left="2128" w:right="3093" w:hanging="1728"/>
      </w:pPr>
      <w:r>
        <w:rPr/>
        <w:t>BREEAM</w:t>
      </w:r>
      <w:r>
        <w:rPr>
          <w:rFonts w:ascii="Times New Roman"/>
        </w:rPr>
        <w:tab/>
      </w:r>
      <w:r>
        <w:rPr/>
        <w:t>Building Research Establishment Environmental Assessment</w:t>
      </w:r>
      <w:r>
        <w:rPr>
          <w:spacing w:val="-1"/>
        </w:rPr>
        <w:t> </w:t>
      </w:r>
      <w:r>
        <w:rPr/>
        <w:t>Method</w:t>
      </w:r>
    </w:p>
    <w:p>
      <w:pPr>
        <w:pStyle w:val="Heading3"/>
        <w:tabs>
          <w:tab w:pos="2127" w:val="left" w:leader="none"/>
        </w:tabs>
        <w:ind w:right="4373"/>
      </w:pPr>
      <w:r>
        <w:rPr/>
        <w:t>CFMP</w:t>
      </w:r>
      <w:r>
        <w:rPr>
          <w:rFonts w:ascii="Times New Roman"/>
        </w:rPr>
        <w:tab/>
      </w:r>
      <w:r>
        <w:rPr/>
        <w:t>Catchment Flood Management Plan CLR</w:t>
      </w:r>
      <w:r>
        <w:rPr>
          <w:rFonts w:ascii="Times New Roman"/>
        </w:rPr>
        <w:tab/>
      </w:r>
      <w:r>
        <w:rPr/>
        <w:t>Contaminated Land</w:t>
      </w:r>
      <w:r>
        <w:rPr>
          <w:spacing w:val="-4"/>
        </w:rPr>
        <w:t> </w:t>
      </w:r>
      <w:r>
        <w:rPr/>
        <w:t>Report</w:t>
      </w:r>
    </w:p>
    <w:p>
      <w:pPr>
        <w:pStyle w:val="Heading3"/>
        <w:tabs>
          <w:tab w:pos="2127" w:val="left" w:leader="none"/>
        </w:tabs>
        <w:ind w:right="2654"/>
        <w:jc w:val="both"/>
      </w:pPr>
      <w:r>
        <w:rPr/>
        <w:t>DCLG</w:t>
      </w:r>
      <w:r>
        <w:rPr>
          <w:rFonts w:ascii="Times New Roman"/>
        </w:rPr>
        <w:tab/>
      </w:r>
      <w:r>
        <w:rPr/>
        <w:t>Department for Communities and Local Government Defra</w:t>
      </w:r>
      <w:r>
        <w:rPr>
          <w:rFonts w:ascii="Times New Roman"/>
        </w:rPr>
        <w:tab/>
      </w:r>
      <w:r>
        <w:rPr/>
        <w:t>Department for Environment, Food and Rural Affairs DPD</w:t>
      </w:r>
      <w:r>
        <w:rPr>
          <w:rFonts w:ascii="Times New Roman"/>
        </w:rPr>
        <w:tab/>
      </w:r>
      <w:r>
        <w:rPr/>
        <w:t>Development Plan</w:t>
      </w:r>
      <w:r>
        <w:rPr>
          <w:spacing w:val="-3"/>
        </w:rPr>
        <w:t> </w:t>
      </w:r>
      <w:r>
        <w:rPr/>
        <w:t>Document</w:t>
      </w:r>
    </w:p>
    <w:p>
      <w:pPr>
        <w:pStyle w:val="Heading3"/>
        <w:tabs>
          <w:tab w:pos="2127" w:val="left" w:leader="none"/>
        </w:tabs>
      </w:pPr>
      <w:r>
        <w:rPr/>
        <w:t>EA</w:t>
      </w:r>
      <w:r>
        <w:rPr>
          <w:rFonts w:ascii="Times New Roman"/>
        </w:rPr>
        <w:tab/>
      </w:r>
      <w:r>
        <w:rPr/>
        <w:t>Environment</w:t>
      </w:r>
      <w:r>
        <w:rPr>
          <w:spacing w:val="-1"/>
        </w:rPr>
        <w:t> </w:t>
      </w:r>
      <w:r>
        <w:rPr/>
        <w:t>Agency</w:t>
      </w:r>
    </w:p>
    <w:p>
      <w:pPr>
        <w:pStyle w:val="Heading3"/>
        <w:tabs>
          <w:tab w:pos="2127" w:val="left" w:leader="none"/>
        </w:tabs>
      </w:pPr>
      <w:r>
        <w:rPr/>
        <w:t>EC</w:t>
      </w:r>
      <w:r>
        <w:rPr>
          <w:rFonts w:ascii="Times New Roman"/>
        </w:rPr>
        <w:tab/>
      </w:r>
      <w:r>
        <w:rPr/>
        <w:t>European</w:t>
      </w:r>
      <w:r>
        <w:rPr>
          <w:spacing w:val="-1"/>
        </w:rPr>
        <w:t> </w:t>
      </w:r>
      <w:r>
        <w:rPr/>
        <w:t>Community</w:t>
      </w:r>
    </w:p>
    <w:p>
      <w:pPr>
        <w:pStyle w:val="Heading3"/>
        <w:tabs>
          <w:tab w:pos="2127" w:val="left" w:leader="none"/>
        </w:tabs>
        <w:ind w:right="4053"/>
      </w:pPr>
      <w:r>
        <w:rPr/>
        <w:t>EMAS</w:t>
      </w:r>
      <w:r>
        <w:rPr>
          <w:rFonts w:ascii="Times New Roman"/>
        </w:rPr>
        <w:tab/>
      </w:r>
      <w:r>
        <w:rPr/>
        <w:t>Environmental Management Statement FRM</w:t>
      </w:r>
      <w:r>
        <w:rPr>
          <w:rFonts w:ascii="Times New Roman"/>
        </w:rPr>
        <w:tab/>
      </w:r>
      <w:r>
        <w:rPr/>
        <w:t>Flood Risk</w:t>
      </w:r>
      <w:r>
        <w:rPr>
          <w:spacing w:val="-2"/>
        </w:rPr>
        <w:t> </w:t>
      </w:r>
      <w:r>
        <w:rPr/>
        <w:t>Management</w:t>
      </w:r>
    </w:p>
    <w:p>
      <w:pPr>
        <w:pStyle w:val="Heading3"/>
        <w:tabs>
          <w:tab w:pos="2128" w:val="left" w:leader="none"/>
        </w:tabs>
      </w:pPr>
      <w:r>
        <w:rPr/>
        <w:t>FRR</w:t>
      </w:r>
      <w:r>
        <w:rPr>
          <w:rFonts w:ascii="Times New Roman"/>
        </w:rPr>
        <w:tab/>
      </w:r>
      <w:r>
        <w:rPr/>
        <w:t>Flood Risk Regulations</w:t>
      </w:r>
      <w:r>
        <w:rPr>
          <w:spacing w:val="-3"/>
        </w:rPr>
        <w:t> </w:t>
      </w:r>
      <w:r>
        <w:rPr/>
        <w:t>(2009)</w:t>
      </w:r>
    </w:p>
    <w:p>
      <w:pPr>
        <w:pStyle w:val="Heading3"/>
        <w:tabs>
          <w:tab w:pos="2127" w:val="left" w:leader="none"/>
        </w:tabs>
        <w:ind w:right="3799"/>
      </w:pPr>
      <w:r>
        <w:rPr/>
        <w:t>FWMA</w:t>
      </w:r>
      <w:r>
        <w:rPr>
          <w:rFonts w:ascii="Times New Roman" w:hAnsi="Times New Roman"/>
        </w:rPr>
        <w:tab/>
      </w:r>
      <w:r>
        <w:rPr/>
        <w:t>Flood and Water Management Act (2010) HMSO</w:t>
      </w:r>
      <w:r>
        <w:rPr>
          <w:rFonts w:ascii="Times New Roman" w:hAnsi="Times New Roman"/>
        </w:rPr>
        <w:tab/>
      </w:r>
      <w:r>
        <w:rPr/>
        <w:t>Her Majesty’s Stationery</w:t>
      </w:r>
      <w:r>
        <w:rPr>
          <w:spacing w:val="-3"/>
        </w:rPr>
        <w:t> </w:t>
      </w:r>
      <w:r>
        <w:rPr/>
        <w:t>Office</w:t>
      </w:r>
    </w:p>
    <w:p>
      <w:pPr>
        <w:pStyle w:val="Heading3"/>
        <w:tabs>
          <w:tab w:pos="2127" w:val="left" w:leader="none"/>
        </w:tabs>
      </w:pPr>
      <w:r>
        <w:rPr/>
        <w:t>LCC</w:t>
      </w:r>
      <w:r>
        <w:rPr>
          <w:rFonts w:ascii="Times New Roman"/>
        </w:rPr>
        <w:tab/>
      </w:r>
      <w:r>
        <w:rPr/>
        <w:t>Leeds City</w:t>
      </w:r>
      <w:r>
        <w:rPr>
          <w:spacing w:val="-2"/>
        </w:rPr>
        <w:t> </w:t>
      </w:r>
      <w:r>
        <w:rPr/>
        <w:t>Council</w:t>
      </w:r>
    </w:p>
    <w:p>
      <w:pPr>
        <w:pStyle w:val="Heading3"/>
        <w:tabs>
          <w:tab w:pos="2127" w:val="left" w:leader="none"/>
        </w:tabs>
        <w:ind w:right="4013"/>
      </w:pPr>
      <w:r>
        <w:rPr/>
        <w:t>LFRMS</w:t>
      </w:r>
      <w:r>
        <w:rPr>
          <w:rFonts w:ascii="Times New Roman"/>
        </w:rPr>
        <w:tab/>
      </w:r>
      <w:r>
        <w:rPr/>
        <w:t>Local Flood Risk Management Strategy LGA</w:t>
      </w:r>
      <w:r>
        <w:rPr>
          <w:rFonts w:ascii="Times New Roman"/>
        </w:rPr>
        <w:tab/>
      </w:r>
      <w:r>
        <w:rPr/>
        <w:t>Local Government</w:t>
      </w:r>
      <w:r>
        <w:rPr>
          <w:spacing w:val="-2"/>
        </w:rPr>
        <w:t> </w:t>
      </w:r>
      <w:r>
        <w:rPr/>
        <w:t>Association</w:t>
      </w:r>
    </w:p>
    <w:p>
      <w:pPr>
        <w:pStyle w:val="Heading3"/>
        <w:tabs>
          <w:tab w:pos="2127" w:val="left" w:leader="none"/>
        </w:tabs>
        <w:spacing w:before="1"/>
      </w:pPr>
      <w:r>
        <w:rPr/>
        <w:t>LLFA</w:t>
      </w:r>
      <w:r>
        <w:rPr>
          <w:rFonts w:ascii="Times New Roman"/>
        </w:rPr>
        <w:tab/>
      </w:r>
      <w:r>
        <w:rPr/>
        <w:t>Lead Local Flood</w:t>
      </w:r>
      <w:r>
        <w:rPr>
          <w:spacing w:val="-3"/>
        </w:rPr>
        <w:t> </w:t>
      </w:r>
      <w:r>
        <w:rPr/>
        <w:t>Authority</w:t>
      </w:r>
    </w:p>
    <w:p>
      <w:pPr>
        <w:pStyle w:val="Heading3"/>
        <w:tabs>
          <w:tab w:pos="2127" w:val="left" w:leader="none"/>
        </w:tabs>
      </w:pPr>
      <w:r>
        <w:rPr/>
        <w:t>MAST</w:t>
      </w:r>
      <w:r>
        <w:rPr>
          <w:rFonts w:ascii="Times New Roman"/>
        </w:rPr>
        <w:tab/>
      </w:r>
      <w:r>
        <w:rPr/>
        <w:t>Mapping All Sources</w:t>
      </w:r>
      <w:r>
        <w:rPr>
          <w:spacing w:val="-3"/>
        </w:rPr>
        <w:t> </w:t>
      </w:r>
      <w:r>
        <w:rPr/>
        <w:t>Tool</w:t>
      </w:r>
    </w:p>
    <w:p>
      <w:pPr>
        <w:pStyle w:val="Heading3"/>
        <w:tabs>
          <w:tab w:pos="2127" w:val="left" w:leader="none"/>
        </w:tabs>
        <w:ind w:right="4306"/>
      </w:pPr>
      <w:r>
        <w:rPr/>
        <w:t>PEPU</w:t>
      </w:r>
      <w:r>
        <w:rPr>
          <w:rFonts w:ascii="Times New Roman"/>
        </w:rPr>
        <w:tab/>
      </w:r>
      <w:r>
        <w:rPr/>
        <w:t>Peacetime Emergency Planning Unit PFRA</w:t>
      </w:r>
      <w:r>
        <w:rPr>
          <w:rFonts w:ascii="Times New Roman"/>
        </w:rPr>
        <w:tab/>
      </w:r>
      <w:r>
        <w:rPr/>
        <w:t>Preliminary Flood Risk Assessment PLP</w:t>
      </w:r>
      <w:r>
        <w:rPr>
          <w:rFonts w:ascii="Times New Roman"/>
        </w:rPr>
        <w:tab/>
      </w:r>
      <w:r>
        <w:rPr/>
        <w:t>Property Level Flood</w:t>
      </w:r>
      <w:r>
        <w:rPr>
          <w:spacing w:val="-4"/>
        </w:rPr>
        <w:t> </w:t>
      </w:r>
      <w:r>
        <w:rPr/>
        <w:t>Protection</w:t>
      </w:r>
    </w:p>
    <w:p>
      <w:pPr>
        <w:pStyle w:val="Heading3"/>
        <w:tabs>
          <w:tab w:pos="2127" w:val="left" w:leader="none"/>
        </w:tabs>
        <w:ind w:left="2128" w:right="2399" w:hanging="1728"/>
      </w:pPr>
      <w:r>
        <w:rPr/>
        <w:t>PPS25</w:t>
      </w:r>
      <w:r>
        <w:rPr>
          <w:rFonts w:ascii="Times New Roman"/>
        </w:rPr>
        <w:tab/>
      </w:r>
      <w:r>
        <w:rPr/>
        <w:t>Planning Policy Statement 25: Development and Flood Risk</w:t>
      </w:r>
    </w:p>
    <w:p>
      <w:pPr>
        <w:pStyle w:val="Heading3"/>
        <w:tabs>
          <w:tab w:pos="2127" w:val="left" w:leader="none"/>
        </w:tabs>
      </w:pPr>
      <w:r>
        <w:rPr/>
        <w:t>RMA</w:t>
      </w:r>
      <w:r>
        <w:rPr>
          <w:rFonts w:ascii="Times New Roman"/>
        </w:rPr>
        <w:tab/>
      </w:r>
      <w:r>
        <w:rPr/>
        <w:t>Risk Management</w:t>
      </w:r>
      <w:r>
        <w:rPr>
          <w:spacing w:val="-2"/>
        </w:rPr>
        <w:t> </w:t>
      </w:r>
      <w:r>
        <w:rPr/>
        <w:t>Authority</w:t>
      </w:r>
    </w:p>
    <w:p>
      <w:pPr>
        <w:pStyle w:val="Heading3"/>
        <w:tabs>
          <w:tab w:pos="2127" w:val="left" w:leader="none"/>
        </w:tabs>
      </w:pPr>
      <w:r>
        <w:rPr/>
        <w:t>SA</w:t>
      </w:r>
      <w:r>
        <w:rPr>
          <w:rFonts w:ascii="Times New Roman"/>
        </w:rPr>
        <w:tab/>
      </w:r>
      <w:r>
        <w:rPr/>
        <w:t>Sustainability</w:t>
      </w:r>
      <w:r>
        <w:rPr>
          <w:spacing w:val="-1"/>
        </w:rPr>
        <w:t> </w:t>
      </w:r>
      <w:r>
        <w:rPr/>
        <w:t>Appraisal</w:t>
      </w:r>
    </w:p>
    <w:p>
      <w:pPr>
        <w:pStyle w:val="Heading3"/>
        <w:tabs>
          <w:tab w:pos="2127" w:val="left" w:leader="none"/>
        </w:tabs>
      </w:pPr>
      <w:r>
        <w:rPr/>
        <w:t>SDU</w:t>
      </w:r>
      <w:r>
        <w:rPr>
          <w:rFonts w:ascii="Times New Roman"/>
        </w:rPr>
        <w:tab/>
      </w:r>
      <w:r>
        <w:rPr/>
        <w:t>Sustainable Development</w:t>
      </w:r>
      <w:r>
        <w:rPr>
          <w:spacing w:val="-2"/>
        </w:rPr>
        <w:t> </w:t>
      </w:r>
      <w:r>
        <w:rPr/>
        <w:t>Unit</w:t>
      </w:r>
    </w:p>
    <w:p>
      <w:pPr>
        <w:pStyle w:val="Heading3"/>
        <w:tabs>
          <w:tab w:pos="2127" w:val="left" w:leader="none"/>
        </w:tabs>
      </w:pPr>
      <w:r>
        <w:rPr/>
        <w:t>SEA</w:t>
      </w:r>
      <w:r>
        <w:rPr>
          <w:rFonts w:ascii="Times New Roman"/>
        </w:rPr>
        <w:tab/>
      </w:r>
      <w:r>
        <w:rPr/>
        <w:t>Strategic Environmental</w:t>
      </w:r>
      <w:r>
        <w:rPr>
          <w:spacing w:val="-2"/>
        </w:rPr>
        <w:t> </w:t>
      </w:r>
      <w:r>
        <w:rPr/>
        <w:t>Assessment</w:t>
      </w:r>
    </w:p>
    <w:p>
      <w:pPr>
        <w:pStyle w:val="Heading3"/>
        <w:tabs>
          <w:tab w:pos="2127" w:val="left" w:leader="none"/>
        </w:tabs>
      </w:pPr>
      <w:r>
        <w:rPr/>
        <w:t>SFRA</w:t>
      </w:r>
      <w:r>
        <w:rPr>
          <w:rFonts w:ascii="Times New Roman"/>
        </w:rPr>
        <w:tab/>
      </w:r>
      <w:r>
        <w:rPr/>
        <w:t>Strategic Flood Risk</w:t>
      </w:r>
      <w:r>
        <w:rPr>
          <w:spacing w:val="-3"/>
        </w:rPr>
        <w:t> </w:t>
      </w:r>
      <w:r>
        <w:rPr/>
        <w:t>Assessment</w:t>
      </w:r>
    </w:p>
    <w:p>
      <w:pPr>
        <w:pStyle w:val="Heading3"/>
        <w:tabs>
          <w:tab w:pos="2127" w:val="left" w:leader="none"/>
        </w:tabs>
      </w:pPr>
      <w:r>
        <w:rPr/>
        <w:t>SPD</w:t>
      </w:r>
      <w:r>
        <w:rPr>
          <w:rFonts w:ascii="Times New Roman"/>
        </w:rPr>
        <w:tab/>
      </w:r>
      <w:r>
        <w:rPr/>
        <w:t>Supplementary Planning</w:t>
      </w:r>
      <w:r>
        <w:rPr>
          <w:spacing w:val="-2"/>
        </w:rPr>
        <w:t> </w:t>
      </w:r>
      <w:r>
        <w:rPr/>
        <w:t>Document</w:t>
      </w:r>
    </w:p>
    <w:p>
      <w:pPr>
        <w:pStyle w:val="Heading3"/>
        <w:tabs>
          <w:tab w:pos="2127" w:val="left" w:leader="none"/>
        </w:tabs>
      </w:pPr>
      <w:r>
        <w:rPr/>
        <w:t>SuDS</w:t>
      </w:r>
      <w:r>
        <w:rPr>
          <w:rFonts w:ascii="Times New Roman"/>
        </w:rPr>
        <w:tab/>
      </w:r>
      <w:r>
        <w:rPr/>
        <w:t>Sustainable Drainage</w:t>
      </w:r>
      <w:r>
        <w:rPr>
          <w:spacing w:val="-2"/>
        </w:rPr>
        <w:t> </w:t>
      </w:r>
      <w:r>
        <w:rPr/>
        <w:t>Systems</w:t>
      </w:r>
    </w:p>
    <w:p>
      <w:pPr>
        <w:pStyle w:val="Heading3"/>
        <w:tabs>
          <w:tab w:pos="2127" w:val="left" w:leader="none"/>
        </w:tabs>
      </w:pPr>
      <w:r>
        <w:rPr/>
        <w:t>UK</w:t>
      </w:r>
      <w:r>
        <w:rPr>
          <w:rFonts w:ascii="Times New Roman"/>
        </w:rPr>
        <w:tab/>
      </w:r>
      <w:r>
        <w:rPr/>
        <w:t>United</w:t>
      </w:r>
      <w:r>
        <w:rPr>
          <w:spacing w:val="-1"/>
        </w:rPr>
        <w:t> </w:t>
      </w:r>
      <w:r>
        <w:rPr/>
        <w:t>Kingdom</w:t>
      </w:r>
    </w:p>
    <w:p>
      <w:pPr>
        <w:pStyle w:val="Heading3"/>
        <w:tabs>
          <w:tab w:pos="2127" w:val="left" w:leader="none"/>
        </w:tabs>
        <w:ind w:right="4774"/>
      </w:pPr>
      <w:r>
        <w:rPr/>
        <w:t>UKCIP</w:t>
      </w:r>
      <w:r>
        <w:rPr>
          <w:rFonts w:ascii="Times New Roman"/>
        </w:rPr>
        <w:tab/>
      </w:r>
      <w:r>
        <w:rPr/>
        <w:t>UK Climate Impacts Programme UKCP09</w:t>
      </w:r>
      <w:r>
        <w:rPr>
          <w:rFonts w:ascii="Times New Roman"/>
        </w:rPr>
        <w:tab/>
      </w:r>
      <w:r>
        <w:rPr/>
        <w:t>UK Climate Projections (latest) WFD</w:t>
      </w:r>
      <w:r>
        <w:rPr>
          <w:rFonts w:ascii="Times New Roman"/>
        </w:rPr>
        <w:tab/>
      </w:r>
      <w:r>
        <w:rPr/>
        <w:t>Water Framework</w:t>
      </w:r>
      <w:r>
        <w:rPr>
          <w:spacing w:val="-5"/>
        </w:rPr>
        <w:t> </w:t>
      </w:r>
      <w:r>
        <w:rPr/>
        <w:t>Directive</w:t>
      </w:r>
    </w:p>
    <w:p>
      <w:pPr>
        <w:pStyle w:val="Heading3"/>
        <w:tabs>
          <w:tab w:pos="2127" w:val="left" w:leader="none"/>
        </w:tabs>
      </w:pPr>
      <w:r>
        <w:rPr/>
        <w:t>YWS</w:t>
      </w:r>
      <w:r>
        <w:rPr>
          <w:rFonts w:ascii="Times New Roman"/>
        </w:rPr>
        <w:tab/>
      </w:r>
      <w:r>
        <w:rPr/>
        <w:t>Yorkshire Water</w:t>
      </w:r>
      <w:r>
        <w:rPr>
          <w:spacing w:val="-2"/>
        </w:rPr>
        <w:t> </w:t>
      </w:r>
      <w:r>
        <w:rPr/>
        <w:t>Services</w:t>
      </w:r>
    </w:p>
    <w:p>
      <w:pPr>
        <w:spacing w:after="0"/>
        <w:sectPr>
          <w:pgSz w:w="11910" w:h="16840"/>
          <w:pgMar w:header="0" w:footer="906" w:top="1580" w:bottom="1100" w:left="1040" w:right="520"/>
        </w:sectPr>
      </w:pPr>
    </w:p>
    <w:p>
      <w:pPr>
        <w:pStyle w:val="ListParagraph"/>
        <w:numPr>
          <w:ilvl w:val="0"/>
          <w:numId w:val="26"/>
        </w:numPr>
        <w:tabs>
          <w:tab w:pos="760" w:val="left" w:leader="none"/>
        </w:tabs>
        <w:spacing w:line="240" w:lineRule="auto" w:before="78" w:after="0"/>
        <w:ind w:left="759" w:right="0" w:hanging="359"/>
        <w:jc w:val="left"/>
        <w:rPr>
          <w:b/>
          <w:sz w:val="24"/>
        </w:rPr>
      </w:pPr>
      <w:bookmarkStart w:name="_TOC_250006" w:id="93"/>
      <w:bookmarkEnd w:id="93"/>
      <w:r>
        <w:rPr>
          <w:b/>
          <w:sz w:val="24"/>
        </w:rPr>
        <w:t>Appendices</w:t>
      </w:r>
    </w:p>
    <w:p>
      <w:pPr>
        <w:spacing w:line="343" w:lineRule="auto" w:before="120"/>
        <w:ind w:left="400" w:right="5022" w:firstLine="0"/>
        <w:jc w:val="left"/>
        <w:rPr>
          <w:b/>
          <w:sz w:val="24"/>
        </w:rPr>
      </w:pPr>
      <w:r>
        <w:rPr>
          <w:b/>
          <w:sz w:val="24"/>
        </w:rPr>
        <w:t>APPENDIX A – SEA Workshop Participants APPENDIX B – Baseline Data</w:t>
      </w:r>
    </w:p>
    <w:p>
      <w:pPr>
        <w:spacing w:line="343" w:lineRule="auto" w:before="2"/>
        <w:ind w:left="400" w:right="3367" w:firstLine="0"/>
        <w:jc w:val="left"/>
        <w:rPr>
          <w:b/>
          <w:sz w:val="24"/>
        </w:rPr>
      </w:pPr>
      <w:r>
        <w:rPr>
          <w:b/>
          <w:sz w:val="24"/>
        </w:rPr>
        <w:t>APPENDIX C – Leeds Sustainability Appraisal Framework APPENDIX D – List of Measures</w:t>
      </w:r>
    </w:p>
    <w:p>
      <w:pPr>
        <w:spacing w:line="343" w:lineRule="auto" w:before="3"/>
        <w:ind w:left="400" w:right="3541" w:firstLine="0"/>
        <w:jc w:val="left"/>
        <w:rPr>
          <w:b/>
          <w:sz w:val="24"/>
        </w:rPr>
      </w:pPr>
      <w:r>
        <w:rPr>
          <w:b/>
          <w:sz w:val="24"/>
        </w:rPr>
        <w:t>APPENDIX E – Summary of SEA Workshop Discussions APPENDIX F – Climate Proofing Assessment</w:t>
      </w:r>
    </w:p>
    <w:p>
      <w:pPr>
        <w:spacing w:after="0" w:line="343" w:lineRule="auto"/>
        <w:jc w:val="left"/>
        <w:rPr>
          <w:sz w:val="24"/>
        </w:rPr>
        <w:sectPr>
          <w:pgSz w:w="11910" w:h="16840"/>
          <w:pgMar w:header="0" w:footer="906" w:top="1580" w:bottom="1100" w:left="1040" w:right="520"/>
        </w:sectPr>
      </w:pPr>
    </w:p>
    <w:p>
      <w:pPr>
        <w:pStyle w:val="Heading2"/>
      </w:pPr>
      <w:bookmarkStart w:name="_TOC_250005" w:id="94"/>
      <w:bookmarkEnd w:id="94"/>
      <w:r>
        <w:rPr/>
        <w:t>Appendix A – SEA Workshop Participants</w:t>
      </w:r>
    </w:p>
    <w:p>
      <w:pPr>
        <w:pStyle w:val="BodyText"/>
        <w:spacing w:before="2"/>
        <w:rPr>
          <w:b/>
          <w:sz w:val="29"/>
        </w:rPr>
      </w:pPr>
    </w:p>
    <w:p>
      <w:pPr>
        <w:pStyle w:val="Heading3"/>
        <w:tabs>
          <w:tab w:pos="3280" w:val="left" w:leader="none"/>
        </w:tabs>
        <w:ind w:right="3835"/>
      </w:pPr>
      <w:r>
        <w:rPr/>
        <w:t>Dr</w:t>
      </w:r>
      <w:r>
        <w:rPr>
          <w:spacing w:val="-1"/>
        </w:rPr>
        <w:t> </w:t>
      </w:r>
      <w:r>
        <w:rPr/>
        <w:t>Tom</w:t>
      </w:r>
      <w:r>
        <w:rPr>
          <w:spacing w:val="-1"/>
        </w:rPr>
        <w:t> </w:t>
      </w:r>
      <w:r>
        <w:rPr/>
        <w:t>Knowland</w:t>
      </w:r>
      <w:r>
        <w:rPr>
          <w:rFonts w:ascii="Times New Roman"/>
        </w:rPr>
        <w:tab/>
      </w:r>
      <w:r>
        <w:rPr/>
        <w:t>Sustainable Development Unit Jon</w:t>
      </w:r>
      <w:r>
        <w:rPr>
          <w:spacing w:val="-1"/>
        </w:rPr>
        <w:t> </w:t>
      </w:r>
      <w:r>
        <w:rPr/>
        <w:t>Andrews</w:t>
      </w:r>
      <w:r>
        <w:rPr>
          <w:rFonts w:ascii="Times New Roman"/>
        </w:rPr>
        <w:tab/>
      </w:r>
      <w:r>
        <w:rPr/>
        <w:t>Sustainable Development</w:t>
      </w:r>
      <w:r>
        <w:rPr>
          <w:spacing w:val="-14"/>
        </w:rPr>
        <w:t> </w:t>
      </w:r>
      <w:r>
        <w:rPr/>
        <w:t>Unit</w:t>
      </w:r>
    </w:p>
    <w:p>
      <w:pPr>
        <w:pStyle w:val="Heading3"/>
        <w:tabs>
          <w:tab w:pos="3280" w:val="left" w:leader="none"/>
        </w:tabs>
      </w:pPr>
      <w:r>
        <w:rPr/>
        <w:t>Ian</w:t>
      </w:r>
      <w:r>
        <w:rPr>
          <w:spacing w:val="-2"/>
        </w:rPr>
        <w:t> </w:t>
      </w:r>
      <w:r>
        <w:rPr/>
        <w:t>Hope</w:t>
      </w:r>
      <w:r>
        <w:rPr>
          <w:rFonts w:ascii="Times New Roman"/>
        </w:rPr>
        <w:tab/>
      </w:r>
      <w:r>
        <w:rPr/>
        <w:t>Flood Risk</w:t>
      </w:r>
      <w:r>
        <w:rPr>
          <w:spacing w:val="-2"/>
        </w:rPr>
        <w:t> </w:t>
      </w:r>
      <w:r>
        <w:rPr/>
        <w:t>Management</w:t>
      </w:r>
    </w:p>
    <w:p>
      <w:pPr>
        <w:pStyle w:val="Heading3"/>
        <w:tabs>
          <w:tab w:pos="3280" w:val="left" w:leader="none"/>
        </w:tabs>
      </w:pPr>
      <w:r>
        <w:rPr/>
        <w:t>Simon</w:t>
      </w:r>
      <w:r>
        <w:rPr>
          <w:spacing w:val="-1"/>
        </w:rPr>
        <w:t> </w:t>
      </w:r>
      <w:r>
        <w:rPr/>
        <w:t>Gilliland</w:t>
      </w:r>
      <w:r>
        <w:rPr>
          <w:rFonts w:ascii="Times New Roman"/>
        </w:rPr>
        <w:tab/>
      </w:r>
      <w:r>
        <w:rPr/>
        <w:t>Mouchel</w:t>
      </w:r>
    </w:p>
    <w:p>
      <w:pPr>
        <w:pStyle w:val="Heading3"/>
        <w:tabs>
          <w:tab w:pos="3280" w:val="left" w:leader="none"/>
        </w:tabs>
      </w:pPr>
      <w:r>
        <w:rPr/>
        <w:t>Paul</w:t>
      </w:r>
      <w:r>
        <w:rPr>
          <w:spacing w:val="-1"/>
        </w:rPr>
        <w:t> </w:t>
      </w:r>
      <w:r>
        <w:rPr/>
        <w:t>Seddon</w:t>
      </w:r>
      <w:r>
        <w:rPr>
          <w:rFonts w:ascii="Times New Roman"/>
        </w:rPr>
        <w:tab/>
      </w:r>
      <w:r>
        <w:rPr/>
        <w:t>Peacetime Emergency Planning</w:t>
      </w:r>
      <w:r>
        <w:rPr>
          <w:spacing w:val="-2"/>
        </w:rPr>
        <w:t> </w:t>
      </w:r>
      <w:r>
        <w:rPr/>
        <w:t>Unit</w:t>
      </w:r>
    </w:p>
    <w:p>
      <w:pPr>
        <w:pStyle w:val="Heading3"/>
        <w:tabs>
          <w:tab w:pos="3279" w:val="left" w:leader="none"/>
        </w:tabs>
      </w:pPr>
      <w:r>
        <w:rPr/>
        <w:t>Dave</w:t>
      </w:r>
      <w:r>
        <w:rPr>
          <w:spacing w:val="-4"/>
        </w:rPr>
        <w:t> </w:t>
      </w:r>
      <w:r>
        <w:rPr/>
        <w:t>Cherry</w:t>
      </w:r>
      <w:r>
        <w:rPr>
          <w:rFonts w:ascii="Times New Roman"/>
        </w:rPr>
        <w:tab/>
      </w:r>
      <w:r>
        <w:rPr/>
        <w:t>Transport Policy</w:t>
      </w:r>
    </w:p>
    <w:p>
      <w:pPr>
        <w:pStyle w:val="Heading3"/>
        <w:tabs>
          <w:tab w:pos="3279" w:val="left" w:leader="none"/>
        </w:tabs>
      </w:pPr>
      <w:r>
        <w:rPr/>
        <w:t>Claire</w:t>
      </w:r>
      <w:r>
        <w:rPr>
          <w:spacing w:val="-3"/>
        </w:rPr>
        <w:t> </w:t>
      </w:r>
      <w:r>
        <w:rPr/>
        <w:t>Brown</w:t>
      </w:r>
      <w:r>
        <w:rPr>
          <w:rFonts w:ascii="Times New Roman"/>
        </w:rPr>
        <w:tab/>
      </w:r>
      <w:r>
        <w:rPr/>
        <w:t>Environment Agency</w:t>
      </w:r>
    </w:p>
    <w:p>
      <w:pPr>
        <w:pStyle w:val="Heading3"/>
        <w:tabs>
          <w:tab w:pos="3279" w:val="left" w:leader="none"/>
        </w:tabs>
      </w:pPr>
      <w:r>
        <w:rPr/>
        <w:t>Karen</w:t>
      </w:r>
      <w:r>
        <w:rPr>
          <w:spacing w:val="-3"/>
        </w:rPr>
        <w:t> </w:t>
      </w:r>
      <w:r>
        <w:rPr/>
        <w:t>Robson</w:t>
      </w:r>
      <w:r>
        <w:rPr>
          <w:rFonts w:ascii="Times New Roman"/>
        </w:rPr>
        <w:tab/>
      </w:r>
      <w:r>
        <w:rPr/>
        <w:t>Environment Agency</w:t>
      </w:r>
    </w:p>
    <w:p>
      <w:pPr>
        <w:pStyle w:val="Heading3"/>
        <w:tabs>
          <w:tab w:pos="3280" w:val="left" w:leader="none"/>
        </w:tabs>
      </w:pPr>
      <w:r>
        <w:rPr/>
        <w:t>Libby</w:t>
      </w:r>
      <w:r>
        <w:rPr>
          <w:spacing w:val="-2"/>
        </w:rPr>
        <w:t> </w:t>
      </w:r>
      <w:r>
        <w:rPr/>
        <w:t>Turpin</w:t>
      </w:r>
      <w:r>
        <w:rPr>
          <w:rFonts w:ascii="Times New Roman"/>
        </w:rPr>
        <w:tab/>
      </w:r>
      <w:r>
        <w:rPr/>
        <w:t>Leeds</w:t>
      </w:r>
      <w:r>
        <w:rPr>
          <w:spacing w:val="-1"/>
        </w:rPr>
        <w:t> </w:t>
      </w:r>
      <w:r>
        <w:rPr/>
        <w:t>University</w:t>
      </w:r>
    </w:p>
    <w:p>
      <w:pPr>
        <w:spacing w:after="0"/>
        <w:sectPr>
          <w:pgSz w:w="11910" w:h="16840"/>
          <w:pgMar w:header="0" w:footer="906" w:top="1580" w:bottom="1100" w:left="1040" w:right="520"/>
        </w:sectPr>
      </w:pPr>
    </w:p>
    <w:p>
      <w:pPr>
        <w:pStyle w:val="Heading2"/>
      </w:pPr>
      <w:bookmarkStart w:name="_TOC_250004" w:id="95"/>
      <w:bookmarkEnd w:id="95"/>
      <w:r>
        <w:rPr/>
        <w:t>Appendix B – Baseline Data</w:t>
      </w:r>
    </w:p>
    <w:p>
      <w:pPr>
        <w:pStyle w:val="BodyText"/>
        <w:spacing w:before="2"/>
        <w:rPr>
          <w:b/>
          <w:sz w:val="29"/>
        </w:rPr>
      </w:pPr>
    </w:p>
    <w:p>
      <w:pPr>
        <w:pStyle w:val="Heading3"/>
      </w:pPr>
      <w:r>
        <w:rPr/>
        <w:t>Data provided to participants in advance of SEA Workshop on 5</w:t>
      </w:r>
      <w:r>
        <w:rPr>
          <w:vertAlign w:val="superscript"/>
        </w:rPr>
        <w:t>th</w:t>
      </w:r>
      <w:r>
        <w:rPr>
          <w:vertAlign w:val="baseline"/>
        </w:rPr>
        <w:t> July 2012.</w:t>
      </w:r>
    </w:p>
    <w:p>
      <w:pPr>
        <w:pStyle w:val="BodyText"/>
        <w:spacing w:before="1"/>
        <w:rPr>
          <w:sz w:val="24"/>
        </w:rPr>
      </w:pPr>
    </w:p>
    <w:p>
      <w:pPr>
        <w:pStyle w:val="Heading3"/>
        <w:numPr>
          <w:ilvl w:val="0"/>
          <w:numId w:val="27"/>
        </w:numPr>
        <w:tabs>
          <w:tab w:pos="1119" w:val="left" w:leader="none"/>
          <w:tab w:pos="1120" w:val="left" w:leader="none"/>
        </w:tabs>
        <w:spacing w:line="240" w:lineRule="auto" w:before="0" w:after="0"/>
        <w:ind w:left="1120" w:right="916" w:hanging="360"/>
        <w:jc w:val="left"/>
      </w:pPr>
      <w:r>
        <w:rPr/>
        <w:t>The metropolitan district of Leeds covers an area of approximately 560 square kilometres;</w:t>
      </w:r>
    </w:p>
    <w:p>
      <w:pPr>
        <w:pStyle w:val="BodyText"/>
        <w:spacing w:before="10"/>
      </w:pPr>
    </w:p>
    <w:p>
      <w:pPr>
        <w:pStyle w:val="Heading3"/>
        <w:numPr>
          <w:ilvl w:val="0"/>
          <w:numId w:val="27"/>
        </w:numPr>
        <w:tabs>
          <w:tab w:pos="1119" w:val="left" w:leader="none"/>
          <w:tab w:pos="1120" w:val="left" w:leader="none"/>
        </w:tabs>
        <w:spacing w:line="240" w:lineRule="auto" w:before="0" w:after="0"/>
        <w:ind w:left="1120" w:right="0" w:hanging="360"/>
        <w:jc w:val="left"/>
      </w:pPr>
      <w:r>
        <w:rPr/>
        <w:t>The population of the metropolitan district of Leeds is approximately</w:t>
      </w:r>
      <w:r>
        <w:rPr>
          <w:spacing w:val="-24"/>
        </w:rPr>
        <w:t> </w:t>
      </w:r>
      <w:r>
        <w:rPr/>
        <w:t>750,000;</w:t>
      </w:r>
    </w:p>
    <w:p>
      <w:pPr>
        <w:pStyle w:val="BodyText"/>
        <w:spacing w:before="8"/>
      </w:pPr>
    </w:p>
    <w:p>
      <w:pPr>
        <w:pStyle w:val="Heading3"/>
        <w:numPr>
          <w:ilvl w:val="0"/>
          <w:numId w:val="27"/>
        </w:numPr>
        <w:tabs>
          <w:tab w:pos="1119" w:val="left" w:leader="none"/>
          <w:tab w:pos="1120" w:val="left" w:leader="none"/>
        </w:tabs>
        <w:spacing w:line="240" w:lineRule="auto" w:before="0" w:after="0"/>
        <w:ind w:left="1120" w:right="921" w:hanging="360"/>
        <w:jc w:val="left"/>
      </w:pPr>
      <w:r>
        <w:rPr/>
        <w:t>The employment rate in Leeds is 69%, which is broadly in line with regional and national</w:t>
      </w:r>
      <w:r>
        <w:rPr>
          <w:spacing w:val="-2"/>
        </w:rPr>
        <w:t> </w:t>
      </w:r>
      <w:r>
        <w:rPr/>
        <w:t>averages;</w:t>
      </w:r>
    </w:p>
    <w:p>
      <w:pPr>
        <w:pStyle w:val="BodyText"/>
        <w:spacing w:before="10"/>
      </w:pPr>
    </w:p>
    <w:p>
      <w:pPr>
        <w:pStyle w:val="Heading3"/>
        <w:numPr>
          <w:ilvl w:val="0"/>
          <w:numId w:val="27"/>
        </w:numPr>
        <w:tabs>
          <w:tab w:pos="1119" w:val="left" w:leader="none"/>
          <w:tab w:pos="1120" w:val="left" w:leader="none"/>
        </w:tabs>
        <w:spacing w:line="240" w:lineRule="auto" w:before="0" w:after="0"/>
        <w:ind w:left="1120" w:right="0" w:hanging="360"/>
        <w:jc w:val="left"/>
      </w:pPr>
      <w:r>
        <w:rPr>
          <w:spacing w:val="-3"/>
        </w:rPr>
        <w:t>Leeds has over 150 designated nature </w:t>
      </w:r>
      <w:r>
        <w:rPr>
          <w:spacing w:val="-4"/>
        </w:rPr>
        <w:t>conservation sites </w:t>
      </w:r>
      <w:r>
        <w:rPr>
          <w:spacing w:val="-3"/>
        </w:rPr>
        <w:t>across the</w:t>
      </w:r>
      <w:r>
        <w:rPr>
          <w:spacing w:val="-30"/>
        </w:rPr>
        <w:t> </w:t>
      </w:r>
      <w:r>
        <w:rPr>
          <w:spacing w:val="-4"/>
        </w:rPr>
        <w:t>city;</w:t>
      </w:r>
    </w:p>
    <w:p>
      <w:pPr>
        <w:pStyle w:val="BodyText"/>
        <w:spacing w:before="10"/>
      </w:pPr>
    </w:p>
    <w:p>
      <w:pPr>
        <w:pStyle w:val="Heading3"/>
        <w:numPr>
          <w:ilvl w:val="0"/>
          <w:numId w:val="27"/>
        </w:numPr>
        <w:tabs>
          <w:tab w:pos="1119" w:val="left" w:leader="none"/>
          <w:tab w:pos="1120" w:val="left" w:leader="none"/>
        </w:tabs>
        <w:spacing w:line="240" w:lineRule="auto" w:before="1" w:after="0"/>
        <w:ind w:left="1120" w:right="0" w:hanging="360"/>
        <w:jc w:val="left"/>
      </w:pPr>
      <w:r>
        <w:rPr/>
        <w:t>The </w:t>
      </w:r>
      <w:r>
        <w:rPr>
          <w:spacing w:val="-3"/>
        </w:rPr>
        <w:t>road network </w:t>
      </w:r>
      <w:r>
        <w:rPr>
          <w:spacing w:val="-4"/>
        </w:rPr>
        <w:t>in Leeds </w:t>
      </w:r>
      <w:r>
        <w:rPr>
          <w:spacing w:val="-3"/>
        </w:rPr>
        <w:t>totals 2,965</w:t>
      </w:r>
      <w:r>
        <w:rPr>
          <w:spacing w:val="-26"/>
        </w:rPr>
        <w:t> </w:t>
      </w:r>
      <w:r>
        <w:rPr>
          <w:spacing w:val="-4"/>
        </w:rPr>
        <w:t>kilometres;</w:t>
      </w:r>
    </w:p>
    <w:p>
      <w:pPr>
        <w:pStyle w:val="BodyText"/>
        <w:spacing w:before="10"/>
      </w:pPr>
    </w:p>
    <w:p>
      <w:pPr>
        <w:pStyle w:val="Heading3"/>
        <w:numPr>
          <w:ilvl w:val="0"/>
          <w:numId w:val="27"/>
        </w:numPr>
        <w:tabs>
          <w:tab w:pos="1119" w:val="left" w:leader="none"/>
          <w:tab w:pos="1120" w:val="left" w:leader="none"/>
        </w:tabs>
        <w:spacing w:line="240" w:lineRule="auto" w:before="0" w:after="0"/>
        <w:ind w:left="1120" w:right="0" w:hanging="360"/>
        <w:jc w:val="left"/>
      </w:pPr>
      <w:r>
        <w:rPr/>
        <w:t>In </w:t>
      </w:r>
      <w:r>
        <w:rPr>
          <w:spacing w:val="-4"/>
        </w:rPr>
        <w:t>2010 </w:t>
      </w:r>
      <w:r>
        <w:rPr>
          <w:spacing w:val="-3"/>
        </w:rPr>
        <w:t>38% </w:t>
      </w:r>
      <w:r>
        <w:rPr/>
        <w:t>of </w:t>
      </w:r>
      <w:r>
        <w:rPr>
          <w:spacing w:val="-3"/>
        </w:rPr>
        <w:t>travel into Leeds was via </w:t>
      </w:r>
      <w:r>
        <w:rPr>
          <w:spacing w:val="-4"/>
        </w:rPr>
        <w:t>public</w:t>
      </w:r>
      <w:r>
        <w:rPr>
          <w:spacing w:val="-36"/>
        </w:rPr>
        <w:t> </w:t>
      </w:r>
      <w:r>
        <w:rPr>
          <w:spacing w:val="-4"/>
        </w:rPr>
        <w:t>transport;</w:t>
      </w:r>
    </w:p>
    <w:p>
      <w:pPr>
        <w:pStyle w:val="BodyText"/>
        <w:spacing w:before="8"/>
      </w:pPr>
    </w:p>
    <w:p>
      <w:pPr>
        <w:pStyle w:val="Heading3"/>
        <w:numPr>
          <w:ilvl w:val="0"/>
          <w:numId w:val="27"/>
        </w:numPr>
        <w:tabs>
          <w:tab w:pos="1119" w:val="left" w:leader="none"/>
          <w:tab w:pos="1120" w:val="left" w:leader="none"/>
        </w:tabs>
        <w:spacing w:line="240" w:lineRule="auto" w:before="0" w:after="0"/>
        <w:ind w:left="1120" w:right="908" w:hanging="360"/>
        <w:jc w:val="left"/>
      </w:pPr>
      <w:r>
        <w:rPr/>
        <w:t>The </w:t>
      </w:r>
      <w:r>
        <w:rPr>
          <w:spacing w:val="-4"/>
        </w:rPr>
        <w:t>average </w:t>
      </w:r>
      <w:r>
        <w:rPr>
          <w:spacing w:val="-3"/>
        </w:rPr>
        <w:t>annual CO</w:t>
      </w:r>
      <w:r>
        <w:rPr>
          <w:spacing w:val="-3"/>
          <w:vertAlign w:val="subscript"/>
        </w:rPr>
        <w:t>2</w:t>
      </w:r>
      <w:r>
        <w:rPr>
          <w:spacing w:val="-3"/>
          <w:vertAlign w:val="baseline"/>
        </w:rPr>
        <w:t> emissions per capita </w:t>
      </w:r>
      <w:r>
        <w:rPr>
          <w:vertAlign w:val="baseline"/>
        </w:rPr>
        <w:t>is </w:t>
      </w:r>
      <w:r>
        <w:rPr>
          <w:spacing w:val="-3"/>
          <w:vertAlign w:val="baseline"/>
        </w:rPr>
        <w:t>6.3 tonnes (2009 survey); </w:t>
      </w:r>
      <w:r>
        <w:rPr>
          <w:vertAlign w:val="baseline"/>
        </w:rPr>
        <w:t>this is </w:t>
      </w:r>
      <w:r>
        <w:rPr>
          <w:spacing w:val="-3"/>
          <w:vertAlign w:val="baseline"/>
        </w:rPr>
        <w:t>similar </w:t>
      </w:r>
      <w:r>
        <w:rPr>
          <w:vertAlign w:val="baseline"/>
        </w:rPr>
        <w:t>to </w:t>
      </w:r>
      <w:r>
        <w:rPr>
          <w:spacing w:val="-3"/>
          <w:vertAlign w:val="baseline"/>
        </w:rPr>
        <w:t>other </w:t>
      </w:r>
      <w:r>
        <w:rPr>
          <w:spacing w:val="-4"/>
          <w:vertAlign w:val="baseline"/>
        </w:rPr>
        <w:t>large metropolitan </w:t>
      </w:r>
      <w:r>
        <w:rPr>
          <w:spacing w:val="-3"/>
          <w:vertAlign w:val="baseline"/>
        </w:rPr>
        <w:t>districts </w:t>
      </w:r>
      <w:r>
        <w:rPr>
          <w:spacing w:val="-4"/>
          <w:vertAlign w:val="baseline"/>
        </w:rPr>
        <w:t>in </w:t>
      </w:r>
      <w:r>
        <w:rPr>
          <w:vertAlign w:val="baseline"/>
        </w:rPr>
        <w:t>the</w:t>
      </w:r>
      <w:r>
        <w:rPr>
          <w:spacing w:val="-35"/>
          <w:vertAlign w:val="baseline"/>
        </w:rPr>
        <w:t> </w:t>
      </w:r>
      <w:r>
        <w:rPr>
          <w:spacing w:val="-3"/>
          <w:vertAlign w:val="baseline"/>
        </w:rPr>
        <w:t>UK;</w:t>
      </w:r>
    </w:p>
    <w:p>
      <w:pPr>
        <w:pStyle w:val="BodyText"/>
        <w:spacing w:before="10"/>
      </w:pPr>
    </w:p>
    <w:p>
      <w:pPr>
        <w:pStyle w:val="Heading3"/>
        <w:numPr>
          <w:ilvl w:val="0"/>
          <w:numId w:val="27"/>
        </w:numPr>
        <w:tabs>
          <w:tab w:pos="1120" w:val="left" w:leader="none"/>
        </w:tabs>
        <w:spacing w:line="240" w:lineRule="auto" w:before="0" w:after="0"/>
        <w:ind w:left="1120" w:right="916" w:hanging="360"/>
        <w:jc w:val="both"/>
      </w:pPr>
      <w:r>
        <w:rPr/>
        <w:t>The Environment Agency estimates that there are 1500 homes and 500 businesses at ‘significant’ risk of river flooding within the district (at risk of annual flooding with a probability of 1 in 75</w:t>
      </w:r>
      <w:r>
        <w:rPr>
          <w:spacing w:val="-10"/>
        </w:rPr>
        <w:t> </w:t>
      </w:r>
      <w:r>
        <w:rPr/>
        <w:t>years);</w:t>
      </w:r>
    </w:p>
    <w:p>
      <w:pPr>
        <w:pStyle w:val="BodyText"/>
        <w:spacing w:before="4"/>
        <w:rPr>
          <w:sz w:val="24"/>
        </w:rPr>
      </w:pPr>
    </w:p>
    <w:p>
      <w:pPr>
        <w:pStyle w:val="Heading3"/>
        <w:numPr>
          <w:ilvl w:val="0"/>
          <w:numId w:val="27"/>
        </w:numPr>
        <w:tabs>
          <w:tab w:pos="1119" w:val="left" w:leader="none"/>
          <w:tab w:pos="1120" w:val="left" w:leader="none"/>
        </w:tabs>
        <w:spacing w:line="235" w:lineRule="auto" w:before="0" w:after="0"/>
        <w:ind w:left="1120" w:right="918" w:hanging="360"/>
        <w:jc w:val="left"/>
      </w:pPr>
      <w:r>
        <w:rPr/>
        <w:t>Parts of Leeds city centre are estimated to have a 1 in 20 year risk of flooding from the River</w:t>
      </w:r>
      <w:r>
        <w:rPr>
          <w:spacing w:val="-3"/>
        </w:rPr>
        <w:t> </w:t>
      </w:r>
      <w:r>
        <w:rPr/>
        <w:t>Aire;</w:t>
      </w:r>
    </w:p>
    <w:p>
      <w:pPr>
        <w:pStyle w:val="BodyText"/>
        <w:spacing w:before="3"/>
        <w:rPr>
          <w:sz w:val="24"/>
        </w:rPr>
      </w:pPr>
    </w:p>
    <w:p>
      <w:pPr>
        <w:pStyle w:val="Heading3"/>
        <w:numPr>
          <w:ilvl w:val="0"/>
          <w:numId w:val="27"/>
        </w:numPr>
        <w:tabs>
          <w:tab w:pos="1119" w:val="left" w:leader="none"/>
          <w:tab w:pos="1120" w:val="left" w:leader="none"/>
        </w:tabs>
        <w:spacing w:line="240" w:lineRule="auto" w:before="0" w:after="0"/>
        <w:ind w:left="1120" w:right="908" w:hanging="360"/>
        <w:jc w:val="left"/>
      </w:pPr>
      <w:r>
        <w:rPr>
          <w:spacing w:val="-3"/>
        </w:rPr>
        <w:t>There </w:t>
      </w:r>
      <w:r>
        <w:rPr/>
        <w:t>are </w:t>
      </w:r>
      <w:r>
        <w:rPr>
          <w:spacing w:val="-4"/>
        </w:rPr>
        <w:t>approximately </w:t>
      </w:r>
      <w:r>
        <w:rPr>
          <w:spacing w:val="-3"/>
        </w:rPr>
        <w:t>500km </w:t>
      </w:r>
      <w:r>
        <w:rPr/>
        <w:t>of </w:t>
      </w:r>
      <w:r>
        <w:rPr>
          <w:spacing w:val="-4"/>
        </w:rPr>
        <w:t>ordinary </w:t>
      </w:r>
      <w:r>
        <w:rPr>
          <w:spacing w:val="-3"/>
        </w:rPr>
        <w:t>watercourses </w:t>
      </w:r>
      <w:r>
        <w:rPr>
          <w:spacing w:val="-4"/>
        </w:rPr>
        <w:t>‘non-main </w:t>
      </w:r>
      <w:r>
        <w:rPr/>
        <w:t>river’ in the </w:t>
      </w:r>
      <w:r>
        <w:rPr>
          <w:spacing w:val="-3"/>
        </w:rPr>
        <w:t>Leeds district, </w:t>
      </w:r>
      <w:r>
        <w:rPr>
          <w:spacing w:val="-5"/>
        </w:rPr>
        <w:t>which </w:t>
      </w:r>
      <w:r>
        <w:rPr>
          <w:spacing w:val="-3"/>
        </w:rPr>
        <w:t>are managed by Leeds City</w:t>
      </w:r>
      <w:r>
        <w:rPr>
          <w:spacing w:val="-22"/>
        </w:rPr>
        <w:t> </w:t>
      </w:r>
      <w:r>
        <w:rPr>
          <w:spacing w:val="-4"/>
        </w:rPr>
        <w:t>Council.</w:t>
      </w:r>
    </w:p>
    <w:p>
      <w:pPr>
        <w:pStyle w:val="BodyText"/>
        <w:spacing w:before="10"/>
      </w:pPr>
    </w:p>
    <w:p>
      <w:pPr>
        <w:pStyle w:val="Heading3"/>
        <w:numPr>
          <w:ilvl w:val="0"/>
          <w:numId w:val="27"/>
        </w:numPr>
        <w:tabs>
          <w:tab w:pos="1119" w:val="left" w:leader="none"/>
          <w:tab w:pos="1120" w:val="left" w:leader="none"/>
        </w:tabs>
        <w:spacing w:line="240" w:lineRule="auto" w:before="0" w:after="0"/>
        <w:ind w:left="1120" w:right="906" w:hanging="360"/>
        <w:jc w:val="left"/>
      </w:pPr>
      <w:r>
        <w:rPr>
          <w:spacing w:val="-3"/>
        </w:rPr>
        <w:t>Approximately 80% </w:t>
      </w:r>
      <w:r>
        <w:rPr/>
        <w:t>of the </w:t>
      </w:r>
      <w:r>
        <w:rPr>
          <w:spacing w:val="-4"/>
        </w:rPr>
        <w:t>population </w:t>
      </w:r>
      <w:r>
        <w:rPr/>
        <w:t>is in the </w:t>
      </w:r>
      <w:r>
        <w:rPr>
          <w:spacing w:val="-4"/>
        </w:rPr>
        <w:t>catchment </w:t>
      </w:r>
      <w:r>
        <w:rPr/>
        <w:t>that is </w:t>
      </w:r>
      <w:r>
        <w:rPr>
          <w:spacing w:val="-3"/>
        </w:rPr>
        <w:t>drained </w:t>
      </w:r>
      <w:r>
        <w:rPr/>
        <w:t>by sewers</w:t>
      </w:r>
      <w:r>
        <w:rPr>
          <w:spacing w:val="-9"/>
        </w:rPr>
        <w:t> </w:t>
      </w:r>
      <w:r>
        <w:rPr>
          <w:spacing w:val="-3"/>
        </w:rPr>
        <w:t>to</w:t>
      </w:r>
      <w:r>
        <w:rPr>
          <w:spacing w:val="-6"/>
        </w:rPr>
        <w:t> </w:t>
      </w:r>
      <w:r>
        <w:rPr>
          <w:spacing w:val="-3"/>
        </w:rPr>
        <w:t>Knostrop</w:t>
      </w:r>
      <w:r>
        <w:rPr>
          <w:spacing w:val="-15"/>
        </w:rPr>
        <w:t> </w:t>
      </w:r>
      <w:r>
        <w:rPr/>
        <w:t>Waste</w:t>
      </w:r>
      <w:r>
        <w:rPr>
          <w:spacing w:val="-18"/>
        </w:rPr>
        <w:t> </w:t>
      </w:r>
      <w:r>
        <w:rPr/>
        <w:t>Water</w:t>
      </w:r>
      <w:r>
        <w:rPr>
          <w:spacing w:val="-8"/>
        </w:rPr>
        <w:t> </w:t>
      </w:r>
      <w:r>
        <w:rPr>
          <w:spacing w:val="-3"/>
        </w:rPr>
        <w:t>Treatment</w:t>
      </w:r>
      <w:r>
        <w:rPr>
          <w:spacing w:val="-15"/>
        </w:rPr>
        <w:t> </w:t>
      </w:r>
      <w:r>
        <w:rPr/>
        <w:t>Works;</w:t>
      </w:r>
    </w:p>
    <w:p>
      <w:pPr>
        <w:pStyle w:val="BodyText"/>
        <w:spacing w:before="10"/>
      </w:pPr>
    </w:p>
    <w:p>
      <w:pPr>
        <w:pStyle w:val="Heading3"/>
        <w:numPr>
          <w:ilvl w:val="0"/>
          <w:numId w:val="27"/>
        </w:numPr>
        <w:tabs>
          <w:tab w:pos="1120" w:val="left" w:leader="none"/>
        </w:tabs>
        <w:spacing w:line="240" w:lineRule="auto" w:before="0" w:after="0"/>
        <w:ind w:left="1120" w:right="911" w:hanging="360"/>
        <w:jc w:val="both"/>
      </w:pPr>
      <w:r>
        <w:rPr/>
        <w:t>The </w:t>
      </w:r>
      <w:r>
        <w:rPr>
          <w:spacing w:val="-3"/>
        </w:rPr>
        <w:t>general </w:t>
      </w:r>
      <w:r>
        <w:rPr>
          <w:spacing w:val="-4"/>
        </w:rPr>
        <w:t>topography </w:t>
      </w:r>
      <w:r>
        <w:rPr/>
        <w:t>Of </w:t>
      </w:r>
      <w:r>
        <w:rPr>
          <w:spacing w:val="-3"/>
        </w:rPr>
        <w:t>Leeds </w:t>
      </w:r>
      <w:r>
        <w:rPr/>
        <w:t>is </w:t>
      </w:r>
      <w:r>
        <w:rPr>
          <w:spacing w:val="-4"/>
        </w:rPr>
        <w:t>undulating </w:t>
      </w:r>
      <w:r>
        <w:rPr>
          <w:spacing w:val="-3"/>
        </w:rPr>
        <w:t>and varies </w:t>
      </w:r>
      <w:r>
        <w:rPr/>
        <w:t>in </w:t>
      </w:r>
      <w:r>
        <w:rPr>
          <w:spacing w:val="-3"/>
        </w:rPr>
        <w:t>level from 10m above Ordnance Datum </w:t>
      </w:r>
      <w:r>
        <w:rPr/>
        <w:t>at </w:t>
      </w:r>
      <w:r>
        <w:rPr>
          <w:spacing w:val="-4"/>
        </w:rPr>
        <w:t>Fairburn </w:t>
      </w:r>
      <w:r>
        <w:rPr/>
        <w:t>on the </w:t>
      </w:r>
      <w:r>
        <w:rPr>
          <w:spacing w:val="-3"/>
        </w:rPr>
        <w:t>River </w:t>
      </w:r>
      <w:r>
        <w:rPr/>
        <w:t>Aire </w:t>
      </w:r>
      <w:r>
        <w:rPr>
          <w:spacing w:val="-3"/>
        </w:rPr>
        <w:t>and </w:t>
      </w:r>
      <w:r>
        <w:rPr/>
        <w:t>Thorp Arch on the </w:t>
      </w:r>
      <w:r>
        <w:rPr>
          <w:spacing w:val="-3"/>
        </w:rPr>
        <w:t>River </w:t>
      </w:r>
      <w:r>
        <w:rPr/>
        <w:t>Wharfe </w:t>
      </w:r>
      <w:r>
        <w:rPr>
          <w:spacing w:val="-3"/>
        </w:rPr>
        <w:t>to more </w:t>
      </w:r>
      <w:r>
        <w:rPr/>
        <w:t>than </w:t>
      </w:r>
      <w:r>
        <w:rPr>
          <w:spacing w:val="-4"/>
        </w:rPr>
        <w:t>340m </w:t>
      </w:r>
      <w:r>
        <w:rPr/>
        <w:t>at </w:t>
      </w:r>
      <w:r>
        <w:rPr>
          <w:spacing w:val="-4"/>
        </w:rPr>
        <w:t>Hawksworth</w:t>
      </w:r>
      <w:r>
        <w:rPr>
          <w:spacing w:val="-39"/>
        </w:rPr>
        <w:t> </w:t>
      </w:r>
      <w:r>
        <w:rPr/>
        <w:t>Moor;</w:t>
      </w:r>
    </w:p>
    <w:p>
      <w:pPr>
        <w:spacing w:after="0" w:line="240" w:lineRule="auto"/>
        <w:jc w:val="both"/>
        <w:sectPr>
          <w:pgSz w:w="11910" w:h="16840"/>
          <w:pgMar w:header="0" w:footer="906" w:top="1580" w:bottom="1100" w:left="1040" w:right="520"/>
        </w:sectPr>
      </w:pPr>
    </w:p>
    <w:p>
      <w:pPr>
        <w:pStyle w:val="Heading2"/>
      </w:pPr>
      <w:bookmarkStart w:name="_TOC_250003" w:id="96"/>
      <w:bookmarkEnd w:id="96"/>
      <w:r>
        <w:rPr/>
        <w:t>Appendix C – Leeds Sustainability Appraisal Framework</w:t>
      </w:r>
    </w:p>
    <w:p>
      <w:pPr>
        <w:pStyle w:val="BodyText"/>
        <w:spacing w:before="6"/>
        <w:rPr>
          <w:b/>
          <w:sz w:val="29"/>
        </w:rPr>
      </w:pP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7"/>
        <w:gridCol w:w="7531"/>
      </w:tblGrid>
      <w:tr>
        <w:trPr>
          <w:trHeight w:val="206" w:hRule="atLeast"/>
        </w:trPr>
        <w:tc>
          <w:tcPr>
            <w:tcW w:w="1577" w:type="dxa"/>
          </w:tcPr>
          <w:p>
            <w:pPr>
              <w:pStyle w:val="TableParagraph"/>
              <w:spacing w:line="186" w:lineRule="exact"/>
              <w:ind w:left="107"/>
              <w:rPr>
                <w:b/>
                <w:sz w:val="18"/>
              </w:rPr>
            </w:pPr>
            <w:r>
              <w:rPr>
                <w:b/>
                <w:sz w:val="18"/>
              </w:rPr>
              <w:t>SA objective</w:t>
            </w:r>
          </w:p>
        </w:tc>
        <w:tc>
          <w:tcPr>
            <w:tcW w:w="7531" w:type="dxa"/>
          </w:tcPr>
          <w:p>
            <w:pPr>
              <w:pStyle w:val="TableParagraph"/>
              <w:spacing w:line="186" w:lineRule="exact"/>
              <w:ind w:left="107"/>
              <w:rPr>
                <w:b/>
                <w:sz w:val="18"/>
              </w:rPr>
            </w:pPr>
            <w:r>
              <w:rPr>
                <w:b/>
                <w:sz w:val="18"/>
              </w:rPr>
              <w:t>Upstream, midstream and downstream effects</w:t>
            </w:r>
          </w:p>
        </w:tc>
      </w:tr>
      <w:tr>
        <w:trPr>
          <w:trHeight w:val="830" w:hRule="atLeast"/>
        </w:trPr>
        <w:tc>
          <w:tcPr>
            <w:tcW w:w="1577" w:type="dxa"/>
            <w:vMerge w:val="restart"/>
          </w:tcPr>
          <w:p>
            <w:pPr>
              <w:pStyle w:val="TableParagraph"/>
              <w:ind w:left="107" w:right="97"/>
              <w:rPr>
                <w:sz w:val="18"/>
              </w:rPr>
            </w:pPr>
            <w:r>
              <w:rPr>
                <w:sz w:val="18"/>
              </w:rPr>
              <w:t>Maintain or improve the conditions which have enabled business success, economic growth and investment through increased </w:t>
            </w:r>
            <w:r>
              <w:rPr>
                <w:spacing w:val="-1"/>
                <w:sz w:val="18"/>
              </w:rPr>
              <w:t>entrepreneurship </w:t>
            </w:r>
            <w:r>
              <w:rPr>
                <w:sz w:val="18"/>
              </w:rPr>
              <w:t>and innovation and investment in infrastructure and physical assets</w:t>
            </w:r>
          </w:p>
        </w:tc>
        <w:tc>
          <w:tcPr>
            <w:tcW w:w="7531" w:type="dxa"/>
          </w:tcPr>
          <w:p>
            <w:pPr>
              <w:pStyle w:val="TableParagraph"/>
              <w:spacing w:line="206" w:lineRule="exact"/>
              <w:ind w:left="107"/>
              <w:rPr>
                <w:sz w:val="18"/>
              </w:rPr>
            </w:pPr>
            <w:r>
              <w:rPr>
                <w:sz w:val="18"/>
              </w:rPr>
              <w:t>Upstream: Does it contribute to economic success by:</w:t>
            </w:r>
          </w:p>
          <w:p>
            <w:pPr>
              <w:pStyle w:val="TableParagraph"/>
              <w:numPr>
                <w:ilvl w:val="0"/>
                <w:numId w:val="28"/>
              </w:numPr>
              <w:tabs>
                <w:tab w:pos="318" w:val="left" w:leader="none"/>
              </w:tabs>
              <w:spacing w:line="207" w:lineRule="exact" w:before="2" w:after="0"/>
              <w:ind w:left="317" w:right="0" w:hanging="210"/>
              <w:jc w:val="left"/>
              <w:rPr>
                <w:sz w:val="18"/>
              </w:rPr>
            </w:pPr>
            <w:r>
              <w:rPr>
                <w:sz w:val="18"/>
              </w:rPr>
              <w:t>increasing</w:t>
            </w:r>
            <w:r>
              <w:rPr>
                <w:spacing w:val="-2"/>
                <w:sz w:val="18"/>
              </w:rPr>
              <w:t> </w:t>
            </w:r>
            <w:r>
              <w:rPr>
                <w:sz w:val="18"/>
              </w:rPr>
              <w:t>entrepreneurship</w:t>
            </w:r>
          </w:p>
          <w:p>
            <w:pPr>
              <w:pStyle w:val="TableParagraph"/>
              <w:numPr>
                <w:ilvl w:val="0"/>
                <w:numId w:val="28"/>
              </w:numPr>
              <w:tabs>
                <w:tab w:pos="318" w:val="left" w:leader="none"/>
              </w:tabs>
              <w:spacing w:line="206" w:lineRule="exact" w:before="0" w:after="0"/>
              <w:ind w:left="317" w:right="0" w:hanging="210"/>
              <w:jc w:val="left"/>
              <w:rPr>
                <w:sz w:val="18"/>
              </w:rPr>
            </w:pPr>
            <w:r>
              <w:rPr>
                <w:sz w:val="18"/>
              </w:rPr>
              <w:t>increasing</w:t>
            </w:r>
            <w:r>
              <w:rPr>
                <w:spacing w:val="-2"/>
                <w:sz w:val="18"/>
              </w:rPr>
              <w:t> </w:t>
            </w:r>
            <w:r>
              <w:rPr>
                <w:sz w:val="18"/>
              </w:rPr>
              <w:t>innovation</w:t>
            </w:r>
          </w:p>
          <w:p>
            <w:pPr>
              <w:pStyle w:val="TableParagraph"/>
              <w:numPr>
                <w:ilvl w:val="0"/>
                <w:numId w:val="28"/>
              </w:numPr>
              <w:tabs>
                <w:tab w:pos="308" w:val="left" w:leader="none"/>
              </w:tabs>
              <w:spacing w:line="189" w:lineRule="exact" w:before="0" w:after="0"/>
              <w:ind w:left="307" w:right="0" w:hanging="200"/>
              <w:jc w:val="left"/>
              <w:rPr>
                <w:sz w:val="18"/>
              </w:rPr>
            </w:pPr>
            <w:r>
              <w:rPr>
                <w:sz w:val="18"/>
              </w:rPr>
              <w:t>increasing investment in infrastructure and physical</w:t>
            </w:r>
            <w:r>
              <w:rPr>
                <w:spacing w:val="-11"/>
                <w:sz w:val="18"/>
              </w:rPr>
              <w:t> </w:t>
            </w:r>
            <w:r>
              <w:rPr>
                <w:sz w:val="18"/>
              </w:rPr>
              <w:t>assets</w:t>
            </w:r>
          </w:p>
        </w:tc>
      </w:tr>
      <w:tr>
        <w:trPr>
          <w:trHeight w:val="827"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Midstream: How does the contribution to economic success affect:</w:t>
            </w:r>
          </w:p>
          <w:p>
            <w:pPr>
              <w:pStyle w:val="TableParagraph"/>
              <w:numPr>
                <w:ilvl w:val="0"/>
                <w:numId w:val="29"/>
              </w:numPr>
              <w:tabs>
                <w:tab w:pos="318" w:val="left" w:leader="none"/>
              </w:tabs>
              <w:spacing w:line="206" w:lineRule="exact" w:before="0" w:after="0"/>
              <w:ind w:left="317" w:right="0" w:hanging="210"/>
              <w:jc w:val="left"/>
              <w:rPr>
                <w:sz w:val="18"/>
              </w:rPr>
            </w:pPr>
            <w:r>
              <w:rPr>
                <w:sz w:val="18"/>
              </w:rPr>
              <w:t>improved community</w:t>
            </w:r>
            <w:r>
              <w:rPr>
                <w:spacing w:val="-2"/>
                <w:sz w:val="18"/>
              </w:rPr>
              <w:t> </w:t>
            </w:r>
            <w:r>
              <w:rPr>
                <w:sz w:val="18"/>
              </w:rPr>
              <w:t>regeneration</w:t>
            </w:r>
          </w:p>
          <w:p>
            <w:pPr>
              <w:pStyle w:val="TableParagraph"/>
              <w:numPr>
                <w:ilvl w:val="0"/>
                <w:numId w:val="29"/>
              </w:numPr>
              <w:tabs>
                <w:tab w:pos="318" w:val="left" w:leader="none"/>
              </w:tabs>
              <w:spacing w:line="206" w:lineRule="exact" w:before="0" w:after="0"/>
              <w:ind w:left="317" w:right="0" w:hanging="210"/>
              <w:jc w:val="left"/>
              <w:rPr>
                <w:sz w:val="18"/>
              </w:rPr>
            </w:pPr>
            <w:r>
              <w:rPr>
                <w:sz w:val="18"/>
              </w:rPr>
              <w:t>retention of investment in the local</w:t>
            </w:r>
            <w:r>
              <w:rPr>
                <w:spacing w:val="-6"/>
                <w:sz w:val="18"/>
              </w:rPr>
              <w:t> </w:t>
            </w:r>
            <w:r>
              <w:rPr>
                <w:sz w:val="18"/>
              </w:rPr>
              <w:t>economy</w:t>
            </w:r>
          </w:p>
          <w:p>
            <w:pPr>
              <w:pStyle w:val="TableParagraph"/>
              <w:numPr>
                <w:ilvl w:val="0"/>
                <w:numId w:val="29"/>
              </w:numPr>
              <w:tabs>
                <w:tab w:pos="308" w:val="left" w:leader="none"/>
              </w:tabs>
              <w:spacing w:line="189" w:lineRule="exact" w:before="0" w:after="0"/>
              <w:ind w:left="307" w:right="0" w:hanging="200"/>
              <w:jc w:val="left"/>
              <w:rPr>
                <w:sz w:val="18"/>
              </w:rPr>
            </w:pPr>
            <w:r>
              <w:rPr>
                <w:sz w:val="18"/>
              </w:rPr>
              <w:t>air quality, especially industrial and transportation related</w:t>
            </w:r>
            <w:r>
              <w:rPr>
                <w:spacing w:val="-11"/>
                <w:sz w:val="18"/>
              </w:rPr>
              <w:t> </w:t>
            </w:r>
            <w:r>
              <w:rPr>
                <w:sz w:val="18"/>
              </w:rPr>
              <w:t>emissions</w:t>
            </w:r>
          </w:p>
        </w:tc>
      </w:tr>
      <w:tr>
        <w:trPr>
          <w:trHeight w:val="1655"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Downstream: How does its contribution to economic success affect:</w:t>
            </w:r>
          </w:p>
          <w:p>
            <w:pPr>
              <w:pStyle w:val="TableParagraph"/>
              <w:numPr>
                <w:ilvl w:val="0"/>
                <w:numId w:val="30"/>
              </w:numPr>
              <w:tabs>
                <w:tab w:pos="318" w:val="left" w:leader="none"/>
              </w:tabs>
              <w:spacing w:line="206" w:lineRule="exact" w:before="0" w:after="0"/>
              <w:ind w:left="317" w:right="0" w:hanging="210"/>
              <w:jc w:val="left"/>
              <w:rPr>
                <w:sz w:val="18"/>
              </w:rPr>
            </w:pPr>
            <w:r>
              <w:rPr>
                <w:sz w:val="18"/>
              </w:rPr>
              <w:t>Waste arisings and management of</w:t>
            </w:r>
            <w:r>
              <w:rPr>
                <w:spacing w:val="-6"/>
                <w:sz w:val="18"/>
              </w:rPr>
              <w:t> </w:t>
            </w:r>
            <w:r>
              <w:rPr>
                <w:sz w:val="18"/>
              </w:rPr>
              <w:t>waste</w:t>
            </w:r>
          </w:p>
          <w:p>
            <w:pPr>
              <w:pStyle w:val="TableParagraph"/>
              <w:numPr>
                <w:ilvl w:val="0"/>
                <w:numId w:val="30"/>
              </w:numPr>
              <w:tabs>
                <w:tab w:pos="318" w:val="left" w:leader="none"/>
              </w:tabs>
              <w:spacing w:line="206" w:lineRule="exact" w:before="0" w:after="0"/>
              <w:ind w:left="317" w:right="0" w:hanging="210"/>
              <w:jc w:val="left"/>
              <w:rPr>
                <w:sz w:val="18"/>
              </w:rPr>
            </w:pPr>
            <w:r>
              <w:rPr>
                <w:sz w:val="18"/>
              </w:rPr>
              <w:t>Development in flood</w:t>
            </w:r>
            <w:r>
              <w:rPr>
                <w:spacing w:val="-3"/>
                <w:sz w:val="18"/>
              </w:rPr>
              <w:t> </w:t>
            </w:r>
            <w:r>
              <w:rPr>
                <w:sz w:val="18"/>
              </w:rPr>
              <w:t>plain</w:t>
            </w:r>
          </w:p>
          <w:p>
            <w:pPr>
              <w:pStyle w:val="TableParagraph"/>
              <w:numPr>
                <w:ilvl w:val="0"/>
                <w:numId w:val="30"/>
              </w:numPr>
              <w:tabs>
                <w:tab w:pos="308" w:val="left" w:leader="none"/>
              </w:tabs>
              <w:spacing w:line="207" w:lineRule="exact" w:before="0" w:after="0"/>
              <w:ind w:left="307" w:right="0" w:hanging="200"/>
              <w:jc w:val="left"/>
              <w:rPr>
                <w:sz w:val="18"/>
              </w:rPr>
            </w:pPr>
            <w:r>
              <w:rPr>
                <w:sz w:val="18"/>
              </w:rPr>
              <w:t>Rates of surface water run</w:t>
            </w:r>
            <w:r>
              <w:rPr>
                <w:spacing w:val="-4"/>
                <w:sz w:val="18"/>
              </w:rPr>
              <w:t> </w:t>
            </w:r>
            <w:r>
              <w:rPr>
                <w:sz w:val="18"/>
              </w:rPr>
              <w:t>off</w:t>
            </w:r>
          </w:p>
          <w:p>
            <w:pPr>
              <w:pStyle w:val="TableParagraph"/>
              <w:numPr>
                <w:ilvl w:val="0"/>
                <w:numId w:val="30"/>
              </w:numPr>
              <w:tabs>
                <w:tab w:pos="318" w:val="left" w:leader="none"/>
              </w:tabs>
              <w:spacing w:line="207" w:lineRule="exact" w:before="2" w:after="0"/>
              <w:ind w:left="317" w:right="0" w:hanging="210"/>
              <w:jc w:val="left"/>
              <w:rPr>
                <w:sz w:val="18"/>
              </w:rPr>
            </w:pPr>
            <w:r>
              <w:rPr>
                <w:sz w:val="18"/>
              </w:rPr>
              <w:t>Remediation of contaminated</w:t>
            </w:r>
            <w:r>
              <w:rPr>
                <w:spacing w:val="-3"/>
                <w:sz w:val="18"/>
              </w:rPr>
              <w:t> </w:t>
            </w:r>
            <w:r>
              <w:rPr>
                <w:sz w:val="18"/>
              </w:rPr>
              <w:t>land</w:t>
            </w:r>
          </w:p>
          <w:p>
            <w:pPr>
              <w:pStyle w:val="TableParagraph"/>
              <w:numPr>
                <w:ilvl w:val="0"/>
                <w:numId w:val="30"/>
              </w:numPr>
              <w:tabs>
                <w:tab w:pos="318" w:val="left" w:leader="none"/>
              </w:tabs>
              <w:spacing w:line="206" w:lineRule="exact" w:before="0" w:after="0"/>
              <w:ind w:left="317" w:right="0" w:hanging="210"/>
              <w:jc w:val="left"/>
              <w:rPr>
                <w:sz w:val="18"/>
              </w:rPr>
            </w:pPr>
            <w:r>
              <w:rPr>
                <w:sz w:val="18"/>
              </w:rPr>
              <w:t>Poverty</w:t>
            </w:r>
            <w:r>
              <w:rPr>
                <w:spacing w:val="-1"/>
                <w:sz w:val="18"/>
              </w:rPr>
              <w:t> </w:t>
            </w:r>
            <w:r>
              <w:rPr>
                <w:sz w:val="18"/>
              </w:rPr>
              <w:t>levels</w:t>
            </w:r>
          </w:p>
          <w:p>
            <w:pPr>
              <w:pStyle w:val="TableParagraph"/>
              <w:numPr>
                <w:ilvl w:val="0"/>
                <w:numId w:val="30"/>
              </w:numPr>
              <w:tabs>
                <w:tab w:pos="268" w:val="left" w:leader="none"/>
              </w:tabs>
              <w:spacing w:line="206" w:lineRule="exact" w:before="0" w:after="0"/>
              <w:ind w:left="267" w:right="0" w:hanging="160"/>
              <w:jc w:val="left"/>
              <w:rPr>
                <w:sz w:val="18"/>
              </w:rPr>
            </w:pPr>
            <w:r>
              <w:rPr>
                <w:sz w:val="18"/>
              </w:rPr>
              <w:t>Crime</w:t>
            </w:r>
            <w:r>
              <w:rPr>
                <w:spacing w:val="-2"/>
                <w:sz w:val="18"/>
              </w:rPr>
              <w:t> </w:t>
            </w:r>
            <w:r>
              <w:rPr>
                <w:sz w:val="18"/>
              </w:rPr>
              <w:t>levels</w:t>
            </w:r>
          </w:p>
          <w:p>
            <w:pPr>
              <w:pStyle w:val="TableParagraph"/>
              <w:numPr>
                <w:ilvl w:val="0"/>
                <w:numId w:val="30"/>
              </w:numPr>
              <w:tabs>
                <w:tab w:pos="318" w:val="left" w:leader="none"/>
              </w:tabs>
              <w:spacing w:line="189" w:lineRule="exact" w:before="0" w:after="0"/>
              <w:ind w:left="317" w:right="0" w:hanging="210"/>
              <w:jc w:val="left"/>
              <w:rPr>
                <w:sz w:val="18"/>
              </w:rPr>
            </w:pPr>
            <w:r>
              <w:rPr>
                <w:sz w:val="18"/>
              </w:rPr>
              <w:t>Biodiversity</w:t>
            </w:r>
          </w:p>
        </w:tc>
      </w:tr>
      <w:tr>
        <w:trPr>
          <w:trHeight w:val="827" w:hRule="atLeast"/>
        </w:trPr>
        <w:tc>
          <w:tcPr>
            <w:tcW w:w="1577" w:type="dxa"/>
            <w:vMerge w:val="restart"/>
          </w:tcPr>
          <w:p>
            <w:pPr>
              <w:pStyle w:val="TableParagraph"/>
              <w:ind w:left="107" w:right="137"/>
              <w:rPr>
                <w:sz w:val="18"/>
              </w:rPr>
            </w:pPr>
            <w:r>
              <w:rPr>
                <w:sz w:val="18"/>
              </w:rPr>
              <w:t>Increase participation in education and life-long learning and reduce the disparity in participation and qualifications achieved across Leeds</w:t>
            </w:r>
          </w:p>
        </w:tc>
        <w:tc>
          <w:tcPr>
            <w:tcW w:w="7531" w:type="dxa"/>
          </w:tcPr>
          <w:p>
            <w:pPr>
              <w:pStyle w:val="TableParagraph"/>
              <w:spacing w:line="206" w:lineRule="exact"/>
              <w:ind w:left="107"/>
              <w:rPr>
                <w:sz w:val="18"/>
              </w:rPr>
            </w:pPr>
            <w:r>
              <w:rPr>
                <w:sz w:val="18"/>
              </w:rPr>
              <w:t>Upstream: Will it result in increased educational attainment by</w:t>
            </w:r>
          </w:p>
          <w:p>
            <w:pPr>
              <w:pStyle w:val="TableParagraph"/>
              <w:numPr>
                <w:ilvl w:val="0"/>
                <w:numId w:val="31"/>
              </w:numPr>
              <w:tabs>
                <w:tab w:pos="318" w:val="left" w:leader="none"/>
              </w:tabs>
              <w:spacing w:line="206" w:lineRule="exact" w:before="0" w:after="0"/>
              <w:ind w:left="317" w:right="0" w:hanging="210"/>
              <w:jc w:val="left"/>
              <w:rPr>
                <w:sz w:val="18"/>
              </w:rPr>
            </w:pPr>
            <w:r>
              <w:rPr>
                <w:sz w:val="18"/>
              </w:rPr>
              <w:t>Providing educational</w:t>
            </w:r>
            <w:r>
              <w:rPr>
                <w:spacing w:val="-2"/>
                <w:sz w:val="18"/>
              </w:rPr>
              <w:t> </w:t>
            </w:r>
            <w:r>
              <w:rPr>
                <w:sz w:val="18"/>
              </w:rPr>
              <w:t>opportunities</w:t>
            </w:r>
          </w:p>
          <w:p>
            <w:pPr>
              <w:pStyle w:val="TableParagraph"/>
              <w:numPr>
                <w:ilvl w:val="0"/>
                <w:numId w:val="31"/>
              </w:numPr>
              <w:tabs>
                <w:tab w:pos="318" w:val="left" w:leader="none"/>
              </w:tabs>
              <w:spacing w:line="207" w:lineRule="exact" w:before="0" w:after="0"/>
              <w:ind w:left="317" w:right="0" w:hanging="210"/>
              <w:jc w:val="left"/>
              <w:rPr>
                <w:sz w:val="18"/>
              </w:rPr>
            </w:pPr>
            <w:r>
              <w:rPr>
                <w:sz w:val="18"/>
              </w:rPr>
              <w:t>Providing lifelong learning</w:t>
            </w:r>
            <w:r>
              <w:rPr>
                <w:spacing w:val="-3"/>
                <w:sz w:val="18"/>
              </w:rPr>
              <w:t> </w:t>
            </w:r>
            <w:r>
              <w:rPr>
                <w:sz w:val="18"/>
              </w:rPr>
              <w:t>opportunities</w:t>
            </w:r>
          </w:p>
          <w:p>
            <w:pPr>
              <w:pStyle w:val="TableParagraph"/>
              <w:numPr>
                <w:ilvl w:val="0"/>
                <w:numId w:val="31"/>
              </w:numPr>
              <w:tabs>
                <w:tab w:pos="308" w:val="left" w:leader="none"/>
              </w:tabs>
              <w:spacing w:line="187" w:lineRule="exact" w:before="2" w:after="0"/>
              <w:ind w:left="307" w:right="0" w:hanging="200"/>
              <w:jc w:val="left"/>
              <w:rPr>
                <w:sz w:val="18"/>
              </w:rPr>
            </w:pPr>
            <w:r>
              <w:rPr>
                <w:sz w:val="18"/>
              </w:rPr>
              <w:t>Increasing participation rates in education and</w:t>
            </w:r>
            <w:r>
              <w:rPr>
                <w:spacing w:val="-2"/>
                <w:sz w:val="18"/>
              </w:rPr>
              <w:t> </w:t>
            </w:r>
            <w:r>
              <w:rPr>
                <w:sz w:val="18"/>
              </w:rPr>
              <w:t>training</w:t>
            </w:r>
          </w:p>
        </w:tc>
      </w:tr>
      <w:tr>
        <w:trPr>
          <w:trHeight w:val="827"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Midstream: Does it contribute to the positive development of community by:</w:t>
            </w:r>
          </w:p>
          <w:p>
            <w:pPr>
              <w:pStyle w:val="TableParagraph"/>
              <w:numPr>
                <w:ilvl w:val="0"/>
                <w:numId w:val="32"/>
              </w:numPr>
              <w:tabs>
                <w:tab w:pos="318" w:val="left" w:leader="none"/>
              </w:tabs>
              <w:spacing w:line="206" w:lineRule="exact" w:before="0" w:after="0"/>
              <w:ind w:left="317" w:right="0" w:hanging="210"/>
              <w:jc w:val="left"/>
              <w:rPr>
                <w:sz w:val="18"/>
              </w:rPr>
            </w:pPr>
            <w:r>
              <w:rPr>
                <w:sz w:val="18"/>
              </w:rPr>
              <w:t>Increasing community</w:t>
            </w:r>
            <w:r>
              <w:rPr>
                <w:spacing w:val="-1"/>
                <w:sz w:val="18"/>
              </w:rPr>
              <w:t> </w:t>
            </w:r>
            <w:r>
              <w:rPr>
                <w:sz w:val="18"/>
              </w:rPr>
              <w:t>participation</w:t>
            </w:r>
          </w:p>
          <w:p>
            <w:pPr>
              <w:pStyle w:val="TableParagraph"/>
              <w:numPr>
                <w:ilvl w:val="0"/>
                <w:numId w:val="32"/>
              </w:numPr>
              <w:tabs>
                <w:tab w:pos="318" w:val="left" w:leader="none"/>
              </w:tabs>
              <w:spacing w:line="207" w:lineRule="exact" w:before="0" w:after="0"/>
              <w:ind w:left="317" w:right="0" w:hanging="210"/>
              <w:jc w:val="left"/>
              <w:rPr>
                <w:sz w:val="18"/>
              </w:rPr>
            </w:pPr>
            <w:r>
              <w:rPr>
                <w:sz w:val="18"/>
              </w:rPr>
              <w:t>Providing opportunities to increase educational</w:t>
            </w:r>
            <w:r>
              <w:rPr>
                <w:spacing w:val="-7"/>
                <w:sz w:val="18"/>
              </w:rPr>
              <w:t> </w:t>
            </w:r>
            <w:r>
              <w:rPr>
                <w:sz w:val="18"/>
              </w:rPr>
              <w:t>attainment</w:t>
            </w:r>
          </w:p>
          <w:p>
            <w:pPr>
              <w:pStyle w:val="TableParagraph"/>
              <w:numPr>
                <w:ilvl w:val="0"/>
                <w:numId w:val="32"/>
              </w:numPr>
              <w:tabs>
                <w:tab w:pos="308" w:val="left" w:leader="none"/>
              </w:tabs>
              <w:spacing w:line="187" w:lineRule="exact" w:before="2" w:after="0"/>
              <w:ind w:left="307" w:right="0" w:hanging="200"/>
              <w:jc w:val="left"/>
              <w:rPr>
                <w:sz w:val="18"/>
              </w:rPr>
            </w:pPr>
            <w:r>
              <w:rPr>
                <w:sz w:val="18"/>
              </w:rPr>
              <w:t>Providing multiple use of</w:t>
            </w:r>
            <w:r>
              <w:rPr>
                <w:spacing w:val="-3"/>
                <w:sz w:val="18"/>
              </w:rPr>
              <w:t> </w:t>
            </w:r>
            <w:r>
              <w:rPr>
                <w:sz w:val="18"/>
              </w:rPr>
              <w:t>facilities</w:t>
            </w:r>
          </w:p>
        </w:tc>
      </w:tr>
      <w:tr>
        <w:trPr>
          <w:trHeight w:val="1034"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Downstream: How does it, via improved and/or increased educational attainment, affect:</w:t>
            </w:r>
          </w:p>
          <w:p>
            <w:pPr>
              <w:pStyle w:val="TableParagraph"/>
              <w:numPr>
                <w:ilvl w:val="0"/>
                <w:numId w:val="33"/>
              </w:numPr>
              <w:tabs>
                <w:tab w:pos="318" w:val="left" w:leader="none"/>
              </w:tabs>
              <w:spacing w:line="207" w:lineRule="exact" w:before="0" w:after="0"/>
              <w:ind w:left="317" w:right="0" w:hanging="210"/>
              <w:jc w:val="left"/>
              <w:rPr>
                <w:sz w:val="18"/>
              </w:rPr>
            </w:pPr>
            <w:r>
              <w:rPr>
                <w:sz w:val="18"/>
              </w:rPr>
              <w:t>Waste generation and</w:t>
            </w:r>
            <w:r>
              <w:rPr>
                <w:spacing w:val="-4"/>
                <w:sz w:val="18"/>
              </w:rPr>
              <w:t> </w:t>
            </w:r>
            <w:r>
              <w:rPr>
                <w:sz w:val="18"/>
              </w:rPr>
              <w:t>management</w:t>
            </w:r>
          </w:p>
          <w:p>
            <w:pPr>
              <w:pStyle w:val="TableParagraph"/>
              <w:numPr>
                <w:ilvl w:val="0"/>
                <w:numId w:val="33"/>
              </w:numPr>
              <w:tabs>
                <w:tab w:pos="318" w:val="left" w:leader="none"/>
              </w:tabs>
              <w:spacing w:line="207" w:lineRule="exact" w:before="2" w:after="0"/>
              <w:ind w:left="317" w:right="0" w:hanging="210"/>
              <w:jc w:val="left"/>
              <w:rPr>
                <w:sz w:val="18"/>
              </w:rPr>
            </w:pPr>
            <w:r>
              <w:rPr>
                <w:sz w:val="18"/>
              </w:rPr>
              <w:t>Carbon dioxide and greenhouse gas emissions, as it relates to behavioural</w:t>
            </w:r>
            <w:r>
              <w:rPr>
                <w:spacing w:val="-28"/>
                <w:sz w:val="18"/>
              </w:rPr>
              <w:t> </w:t>
            </w:r>
            <w:r>
              <w:rPr>
                <w:sz w:val="18"/>
              </w:rPr>
              <w:t>changes</w:t>
            </w:r>
          </w:p>
          <w:p>
            <w:pPr>
              <w:pStyle w:val="TableParagraph"/>
              <w:numPr>
                <w:ilvl w:val="0"/>
                <w:numId w:val="33"/>
              </w:numPr>
              <w:tabs>
                <w:tab w:pos="308" w:val="left" w:leader="none"/>
              </w:tabs>
              <w:spacing w:line="206" w:lineRule="exact" w:before="0" w:after="0"/>
              <w:ind w:left="307" w:right="0" w:hanging="200"/>
              <w:jc w:val="left"/>
              <w:rPr>
                <w:sz w:val="18"/>
              </w:rPr>
            </w:pPr>
            <w:r>
              <w:rPr>
                <w:sz w:val="18"/>
              </w:rPr>
              <w:t>Public</w:t>
            </w:r>
            <w:r>
              <w:rPr>
                <w:spacing w:val="-1"/>
                <w:sz w:val="18"/>
              </w:rPr>
              <w:t> </w:t>
            </w:r>
            <w:r>
              <w:rPr>
                <w:sz w:val="18"/>
              </w:rPr>
              <w:t>health</w:t>
            </w:r>
          </w:p>
          <w:p>
            <w:pPr>
              <w:pStyle w:val="TableParagraph"/>
              <w:numPr>
                <w:ilvl w:val="0"/>
                <w:numId w:val="33"/>
              </w:numPr>
              <w:tabs>
                <w:tab w:pos="318" w:val="left" w:leader="none"/>
              </w:tabs>
              <w:spacing w:line="187" w:lineRule="exact" w:before="0" w:after="0"/>
              <w:ind w:left="317" w:right="0" w:hanging="210"/>
              <w:jc w:val="left"/>
              <w:rPr>
                <w:sz w:val="18"/>
              </w:rPr>
            </w:pPr>
            <w:r>
              <w:rPr>
                <w:sz w:val="18"/>
              </w:rPr>
              <w:t>Obtaining</w:t>
            </w:r>
            <w:r>
              <w:rPr>
                <w:spacing w:val="-1"/>
                <w:sz w:val="18"/>
              </w:rPr>
              <w:t> </w:t>
            </w:r>
            <w:r>
              <w:rPr>
                <w:sz w:val="18"/>
              </w:rPr>
              <w:t>employment</w:t>
            </w:r>
          </w:p>
        </w:tc>
      </w:tr>
      <w:tr>
        <w:trPr>
          <w:trHeight w:val="830" w:hRule="atLeast"/>
        </w:trPr>
        <w:tc>
          <w:tcPr>
            <w:tcW w:w="1577" w:type="dxa"/>
            <w:vMerge w:val="restart"/>
          </w:tcPr>
          <w:p>
            <w:pPr>
              <w:pStyle w:val="TableParagraph"/>
              <w:ind w:left="107" w:right="108"/>
              <w:rPr>
                <w:sz w:val="18"/>
              </w:rPr>
            </w:pPr>
            <w:r>
              <w:rPr>
                <w:sz w:val="18"/>
              </w:rPr>
              <w:t>Provide, maintain and improve culture, leisure and recreational activities that</w:t>
            </w:r>
            <w:r>
              <w:rPr>
                <w:spacing w:val="-12"/>
                <w:sz w:val="18"/>
              </w:rPr>
              <w:t> </w:t>
            </w:r>
            <w:r>
              <w:rPr>
                <w:sz w:val="18"/>
              </w:rPr>
              <w:t>are available to</w:t>
            </w:r>
            <w:r>
              <w:rPr>
                <w:spacing w:val="-5"/>
                <w:sz w:val="18"/>
              </w:rPr>
              <w:t> </w:t>
            </w:r>
            <w:r>
              <w:rPr>
                <w:sz w:val="18"/>
              </w:rPr>
              <w:t>all</w:t>
            </w:r>
          </w:p>
        </w:tc>
        <w:tc>
          <w:tcPr>
            <w:tcW w:w="7531" w:type="dxa"/>
          </w:tcPr>
          <w:p>
            <w:pPr>
              <w:pStyle w:val="TableParagraph"/>
              <w:spacing w:line="206" w:lineRule="exact"/>
              <w:ind w:left="107"/>
              <w:rPr>
                <w:sz w:val="18"/>
              </w:rPr>
            </w:pPr>
            <w:r>
              <w:rPr>
                <w:sz w:val="18"/>
              </w:rPr>
              <w:t>Upstream: How does it provide, maintain and improve access (non car based) to:</w:t>
            </w:r>
          </w:p>
          <w:p>
            <w:pPr>
              <w:pStyle w:val="TableParagraph"/>
              <w:numPr>
                <w:ilvl w:val="0"/>
                <w:numId w:val="34"/>
              </w:numPr>
              <w:tabs>
                <w:tab w:pos="318" w:val="left" w:leader="none"/>
              </w:tabs>
              <w:spacing w:line="207" w:lineRule="exact" w:before="2" w:after="0"/>
              <w:ind w:left="317" w:right="0" w:hanging="210"/>
              <w:jc w:val="left"/>
              <w:rPr>
                <w:sz w:val="18"/>
              </w:rPr>
            </w:pPr>
            <w:r>
              <w:rPr>
                <w:sz w:val="18"/>
              </w:rPr>
              <w:t>Culture to</w:t>
            </w:r>
            <w:r>
              <w:rPr>
                <w:spacing w:val="-11"/>
                <w:sz w:val="18"/>
              </w:rPr>
              <w:t> </w:t>
            </w:r>
            <w:r>
              <w:rPr>
                <w:sz w:val="18"/>
              </w:rPr>
              <w:t>all</w:t>
            </w:r>
          </w:p>
          <w:p>
            <w:pPr>
              <w:pStyle w:val="TableParagraph"/>
              <w:numPr>
                <w:ilvl w:val="0"/>
                <w:numId w:val="34"/>
              </w:numPr>
              <w:tabs>
                <w:tab w:pos="318" w:val="left" w:leader="none"/>
              </w:tabs>
              <w:spacing w:line="206" w:lineRule="exact" w:before="0" w:after="0"/>
              <w:ind w:left="317" w:right="0" w:hanging="210"/>
              <w:jc w:val="left"/>
              <w:rPr>
                <w:sz w:val="18"/>
              </w:rPr>
            </w:pPr>
            <w:r>
              <w:rPr>
                <w:sz w:val="18"/>
              </w:rPr>
              <w:t>Leisure to</w:t>
            </w:r>
            <w:r>
              <w:rPr>
                <w:spacing w:val="-11"/>
                <w:sz w:val="18"/>
              </w:rPr>
              <w:t> </w:t>
            </w:r>
            <w:r>
              <w:rPr>
                <w:sz w:val="18"/>
              </w:rPr>
              <w:t>all</w:t>
            </w:r>
          </w:p>
          <w:p>
            <w:pPr>
              <w:pStyle w:val="TableParagraph"/>
              <w:numPr>
                <w:ilvl w:val="0"/>
                <w:numId w:val="34"/>
              </w:numPr>
              <w:tabs>
                <w:tab w:pos="308" w:val="left" w:leader="none"/>
              </w:tabs>
              <w:spacing w:line="189" w:lineRule="exact" w:before="0" w:after="0"/>
              <w:ind w:left="307" w:right="0" w:hanging="200"/>
              <w:jc w:val="left"/>
              <w:rPr>
                <w:sz w:val="18"/>
              </w:rPr>
            </w:pPr>
            <w:r>
              <w:rPr>
                <w:sz w:val="18"/>
              </w:rPr>
              <w:t>Recreational activities to</w:t>
            </w:r>
            <w:r>
              <w:rPr>
                <w:spacing w:val="-3"/>
                <w:sz w:val="18"/>
              </w:rPr>
              <w:t> </w:t>
            </w:r>
            <w:r>
              <w:rPr>
                <w:sz w:val="18"/>
              </w:rPr>
              <w:t>all</w:t>
            </w:r>
          </w:p>
        </w:tc>
      </w:tr>
      <w:tr>
        <w:trPr>
          <w:trHeight w:val="618"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Midstream: Does it contribute to the positive development of community by:</w:t>
            </w:r>
          </w:p>
          <w:p>
            <w:pPr>
              <w:pStyle w:val="TableParagraph"/>
              <w:numPr>
                <w:ilvl w:val="0"/>
                <w:numId w:val="35"/>
              </w:numPr>
              <w:tabs>
                <w:tab w:pos="318" w:val="left" w:leader="none"/>
              </w:tabs>
              <w:spacing w:line="206" w:lineRule="exact" w:before="0" w:after="0"/>
              <w:ind w:left="317" w:right="0" w:hanging="210"/>
              <w:jc w:val="left"/>
              <w:rPr>
                <w:sz w:val="18"/>
              </w:rPr>
            </w:pPr>
            <w:r>
              <w:rPr>
                <w:sz w:val="18"/>
              </w:rPr>
              <w:t>Promoting a shared community</w:t>
            </w:r>
            <w:r>
              <w:rPr>
                <w:spacing w:val="-2"/>
                <w:sz w:val="18"/>
              </w:rPr>
              <w:t> </w:t>
            </w:r>
            <w:r>
              <w:rPr>
                <w:sz w:val="18"/>
              </w:rPr>
              <w:t>focus</w:t>
            </w:r>
          </w:p>
          <w:p>
            <w:pPr>
              <w:pStyle w:val="TableParagraph"/>
              <w:numPr>
                <w:ilvl w:val="0"/>
                <w:numId w:val="35"/>
              </w:numPr>
              <w:tabs>
                <w:tab w:pos="318" w:val="left" w:leader="none"/>
              </w:tabs>
              <w:spacing w:line="187" w:lineRule="exact" w:before="0" w:after="0"/>
              <w:ind w:left="317" w:right="0" w:hanging="210"/>
              <w:jc w:val="left"/>
              <w:rPr>
                <w:sz w:val="18"/>
              </w:rPr>
            </w:pPr>
            <w:r>
              <w:rPr>
                <w:sz w:val="18"/>
              </w:rPr>
              <w:t>Providing free or subsidized CLR</w:t>
            </w:r>
            <w:r>
              <w:rPr>
                <w:spacing w:val="-3"/>
                <w:sz w:val="18"/>
              </w:rPr>
              <w:t> </w:t>
            </w:r>
            <w:r>
              <w:rPr>
                <w:sz w:val="18"/>
              </w:rPr>
              <w:t>activities</w:t>
            </w:r>
          </w:p>
        </w:tc>
      </w:tr>
      <w:tr>
        <w:trPr>
          <w:trHeight w:val="830"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Downstream: Will it, through provision of CLR, promote:</w:t>
            </w:r>
          </w:p>
          <w:p>
            <w:pPr>
              <w:pStyle w:val="TableParagraph"/>
              <w:numPr>
                <w:ilvl w:val="0"/>
                <w:numId w:val="36"/>
              </w:numPr>
              <w:tabs>
                <w:tab w:pos="318" w:val="left" w:leader="none"/>
              </w:tabs>
              <w:spacing w:line="240" w:lineRule="auto" w:before="2" w:after="0"/>
              <w:ind w:left="107" w:right="567" w:firstLine="0"/>
              <w:jc w:val="left"/>
              <w:rPr>
                <w:sz w:val="18"/>
              </w:rPr>
            </w:pPr>
            <w:r>
              <w:rPr>
                <w:sz w:val="18"/>
              </w:rPr>
              <w:t>Recreational opportunities, such as exercise, social contact, cultural experiences or activities</w:t>
            </w:r>
          </w:p>
          <w:p>
            <w:pPr>
              <w:pStyle w:val="TableParagraph"/>
              <w:numPr>
                <w:ilvl w:val="0"/>
                <w:numId w:val="36"/>
              </w:numPr>
              <w:tabs>
                <w:tab w:pos="318" w:val="left" w:leader="none"/>
              </w:tabs>
              <w:spacing w:line="188" w:lineRule="exact" w:before="0" w:after="0"/>
              <w:ind w:left="107" w:right="0" w:firstLine="0"/>
              <w:jc w:val="left"/>
              <w:rPr>
                <w:sz w:val="18"/>
              </w:rPr>
            </w:pPr>
            <w:r>
              <w:rPr>
                <w:sz w:val="18"/>
              </w:rPr>
              <w:t>The reduction of</w:t>
            </w:r>
            <w:r>
              <w:rPr>
                <w:spacing w:val="-2"/>
                <w:sz w:val="18"/>
              </w:rPr>
              <w:t> </w:t>
            </w:r>
            <w:r>
              <w:rPr>
                <w:sz w:val="18"/>
              </w:rPr>
              <w:t>crime</w:t>
            </w:r>
          </w:p>
        </w:tc>
      </w:tr>
      <w:tr>
        <w:trPr>
          <w:trHeight w:val="1240" w:hRule="atLeast"/>
        </w:trPr>
        <w:tc>
          <w:tcPr>
            <w:tcW w:w="1577" w:type="dxa"/>
            <w:vMerge w:val="restart"/>
          </w:tcPr>
          <w:p>
            <w:pPr>
              <w:pStyle w:val="TableParagraph"/>
              <w:ind w:left="107" w:right="169"/>
              <w:rPr>
                <w:sz w:val="18"/>
              </w:rPr>
            </w:pPr>
            <w:r>
              <w:rPr>
                <w:sz w:val="18"/>
              </w:rPr>
              <w:t>Make the best use of land as a resource</w:t>
            </w:r>
          </w:p>
        </w:tc>
        <w:tc>
          <w:tcPr>
            <w:tcW w:w="7531" w:type="dxa"/>
          </w:tcPr>
          <w:p>
            <w:pPr>
              <w:pStyle w:val="TableParagraph"/>
              <w:spacing w:line="206" w:lineRule="exact"/>
              <w:ind w:left="107"/>
              <w:rPr>
                <w:sz w:val="18"/>
              </w:rPr>
            </w:pPr>
            <w:r>
              <w:rPr>
                <w:sz w:val="18"/>
              </w:rPr>
              <w:t>Upstream: Does it make best use of land as a resource by:</w:t>
            </w:r>
          </w:p>
          <w:p>
            <w:pPr>
              <w:pStyle w:val="TableParagraph"/>
              <w:numPr>
                <w:ilvl w:val="0"/>
                <w:numId w:val="37"/>
              </w:numPr>
              <w:tabs>
                <w:tab w:pos="318" w:val="left" w:leader="none"/>
              </w:tabs>
              <w:spacing w:line="206" w:lineRule="exact" w:before="0" w:after="0"/>
              <w:ind w:left="107" w:right="0" w:firstLine="0"/>
              <w:jc w:val="left"/>
              <w:rPr>
                <w:sz w:val="18"/>
              </w:rPr>
            </w:pPr>
            <w:r>
              <w:rPr>
                <w:sz w:val="18"/>
              </w:rPr>
              <w:t>Promoting the use of Previously Developed</w:t>
            </w:r>
            <w:r>
              <w:rPr>
                <w:spacing w:val="-5"/>
                <w:sz w:val="18"/>
              </w:rPr>
              <w:t> </w:t>
            </w:r>
            <w:r>
              <w:rPr>
                <w:sz w:val="18"/>
              </w:rPr>
              <w:t>Land</w:t>
            </w:r>
          </w:p>
          <w:p>
            <w:pPr>
              <w:pStyle w:val="TableParagraph"/>
              <w:numPr>
                <w:ilvl w:val="0"/>
                <w:numId w:val="37"/>
              </w:numPr>
              <w:tabs>
                <w:tab w:pos="318" w:val="left" w:leader="none"/>
              </w:tabs>
              <w:spacing w:line="206" w:lineRule="exact" w:before="0" w:after="0"/>
              <w:ind w:left="107" w:right="0" w:firstLine="0"/>
              <w:jc w:val="left"/>
              <w:rPr>
                <w:sz w:val="18"/>
              </w:rPr>
            </w:pPr>
            <w:r>
              <w:rPr>
                <w:sz w:val="18"/>
              </w:rPr>
              <w:t>Developing at an appropriate density for the area to promote sustainable</w:t>
            </w:r>
            <w:r>
              <w:rPr>
                <w:spacing w:val="-34"/>
                <w:sz w:val="18"/>
              </w:rPr>
              <w:t> </w:t>
            </w:r>
            <w:r>
              <w:rPr>
                <w:sz w:val="18"/>
              </w:rPr>
              <w:t>development</w:t>
            </w:r>
          </w:p>
          <w:p>
            <w:pPr>
              <w:pStyle w:val="TableParagraph"/>
              <w:numPr>
                <w:ilvl w:val="0"/>
                <w:numId w:val="37"/>
              </w:numPr>
              <w:tabs>
                <w:tab w:pos="308" w:val="left" w:leader="none"/>
              </w:tabs>
              <w:spacing w:line="240" w:lineRule="auto" w:before="0" w:after="0"/>
              <w:ind w:left="107" w:right="446" w:firstLine="0"/>
              <w:jc w:val="left"/>
              <w:rPr>
                <w:sz w:val="18"/>
              </w:rPr>
            </w:pPr>
            <w:r>
              <w:rPr>
                <w:sz w:val="18"/>
              </w:rPr>
              <w:t>Providing for multiple functions of land use (i.e. green infrastructure, mixed use, etc.), where</w:t>
            </w:r>
            <w:r>
              <w:rPr>
                <w:spacing w:val="-2"/>
                <w:sz w:val="18"/>
              </w:rPr>
              <w:t> </w:t>
            </w:r>
            <w:r>
              <w:rPr>
                <w:sz w:val="18"/>
              </w:rPr>
              <w:t>appropriate</w:t>
            </w:r>
          </w:p>
          <w:p>
            <w:pPr>
              <w:pStyle w:val="TableParagraph"/>
              <w:numPr>
                <w:ilvl w:val="0"/>
                <w:numId w:val="37"/>
              </w:numPr>
              <w:tabs>
                <w:tab w:pos="318" w:val="left" w:leader="none"/>
              </w:tabs>
              <w:spacing w:line="187" w:lineRule="exact" w:before="1" w:after="0"/>
              <w:ind w:left="107" w:right="0" w:firstLine="0"/>
              <w:jc w:val="left"/>
              <w:rPr>
                <w:sz w:val="18"/>
              </w:rPr>
            </w:pPr>
            <w:r>
              <w:rPr>
                <w:sz w:val="18"/>
              </w:rPr>
              <w:t>Make appropriate use of land, given constraints and opportunities (i.e. flood risk,</w:t>
            </w:r>
            <w:r>
              <w:rPr>
                <w:spacing w:val="-30"/>
                <w:sz w:val="18"/>
              </w:rPr>
              <w:t> </w:t>
            </w:r>
            <w:r>
              <w:rPr>
                <w:sz w:val="18"/>
              </w:rPr>
              <w:t>etc.)</w:t>
            </w:r>
          </w:p>
        </w:tc>
      </w:tr>
      <w:tr>
        <w:trPr>
          <w:trHeight w:val="621"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Midstream: Does it contribute to the positive development of the community by:</w:t>
            </w:r>
          </w:p>
          <w:p>
            <w:pPr>
              <w:pStyle w:val="TableParagraph"/>
              <w:numPr>
                <w:ilvl w:val="0"/>
                <w:numId w:val="38"/>
              </w:numPr>
              <w:tabs>
                <w:tab w:pos="318" w:val="left" w:leader="none"/>
              </w:tabs>
              <w:spacing w:line="207" w:lineRule="exact" w:before="0" w:after="0"/>
              <w:ind w:left="317" w:right="0" w:hanging="210"/>
              <w:jc w:val="left"/>
              <w:rPr>
                <w:sz w:val="18"/>
              </w:rPr>
            </w:pPr>
            <w:r>
              <w:rPr>
                <w:sz w:val="18"/>
              </w:rPr>
              <w:t>Concentrating</w:t>
            </w:r>
            <w:r>
              <w:rPr>
                <w:spacing w:val="-2"/>
                <w:sz w:val="18"/>
              </w:rPr>
              <w:t> </w:t>
            </w:r>
            <w:r>
              <w:rPr>
                <w:sz w:val="18"/>
              </w:rPr>
              <w:t>services</w:t>
            </w:r>
          </w:p>
          <w:p>
            <w:pPr>
              <w:pStyle w:val="TableParagraph"/>
              <w:numPr>
                <w:ilvl w:val="0"/>
                <w:numId w:val="38"/>
              </w:numPr>
              <w:tabs>
                <w:tab w:pos="318" w:val="left" w:leader="none"/>
              </w:tabs>
              <w:spacing w:line="187" w:lineRule="exact" w:before="2" w:after="0"/>
              <w:ind w:left="317" w:right="0" w:hanging="210"/>
              <w:jc w:val="left"/>
              <w:rPr>
                <w:sz w:val="18"/>
              </w:rPr>
            </w:pPr>
            <w:r>
              <w:rPr>
                <w:sz w:val="18"/>
              </w:rPr>
              <w:t>Creating a walkable and accessible</w:t>
            </w:r>
            <w:r>
              <w:rPr>
                <w:spacing w:val="-7"/>
                <w:sz w:val="18"/>
              </w:rPr>
              <w:t> </w:t>
            </w:r>
            <w:r>
              <w:rPr>
                <w:sz w:val="18"/>
              </w:rPr>
              <w:t>community</w:t>
            </w:r>
          </w:p>
        </w:tc>
      </w:tr>
      <w:tr>
        <w:trPr>
          <w:trHeight w:val="1449"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Downstream: Does it address the best use of land in relation to:</w:t>
            </w:r>
          </w:p>
          <w:p>
            <w:pPr>
              <w:pStyle w:val="TableParagraph"/>
              <w:numPr>
                <w:ilvl w:val="0"/>
                <w:numId w:val="39"/>
              </w:numPr>
              <w:tabs>
                <w:tab w:pos="318" w:val="left" w:leader="none"/>
              </w:tabs>
              <w:spacing w:line="207" w:lineRule="exact" w:before="0" w:after="0"/>
              <w:ind w:left="107" w:right="0" w:firstLine="0"/>
              <w:jc w:val="left"/>
              <w:rPr>
                <w:sz w:val="18"/>
              </w:rPr>
            </w:pPr>
            <w:r>
              <w:rPr>
                <w:sz w:val="18"/>
              </w:rPr>
              <w:t>Remediating contaminated</w:t>
            </w:r>
            <w:r>
              <w:rPr>
                <w:spacing w:val="-2"/>
                <w:sz w:val="18"/>
              </w:rPr>
              <w:t> </w:t>
            </w:r>
            <w:r>
              <w:rPr>
                <w:sz w:val="18"/>
              </w:rPr>
              <w:t>land</w:t>
            </w:r>
          </w:p>
          <w:p>
            <w:pPr>
              <w:pStyle w:val="TableParagraph"/>
              <w:numPr>
                <w:ilvl w:val="0"/>
                <w:numId w:val="39"/>
              </w:numPr>
              <w:tabs>
                <w:tab w:pos="318" w:val="left" w:leader="none"/>
              </w:tabs>
              <w:spacing w:line="240" w:lineRule="auto" w:before="2" w:after="0"/>
              <w:ind w:left="107" w:right="416" w:firstLine="0"/>
              <w:jc w:val="left"/>
              <w:rPr>
                <w:sz w:val="18"/>
              </w:rPr>
            </w:pPr>
            <w:r>
              <w:rPr>
                <w:sz w:val="18"/>
              </w:rPr>
              <w:t>Maintaining, protecting and enhancing biodiversity of the areas it affects, both directly and</w:t>
            </w:r>
            <w:r>
              <w:rPr>
                <w:spacing w:val="-2"/>
                <w:sz w:val="18"/>
              </w:rPr>
              <w:t> </w:t>
            </w:r>
            <w:r>
              <w:rPr>
                <w:sz w:val="18"/>
              </w:rPr>
              <w:t>indirectly</w:t>
            </w:r>
          </w:p>
          <w:p>
            <w:pPr>
              <w:pStyle w:val="TableParagraph"/>
              <w:numPr>
                <w:ilvl w:val="0"/>
                <w:numId w:val="39"/>
              </w:numPr>
              <w:tabs>
                <w:tab w:pos="308" w:val="left" w:leader="none"/>
              </w:tabs>
              <w:spacing w:line="206" w:lineRule="exact" w:before="0" w:after="0"/>
              <w:ind w:left="307" w:right="0" w:hanging="200"/>
              <w:jc w:val="left"/>
              <w:rPr>
                <w:sz w:val="18"/>
              </w:rPr>
            </w:pPr>
            <w:r>
              <w:rPr>
                <w:sz w:val="18"/>
              </w:rPr>
              <w:t>Its impact on the rate of surface water run</w:t>
            </w:r>
            <w:r>
              <w:rPr>
                <w:spacing w:val="-6"/>
                <w:sz w:val="18"/>
              </w:rPr>
              <w:t> </w:t>
            </w:r>
            <w:r>
              <w:rPr>
                <w:sz w:val="18"/>
              </w:rPr>
              <w:t>off</w:t>
            </w:r>
          </w:p>
          <w:p>
            <w:pPr>
              <w:pStyle w:val="TableParagraph"/>
              <w:numPr>
                <w:ilvl w:val="0"/>
                <w:numId w:val="39"/>
              </w:numPr>
              <w:tabs>
                <w:tab w:pos="318" w:val="left" w:leader="none"/>
              </w:tabs>
              <w:spacing w:line="207" w:lineRule="exact" w:before="0" w:after="0"/>
              <w:ind w:left="107" w:right="0" w:firstLine="0"/>
              <w:jc w:val="left"/>
              <w:rPr>
                <w:sz w:val="18"/>
              </w:rPr>
            </w:pPr>
            <w:r>
              <w:rPr>
                <w:sz w:val="18"/>
              </w:rPr>
              <w:t>Its impact on development in the flood</w:t>
            </w:r>
            <w:r>
              <w:rPr>
                <w:spacing w:val="-2"/>
                <w:sz w:val="18"/>
              </w:rPr>
              <w:t> </w:t>
            </w:r>
            <w:r>
              <w:rPr>
                <w:sz w:val="18"/>
              </w:rPr>
              <w:t>plain</w:t>
            </w:r>
          </w:p>
          <w:p>
            <w:pPr>
              <w:pStyle w:val="TableParagraph"/>
              <w:spacing w:line="187" w:lineRule="exact" w:before="1"/>
              <w:ind w:left="107"/>
              <w:rPr>
                <w:sz w:val="18"/>
              </w:rPr>
            </w:pPr>
            <w:r>
              <w:rPr>
                <w:sz w:val="18"/>
              </w:rPr>
              <w:t>d) Minimising the generation of transport related greenhouse gases</w:t>
            </w:r>
          </w:p>
        </w:tc>
      </w:tr>
      <w:tr>
        <w:trPr>
          <w:trHeight w:val="827" w:hRule="atLeast"/>
        </w:trPr>
        <w:tc>
          <w:tcPr>
            <w:tcW w:w="1577" w:type="dxa"/>
            <w:vMerge w:val="restart"/>
          </w:tcPr>
          <w:p>
            <w:pPr>
              <w:pStyle w:val="TableParagraph"/>
              <w:ind w:left="107" w:right="129"/>
              <w:rPr>
                <w:sz w:val="18"/>
              </w:rPr>
            </w:pPr>
            <w:r>
              <w:rPr>
                <w:sz w:val="18"/>
              </w:rPr>
              <w:t>Increase accessibility and connectivity</w:t>
            </w:r>
          </w:p>
          <w:p>
            <w:pPr>
              <w:pStyle w:val="TableParagraph"/>
              <w:spacing w:line="206" w:lineRule="exact" w:before="3"/>
              <w:ind w:left="107" w:right="229"/>
              <w:rPr>
                <w:sz w:val="18"/>
              </w:rPr>
            </w:pPr>
            <w:r>
              <w:rPr>
                <w:sz w:val="18"/>
              </w:rPr>
              <w:t>through investment in a</w:t>
            </w:r>
          </w:p>
        </w:tc>
        <w:tc>
          <w:tcPr>
            <w:tcW w:w="7531" w:type="dxa"/>
          </w:tcPr>
          <w:p>
            <w:pPr>
              <w:pStyle w:val="TableParagraph"/>
              <w:spacing w:line="206" w:lineRule="exact"/>
              <w:ind w:left="107"/>
              <w:rPr>
                <w:sz w:val="18"/>
              </w:rPr>
            </w:pPr>
            <w:r>
              <w:rPr>
                <w:sz w:val="18"/>
              </w:rPr>
              <w:t>Upstream: How does it promote:</w:t>
            </w:r>
          </w:p>
          <w:p>
            <w:pPr>
              <w:pStyle w:val="TableParagraph"/>
              <w:numPr>
                <w:ilvl w:val="0"/>
                <w:numId w:val="40"/>
              </w:numPr>
              <w:tabs>
                <w:tab w:pos="318" w:val="left" w:leader="none"/>
              </w:tabs>
              <w:spacing w:line="206" w:lineRule="exact" w:before="0" w:after="0"/>
              <w:ind w:left="317" w:right="0" w:hanging="210"/>
              <w:jc w:val="left"/>
              <w:rPr>
                <w:sz w:val="18"/>
              </w:rPr>
            </w:pPr>
            <w:r>
              <w:rPr>
                <w:sz w:val="18"/>
              </w:rPr>
              <w:t>Increased accessibility via public</w:t>
            </w:r>
            <w:r>
              <w:rPr>
                <w:spacing w:val="-3"/>
                <w:sz w:val="18"/>
              </w:rPr>
              <w:t> </w:t>
            </w:r>
            <w:r>
              <w:rPr>
                <w:sz w:val="18"/>
              </w:rPr>
              <w:t>transportation</w:t>
            </w:r>
          </w:p>
          <w:p>
            <w:pPr>
              <w:pStyle w:val="TableParagraph"/>
              <w:numPr>
                <w:ilvl w:val="0"/>
                <w:numId w:val="40"/>
              </w:numPr>
              <w:tabs>
                <w:tab w:pos="318" w:val="left" w:leader="none"/>
              </w:tabs>
              <w:spacing w:line="207" w:lineRule="exact" w:before="0" w:after="0"/>
              <w:ind w:left="317" w:right="0" w:hanging="210"/>
              <w:jc w:val="left"/>
              <w:rPr>
                <w:sz w:val="18"/>
              </w:rPr>
            </w:pPr>
            <w:r>
              <w:rPr>
                <w:sz w:val="18"/>
              </w:rPr>
              <w:t>Increased investment into sustainable transportation</w:t>
            </w:r>
            <w:r>
              <w:rPr>
                <w:spacing w:val="-5"/>
                <w:sz w:val="18"/>
              </w:rPr>
              <w:t> </w:t>
            </w:r>
            <w:r>
              <w:rPr>
                <w:sz w:val="18"/>
              </w:rPr>
              <w:t>network</w:t>
            </w:r>
          </w:p>
          <w:p>
            <w:pPr>
              <w:pStyle w:val="TableParagraph"/>
              <w:numPr>
                <w:ilvl w:val="0"/>
                <w:numId w:val="40"/>
              </w:numPr>
              <w:tabs>
                <w:tab w:pos="308" w:val="left" w:leader="none"/>
              </w:tabs>
              <w:spacing w:line="187" w:lineRule="exact" w:before="2" w:after="0"/>
              <w:ind w:left="307" w:right="0" w:hanging="200"/>
              <w:jc w:val="left"/>
              <w:rPr>
                <w:sz w:val="18"/>
              </w:rPr>
            </w:pPr>
            <w:r>
              <w:rPr>
                <w:sz w:val="18"/>
              </w:rPr>
              <w:t>The uptake of sustainable transportation</w:t>
            </w:r>
            <w:r>
              <w:rPr>
                <w:spacing w:val="-3"/>
                <w:sz w:val="18"/>
              </w:rPr>
              <w:t> </w:t>
            </w:r>
            <w:r>
              <w:rPr>
                <w:sz w:val="18"/>
              </w:rPr>
              <w:t>methods</w:t>
            </w:r>
          </w:p>
        </w:tc>
      </w:tr>
      <w:tr>
        <w:trPr>
          <w:trHeight w:val="208" w:hRule="atLeast"/>
        </w:trPr>
        <w:tc>
          <w:tcPr>
            <w:tcW w:w="1577" w:type="dxa"/>
            <w:vMerge/>
            <w:tcBorders>
              <w:top w:val="nil"/>
            </w:tcBorders>
          </w:tcPr>
          <w:p>
            <w:pPr>
              <w:rPr>
                <w:sz w:val="2"/>
                <w:szCs w:val="2"/>
              </w:rPr>
            </w:pPr>
          </w:p>
        </w:tc>
        <w:tc>
          <w:tcPr>
            <w:tcW w:w="7531" w:type="dxa"/>
          </w:tcPr>
          <w:p>
            <w:pPr>
              <w:pStyle w:val="TableParagraph"/>
              <w:spacing w:line="188" w:lineRule="exact"/>
              <w:ind w:left="107"/>
              <w:rPr>
                <w:sz w:val="18"/>
              </w:rPr>
            </w:pPr>
            <w:r>
              <w:rPr>
                <w:sz w:val="18"/>
              </w:rPr>
              <w:t>Midstream: How does it contribute positively to the promotion of:</w:t>
            </w:r>
          </w:p>
        </w:tc>
      </w:tr>
    </w:tbl>
    <w:p>
      <w:pPr>
        <w:spacing w:after="0" w:line="188" w:lineRule="exact"/>
        <w:rPr>
          <w:sz w:val="18"/>
        </w:rPr>
        <w:sectPr>
          <w:pgSz w:w="11910" w:h="16840"/>
          <w:pgMar w:header="0" w:footer="906" w:top="1580" w:bottom="1100" w:left="1040" w:right="520"/>
        </w:sectPr>
      </w:pP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7"/>
        <w:gridCol w:w="7531"/>
      </w:tblGrid>
      <w:tr>
        <w:trPr>
          <w:trHeight w:val="206" w:hRule="atLeast"/>
        </w:trPr>
        <w:tc>
          <w:tcPr>
            <w:tcW w:w="1577" w:type="dxa"/>
          </w:tcPr>
          <w:p>
            <w:pPr>
              <w:pStyle w:val="TableParagraph"/>
              <w:spacing w:line="186" w:lineRule="exact"/>
              <w:ind w:left="107"/>
              <w:rPr>
                <w:b/>
                <w:sz w:val="18"/>
              </w:rPr>
            </w:pPr>
            <w:r>
              <w:rPr>
                <w:b/>
                <w:sz w:val="18"/>
              </w:rPr>
              <w:t>SA objective</w:t>
            </w:r>
          </w:p>
        </w:tc>
        <w:tc>
          <w:tcPr>
            <w:tcW w:w="7531" w:type="dxa"/>
          </w:tcPr>
          <w:p>
            <w:pPr>
              <w:pStyle w:val="TableParagraph"/>
              <w:spacing w:line="186" w:lineRule="exact"/>
              <w:ind w:left="107"/>
              <w:rPr>
                <w:b/>
                <w:sz w:val="18"/>
              </w:rPr>
            </w:pPr>
            <w:r>
              <w:rPr>
                <w:b/>
                <w:sz w:val="18"/>
              </w:rPr>
              <w:t>Upstream, midstream and downstream effects</w:t>
            </w:r>
          </w:p>
        </w:tc>
      </w:tr>
      <w:tr>
        <w:trPr>
          <w:trHeight w:val="621" w:hRule="atLeast"/>
        </w:trPr>
        <w:tc>
          <w:tcPr>
            <w:tcW w:w="1577" w:type="dxa"/>
            <w:vMerge w:val="restart"/>
          </w:tcPr>
          <w:p>
            <w:pPr>
              <w:pStyle w:val="TableParagraph"/>
              <w:ind w:left="107" w:right="109"/>
              <w:rPr>
                <w:sz w:val="18"/>
              </w:rPr>
            </w:pPr>
            <w:r>
              <w:rPr>
                <w:sz w:val="18"/>
              </w:rPr>
              <w:t>high quality transport system and through influencing others and changing behaviours</w:t>
            </w:r>
          </w:p>
        </w:tc>
        <w:tc>
          <w:tcPr>
            <w:tcW w:w="7531" w:type="dxa"/>
          </w:tcPr>
          <w:p>
            <w:pPr>
              <w:pStyle w:val="TableParagraph"/>
              <w:numPr>
                <w:ilvl w:val="0"/>
                <w:numId w:val="41"/>
              </w:numPr>
              <w:tabs>
                <w:tab w:pos="318" w:val="left" w:leader="none"/>
              </w:tabs>
              <w:spacing w:line="206" w:lineRule="exact" w:before="0" w:after="0"/>
              <w:ind w:left="317" w:right="0" w:hanging="210"/>
              <w:jc w:val="left"/>
              <w:rPr>
                <w:sz w:val="18"/>
              </w:rPr>
            </w:pPr>
            <w:r>
              <w:rPr>
                <w:sz w:val="18"/>
              </w:rPr>
              <w:t>Accessibility community</w:t>
            </w:r>
            <w:r>
              <w:rPr>
                <w:spacing w:val="-1"/>
                <w:sz w:val="18"/>
              </w:rPr>
              <w:t> </w:t>
            </w:r>
            <w:r>
              <w:rPr>
                <w:sz w:val="18"/>
              </w:rPr>
              <w:t>services</w:t>
            </w:r>
          </w:p>
          <w:p>
            <w:pPr>
              <w:pStyle w:val="TableParagraph"/>
              <w:numPr>
                <w:ilvl w:val="0"/>
                <w:numId w:val="41"/>
              </w:numPr>
              <w:tabs>
                <w:tab w:pos="318" w:val="left" w:leader="none"/>
              </w:tabs>
              <w:spacing w:line="207" w:lineRule="exact" w:before="2" w:after="0"/>
              <w:ind w:left="317" w:right="0" w:hanging="210"/>
              <w:jc w:val="left"/>
              <w:rPr>
                <w:sz w:val="18"/>
              </w:rPr>
            </w:pPr>
            <w:r>
              <w:rPr>
                <w:sz w:val="18"/>
              </w:rPr>
              <w:t>Improved air</w:t>
            </w:r>
            <w:r>
              <w:rPr>
                <w:spacing w:val="-2"/>
                <w:sz w:val="18"/>
              </w:rPr>
              <w:t> </w:t>
            </w:r>
            <w:r>
              <w:rPr>
                <w:sz w:val="18"/>
              </w:rPr>
              <w:t>quality</w:t>
            </w:r>
          </w:p>
          <w:p>
            <w:pPr>
              <w:pStyle w:val="TableParagraph"/>
              <w:numPr>
                <w:ilvl w:val="0"/>
                <w:numId w:val="41"/>
              </w:numPr>
              <w:tabs>
                <w:tab w:pos="308" w:val="left" w:leader="none"/>
              </w:tabs>
              <w:spacing w:line="187" w:lineRule="exact" w:before="0" w:after="0"/>
              <w:ind w:left="307" w:right="0" w:hanging="200"/>
              <w:jc w:val="left"/>
              <w:rPr>
                <w:sz w:val="18"/>
              </w:rPr>
            </w:pPr>
            <w:r>
              <w:rPr>
                <w:sz w:val="18"/>
              </w:rPr>
              <w:t>Improved water</w:t>
            </w:r>
            <w:r>
              <w:rPr>
                <w:spacing w:val="-2"/>
                <w:sz w:val="18"/>
              </w:rPr>
              <w:t> </w:t>
            </w:r>
            <w:r>
              <w:rPr>
                <w:sz w:val="18"/>
              </w:rPr>
              <w:t>quality</w:t>
            </w:r>
          </w:p>
        </w:tc>
      </w:tr>
      <w:tr>
        <w:trPr>
          <w:trHeight w:val="1242"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Downstream: How does it:</w:t>
            </w:r>
          </w:p>
          <w:p>
            <w:pPr>
              <w:pStyle w:val="TableParagraph"/>
              <w:numPr>
                <w:ilvl w:val="0"/>
                <w:numId w:val="42"/>
              </w:numPr>
              <w:tabs>
                <w:tab w:pos="318" w:val="left" w:leader="none"/>
              </w:tabs>
              <w:spacing w:line="207" w:lineRule="exact" w:before="2" w:after="0"/>
              <w:ind w:left="317" w:right="0" w:hanging="210"/>
              <w:jc w:val="left"/>
              <w:rPr>
                <w:sz w:val="18"/>
              </w:rPr>
            </w:pPr>
            <w:r>
              <w:rPr>
                <w:sz w:val="18"/>
              </w:rPr>
              <w:t>Reduce greenhouse gas</w:t>
            </w:r>
            <w:r>
              <w:rPr>
                <w:spacing w:val="-4"/>
                <w:sz w:val="18"/>
              </w:rPr>
              <w:t> </w:t>
            </w:r>
            <w:r>
              <w:rPr>
                <w:sz w:val="18"/>
              </w:rPr>
              <w:t>emissions</w:t>
            </w:r>
          </w:p>
          <w:p>
            <w:pPr>
              <w:pStyle w:val="TableParagraph"/>
              <w:numPr>
                <w:ilvl w:val="0"/>
                <w:numId w:val="42"/>
              </w:numPr>
              <w:tabs>
                <w:tab w:pos="318" w:val="left" w:leader="none"/>
              </w:tabs>
              <w:spacing w:line="206" w:lineRule="exact" w:before="0" w:after="0"/>
              <w:ind w:left="317" w:right="0" w:hanging="210"/>
              <w:jc w:val="left"/>
              <w:rPr>
                <w:sz w:val="18"/>
              </w:rPr>
            </w:pPr>
            <w:r>
              <w:rPr>
                <w:sz w:val="18"/>
              </w:rPr>
              <w:t>Improve the health of</w:t>
            </w:r>
            <w:r>
              <w:rPr>
                <w:spacing w:val="-3"/>
                <w:sz w:val="18"/>
              </w:rPr>
              <w:t> </w:t>
            </w:r>
            <w:r>
              <w:rPr>
                <w:sz w:val="18"/>
              </w:rPr>
              <w:t>residents</w:t>
            </w:r>
          </w:p>
          <w:p>
            <w:pPr>
              <w:pStyle w:val="TableParagraph"/>
              <w:numPr>
                <w:ilvl w:val="0"/>
                <w:numId w:val="42"/>
              </w:numPr>
              <w:tabs>
                <w:tab w:pos="308" w:val="left" w:leader="none"/>
              </w:tabs>
              <w:spacing w:line="206" w:lineRule="exact" w:before="0" w:after="0"/>
              <w:ind w:left="307" w:right="0" w:hanging="200"/>
              <w:jc w:val="left"/>
              <w:rPr>
                <w:sz w:val="18"/>
              </w:rPr>
            </w:pPr>
            <w:r>
              <w:rPr>
                <w:sz w:val="18"/>
              </w:rPr>
              <w:t>Mitigate against biodiversity impacts arising from air and water</w:t>
            </w:r>
            <w:r>
              <w:rPr>
                <w:spacing w:val="-16"/>
                <w:sz w:val="18"/>
              </w:rPr>
              <w:t> </w:t>
            </w:r>
            <w:r>
              <w:rPr>
                <w:sz w:val="18"/>
              </w:rPr>
              <w:t>pollution</w:t>
            </w:r>
          </w:p>
          <w:p>
            <w:pPr>
              <w:pStyle w:val="TableParagraph"/>
              <w:numPr>
                <w:ilvl w:val="0"/>
                <w:numId w:val="42"/>
              </w:numPr>
              <w:tabs>
                <w:tab w:pos="318" w:val="left" w:leader="none"/>
              </w:tabs>
              <w:spacing w:line="207" w:lineRule="exact" w:before="0" w:after="0"/>
              <w:ind w:left="317" w:right="0" w:hanging="210"/>
              <w:jc w:val="left"/>
              <w:rPr>
                <w:sz w:val="18"/>
              </w:rPr>
            </w:pPr>
            <w:r>
              <w:rPr>
                <w:sz w:val="18"/>
              </w:rPr>
              <w:t>Increase access to employment</w:t>
            </w:r>
            <w:r>
              <w:rPr>
                <w:spacing w:val="-3"/>
                <w:sz w:val="18"/>
              </w:rPr>
              <w:t> </w:t>
            </w:r>
            <w:r>
              <w:rPr>
                <w:sz w:val="18"/>
              </w:rPr>
              <w:t>opportunities</w:t>
            </w:r>
          </w:p>
          <w:p>
            <w:pPr>
              <w:pStyle w:val="TableParagraph"/>
              <w:numPr>
                <w:ilvl w:val="0"/>
                <w:numId w:val="42"/>
              </w:numPr>
              <w:tabs>
                <w:tab w:pos="318" w:val="left" w:leader="none"/>
              </w:tabs>
              <w:spacing w:line="187" w:lineRule="exact" w:before="1" w:after="0"/>
              <w:ind w:left="317" w:right="0" w:hanging="210"/>
              <w:jc w:val="left"/>
              <w:rPr>
                <w:sz w:val="18"/>
              </w:rPr>
            </w:pPr>
            <w:r>
              <w:rPr>
                <w:sz w:val="18"/>
              </w:rPr>
              <w:t>Promote and enhance a cleaner and greener</w:t>
            </w:r>
            <w:r>
              <w:rPr>
                <w:spacing w:val="-5"/>
                <w:sz w:val="18"/>
              </w:rPr>
              <w:t> </w:t>
            </w:r>
            <w:r>
              <w:rPr>
                <w:sz w:val="18"/>
              </w:rPr>
              <w:t>city</w:t>
            </w:r>
          </w:p>
        </w:tc>
      </w:tr>
      <w:tr>
        <w:trPr>
          <w:trHeight w:val="1034" w:hRule="atLeast"/>
        </w:trPr>
        <w:tc>
          <w:tcPr>
            <w:tcW w:w="1577" w:type="dxa"/>
            <w:vMerge w:val="restart"/>
          </w:tcPr>
          <w:p>
            <w:pPr>
              <w:pStyle w:val="TableParagraph"/>
              <w:ind w:left="107" w:right="136"/>
              <w:rPr>
                <w:sz w:val="18"/>
              </w:rPr>
            </w:pPr>
            <w:r>
              <w:rPr>
                <w:sz w:val="18"/>
              </w:rPr>
              <w:t>Maintain and enhance the quality and distinctiveness of the landscape and the historic and built environment</w:t>
            </w:r>
          </w:p>
        </w:tc>
        <w:tc>
          <w:tcPr>
            <w:tcW w:w="7531" w:type="dxa"/>
          </w:tcPr>
          <w:p>
            <w:pPr>
              <w:pStyle w:val="TableParagraph"/>
              <w:spacing w:line="206" w:lineRule="exact"/>
              <w:ind w:left="107"/>
              <w:rPr>
                <w:sz w:val="18"/>
              </w:rPr>
            </w:pPr>
            <w:r>
              <w:rPr>
                <w:sz w:val="18"/>
              </w:rPr>
              <w:t>Upstream: Does it contribute to quality of place by:</w:t>
            </w:r>
          </w:p>
          <w:p>
            <w:pPr>
              <w:pStyle w:val="TableParagraph"/>
              <w:numPr>
                <w:ilvl w:val="0"/>
                <w:numId w:val="43"/>
              </w:numPr>
              <w:tabs>
                <w:tab w:pos="318" w:val="left" w:leader="none"/>
              </w:tabs>
              <w:spacing w:line="206" w:lineRule="exact" w:before="0" w:after="0"/>
              <w:ind w:left="317" w:right="0" w:hanging="210"/>
              <w:jc w:val="left"/>
              <w:rPr>
                <w:sz w:val="18"/>
              </w:rPr>
            </w:pPr>
            <w:r>
              <w:rPr>
                <w:sz w:val="18"/>
              </w:rPr>
              <w:t>Promoting character in townscape and</w:t>
            </w:r>
            <w:r>
              <w:rPr>
                <w:spacing w:val="-3"/>
                <w:sz w:val="18"/>
              </w:rPr>
              <w:t> </w:t>
            </w:r>
            <w:r>
              <w:rPr>
                <w:sz w:val="18"/>
              </w:rPr>
              <w:t>landscape</w:t>
            </w:r>
          </w:p>
          <w:p>
            <w:pPr>
              <w:pStyle w:val="TableParagraph"/>
              <w:numPr>
                <w:ilvl w:val="0"/>
                <w:numId w:val="43"/>
              </w:numPr>
              <w:tabs>
                <w:tab w:pos="318" w:val="left" w:leader="none"/>
              </w:tabs>
              <w:spacing w:line="207" w:lineRule="exact" w:before="0" w:after="0"/>
              <w:ind w:left="317" w:right="0" w:hanging="210"/>
              <w:jc w:val="left"/>
              <w:rPr>
                <w:sz w:val="18"/>
              </w:rPr>
            </w:pPr>
            <w:r>
              <w:rPr>
                <w:sz w:val="18"/>
              </w:rPr>
              <w:t>Encouraging sense of pride of</w:t>
            </w:r>
            <w:r>
              <w:rPr>
                <w:spacing w:val="-4"/>
                <w:sz w:val="18"/>
              </w:rPr>
              <w:t> </w:t>
            </w:r>
            <w:r>
              <w:rPr>
                <w:sz w:val="18"/>
              </w:rPr>
              <w:t>place</w:t>
            </w:r>
          </w:p>
          <w:p>
            <w:pPr>
              <w:pStyle w:val="TableParagraph"/>
              <w:numPr>
                <w:ilvl w:val="0"/>
                <w:numId w:val="43"/>
              </w:numPr>
              <w:tabs>
                <w:tab w:pos="308" w:val="left" w:leader="none"/>
              </w:tabs>
              <w:spacing w:line="207" w:lineRule="exact" w:before="2" w:after="0"/>
              <w:ind w:left="307" w:right="0" w:hanging="200"/>
              <w:jc w:val="left"/>
              <w:rPr>
                <w:sz w:val="18"/>
              </w:rPr>
            </w:pPr>
            <w:r>
              <w:rPr>
                <w:sz w:val="18"/>
              </w:rPr>
              <w:t>Potential to walk or cycle to or through a</w:t>
            </w:r>
            <w:r>
              <w:rPr>
                <w:spacing w:val="-6"/>
                <w:sz w:val="18"/>
              </w:rPr>
              <w:t> </w:t>
            </w:r>
            <w:r>
              <w:rPr>
                <w:sz w:val="18"/>
              </w:rPr>
              <w:t>place</w:t>
            </w:r>
          </w:p>
          <w:p>
            <w:pPr>
              <w:pStyle w:val="TableParagraph"/>
              <w:numPr>
                <w:ilvl w:val="0"/>
                <w:numId w:val="43"/>
              </w:numPr>
              <w:tabs>
                <w:tab w:pos="318" w:val="left" w:leader="none"/>
              </w:tabs>
              <w:spacing w:line="187" w:lineRule="exact" w:before="0" w:after="0"/>
              <w:ind w:left="317" w:right="0" w:hanging="210"/>
              <w:jc w:val="left"/>
              <w:rPr>
                <w:sz w:val="18"/>
              </w:rPr>
            </w:pPr>
            <w:r>
              <w:rPr>
                <w:sz w:val="18"/>
              </w:rPr>
              <w:t>Promoting the use of heritage assets (building/land) to conserve special</w:t>
            </w:r>
            <w:r>
              <w:rPr>
                <w:spacing w:val="-11"/>
                <w:sz w:val="18"/>
              </w:rPr>
              <w:t> </w:t>
            </w:r>
            <w:r>
              <w:rPr>
                <w:sz w:val="18"/>
              </w:rPr>
              <w:t>interest</w:t>
            </w:r>
          </w:p>
        </w:tc>
      </w:tr>
      <w:tr>
        <w:trPr>
          <w:trHeight w:val="621"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Midstream: How does it positively contribute to the development of community by:</w:t>
            </w:r>
          </w:p>
          <w:p>
            <w:pPr>
              <w:pStyle w:val="TableParagraph"/>
              <w:numPr>
                <w:ilvl w:val="0"/>
                <w:numId w:val="44"/>
              </w:numPr>
              <w:tabs>
                <w:tab w:pos="318" w:val="left" w:leader="none"/>
              </w:tabs>
              <w:spacing w:line="207" w:lineRule="exact" w:before="2" w:after="0"/>
              <w:ind w:left="317" w:right="0" w:hanging="210"/>
              <w:jc w:val="left"/>
              <w:rPr>
                <w:sz w:val="18"/>
              </w:rPr>
            </w:pPr>
            <w:r>
              <w:rPr>
                <w:sz w:val="18"/>
              </w:rPr>
              <w:t>Providing well designed affordable</w:t>
            </w:r>
            <w:r>
              <w:rPr>
                <w:spacing w:val="-5"/>
                <w:sz w:val="18"/>
              </w:rPr>
              <w:t> </w:t>
            </w:r>
            <w:r>
              <w:rPr>
                <w:sz w:val="18"/>
              </w:rPr>
              <w:t>housing</w:t>
            </w:r>
          </w:p>
          <w:p>
            <w:pPr>
              <w:pStyle w:val="TableParagraph"/>
              <w:numPr>
                <w:ilvl w:val="0"/>
                <w:numId w:val="44"/>
              </w:numPr>
              <w:tabs>
                <w:tab w:pos="318" w:val="left" w:leader="none"/>
              </w:tabs>
              <w:spacing w:line="187" w:lineRule="exact" w:before="0" w:after="0"/>
              <w:ind w:left="317" w:right="0" w:hanging="210"/>
              <w:jc w:val="left"/>
              <w:rPr>
                <w:sz w:val="18"/>
              </w:rPr>
            </w:pPr>
            <w:r>
              <w:rPr>
                <w:sz w:val="18"/>
              </w:rPr>
              <w:t>Providing amenities for the</w:t>
            </w:r>
            <w:r>
              <w:rPr>
                <w:spacing w:val="-2"/>
                <w:sz w:val="18"/>
              </w:rPr>
              <w:t> </w:t>
            </w:r>
            <w:r>
              <w:rPr>
                <w:sz w:val="18"/>
              </w:rPr>
              <w:t>community</w:t>
            </w:r>
          </w:p>
        </w:tc>
      </w:tr>
      <w:tr>
        <w:trPr>
          <w:trHeight w:val="1242"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Downstream: How does it, through addressing quality of place:</w:t>
            </w:r>
          </w:p>
          <w:p>
            <w:pPr>
              <w:pStyle w:val="TableParagraph"/>
              <w:numPr>
                <w:ilvl w:val="0"/>
                <w:numId w:val="45"/>
              </w:numPr>
              <w:tabs>
                <w:tab w:pos="318" w:val="left" w:leader="none"/>
              </w:tabs>
              <w:spacing w:line="207" w:lineRule="exact" w:before="0" w:after="0"/>
              <w:ind w:left="317" w:right="0" w:hanging="210"/>
              <w:jc w:val="left"/>
              <w:rPr>
                <w:sz w:val="18"/>
              </w:rPr>
            </w:pPr>
            <w:r>
              <w:rPr>
                <w:sz w:val="18"/>
              </w:rPr>
              <w:t>Remediate contaminated</w:t>
            </w:r>
            <w:r>
              <w:rPr>
                <w:spacing w:val="-2"/>
                <w:sz w:val="18"/>
              </w:rPr>
              <w:t> </w:t>
            </w:r>
            <w:r>
              <w:rPr>
                <w:sz w:val="18"/>
              </w:rPr>
              <w:t>land</w:t>
            </w:r>
          </w:p>
          <w:p>
            <w:pPr>
              <w:pStyle w:val="TableParagraph"/>
              <w:numPr>
                <w:ilvl w:val="0"/>
                <w:numId w:val="45"/>
              </w:numPr>
              <w:tabs>
                <w:tab w:pos="318" w:val="left" w:leader="none"/>
              </w:tabs>
              <w:spacing w:line="207" w:lineRule="exact" w:before="2" w:after="0"/>
              <w:ind w:left="317" w:right="0" w:hanging="210"/>
              <w:jc w:val="left"/>
              <w:rPr>
                <w:sz w:val="18"/>
              </w:rPr>
            </w:pPr>
            <w:r>
              <w:rPr>
                <w:sz w:val="18"/>
              </w:rPr>
              <w:t>Reduce generation of carbon</w:t>
            </w:r>
            <w:r>
              <w:rPr>
                <w:spacing w:val="-5"/>
                <w:sz w:val="18"/>
              </w:rPr>
              <w:t> </w:t>
            </w:r>
            <w:r>
              <w:rPr>
                <w:sz w:val="18"/>
              </w:rPr>
              <w:t>emissions</w:t>
            </w:r>
          </w:p>
          <w:p>
            <w:pPr>
              <w:pStyle w:val="TableParagraph"/>
              <w:numPr>
                <w:ilvl w:val="0"/>
                <w:numId w:val="45"/>
              </w:numPr>
              <w:tabs>
                <w:tab w:pos="308" w:val="left" w:leader="none"/>
              </w:tabs>
              <w:spacing w:line="206" w:lineRule="exact" w:before="0" w:after="0"/>
              <w:ind w:left="307" w:right="0" w:hanging="200"/>
              <w:jc w:val="left"/>
              <w:rPr>
                <w:sz w:val="18"/>
              </w:rPr>
            </w:pPr>
            <w:r>
              <w:rPr>
                <w:sz w:val="18"/>
              </w:rPr>
              <w:t>Successfully integrate waste</w:t>
            </w:r>
            <w:r>
              <w:rPr>
                <w:spacing w:val="-3"/>
                <w:sz w:val="18"/>
              </w:rPr>
              <w:t> </w:t>
            </w:r>
            <w:r>
              <w:rPr>
                <w:sz w:val="18"/>
              </w:rPr>
              <w:t>facilities</w:t>
            </w:r>
          </w:p>
          <w:p>
            <w:pPr>
              <w:pStyle w:val="TableParagraph"/>
              <w:numPr>
                <w:ilvl w:val="0"/>
                <w:numId w:val="45"/>
              </w:numPr>
              <w:tabs>
                <w:tab w:pos="318" w:val="left" w:leader="none"/>
              </w:tabs>
              <w:spacing w:line="206" w:lineRule="exact" w:before="0" w:after="0"/>
              <w:ind w:left="317" w:right="0" w:hanging="210"/>
              <w:jc w:val="left"/>
              <w:rPr>
                <w:sz w:val="18"/>
              </w:rPr>
            </w:pPr>
            <w:r>
              <w:rPr>
                <w:sz w:val="18"/>
              </w:rPr>
              <w:t>Contribute to and support the physical and mental wellbeing of</w:t>
            </w:r>
            <w:r>
              <w:rPr>
                <w:spacing w:val="-14"/>
                <w:sz w:val="18"/>
              </w:rPr>
              <w:t> </w:t>
            </w:r>
            <w:r>
              <w:rPr>
                <w:sz w:val="18"/>
              </w:rPr>
              <w:t>residents</w:t>
            </w:r>
          </w:p>
          <w:p>
            <w:pPr>
              <w:pStyle w:val="TableParagraph"/>
              <w:numPr>
                <w:ilvl w:val="0"/>
                <w:numId w:val="45"/>
              </w:numPr>
              <w:tabs>
                <w:tab w:pos="318" w:val="left" w:leader="none"/>
              </w:tabs>
              <w:spacing w:line="189" w:lineRule="exact" w:before="0" w:after="0"/>
              <w:ind w:left="317" w:right="0" w:hanging="210"/>
              <w:jc w:val="left"/>
              <w:rPr>
                <w:sz w:val="18"/>
              </w:rPr>
            </w:pPr>
            <w:r>
              <w:rPr>
                <w:sz w:val="18"/>
              </w:rPr>
              <w:t>Design out</w:t>
            </w:r>
            <w:r>
              <w:rPr>
                <w:spacing w:val="-3"/>
                <w:sz w:val="18"/>
              </w:rPr>
              <w:t> </w:t>
            </w:r>
            <w:r>
              <w:rPr>
                <w:sz w:val="18"/>
              </w:rPr>
              <w:t>crime</w:t>
            </w:r>
          </w:p>
        </w:tc>
      </w:tr>
      <w:tr>
        <w:trPr>
          <w:trHeight w:val="827" w:hRule="atLeast"/>
        </w:trPr>
        <w:tc>
          <w:tcPr>
            <w:tcW w:w="1577" w:type="dxa"/>
            <w:vMerge w:val="restart"/>
          </w:tcPr>
          <w:p>
            <w:pPr>
              <w:pStyle w:val="TableParagraph"/>
              <w:ind w:left="107" w:right="139"/>
              <w:rPr>
                <w:sz w:val="18"/>
              </w:rPr>
            </w:pPr>
            <w:r>
              <w:rPr>
                <w:sz w:val="18"/>
              </w:rPr>
              <w:t>Increase energy efficiency, low and zero carbon forms of</w:t>
            </w:r>
            <w:r>
              <w:rPr>
                <w:spacing w:val="-6"/>
                <w:sz w:val="18"/>
              </w:rPr>
              <w:t> </w:t>
            </w:r>
            <w:r>
              <w:rPr>
                <w:sz w:val="18"/>
              </w:rPr>
              <w:t>energy</w:t>
            </w:r>
          </w:p>
          <w:p>
            <w:pPr>
              <w:pStyle w:val="TableParagraph"/>
              <w:spacing w:line="206" w:lineRule="exact" w:before="3"/>
              <w:ind w:left="107" w:right="166"/>
              <w:rPr>
                <w:sz w:val="18"/>
              </w:rPr>
            </w:pPr>
            <w:r>
              <w:rPr>
                <w:sz w:val="18"/>
              </w:rPr>
              <w:t>generation and local</w:t>
            </w:r>
            <w:r>
              <w:rPr>
                <w:spacing w:val="-17"/>
                <w:sz w:val="18"/>
              </w:rPr>
              <w:t> </w:t>
            </w:r>
            <w:r>
              <w:rPr>
                <w:sz w:val="18"/>
              </w:rPr>
              <w:t>distribution</w:t>
            </w:r>
          </w:p>
        </w:tc>
        <w:tc>
          <w:tcPr>
            <w:tcW w:w="7531" w:type="dxa"/>
          </w:tcPr>
          <w:p>
            <w:pPr>
              <w:pStyle w:val="TableParagraph"/>
              <w:spacing w:line="206" w:lineRule="exact"/>
              <w:ind w:left="107"/>
              <w:rPr>
                <w:sz w:val="18"/>
              </w:rPr>
            </w:pPr>
            <w:r>
              <w:rPr>
                <w:sz w:val="18"/>
              </w:rPr>
              <w:t>Upstream: How does it:</w:t>
            </w:r>
          </w:p>
          <w:p>
            <w:pPr>
              <w:pStyle w:val="TableParagraph"/>
              <w:numPr>
                <w:ilvl w:val="0"/>
                <w:numId w:val="46"/>
              </w:numPr>
              <w:tabs>
                <w:tab w:pos="318" w:val="left" w:leader="none"/>
              </w:tabs>
              <w:spacing w:line="206" w:lineRule="exact" w:before="0" w:after="0"/>
              <w:ind w:left="317" w:right="0" w:hanging="210"/>
              <w:jc w:val="left"/>
              <w:rPr>
                <w:sz w:val="18"/>
              </w:rPr>
            </w:pPr>
            <w:r>
              <w:rPr>
                <w:sz w:val="18"/>
              </w:rPr>
              <w:t>Increase energy</w:t>
            </w:r>
            <w:r>
              <w:rPr>
                <w:spacing w:val="-2"/>
                <w:sz w:val="18"/>
              </w:rPr>
              <w:t> </w:t>
            </w:r>
            <w:r>
              <w:rPr>
                <w:sz w:val="18"/>
              </w:rPr>
              <w:t>efficiency</w:t>
            </w:r>
          </w:p>
          <w:p>
            <w:pPr>
              <w:pStyle w:val="TableParagraph"/>
              <w:numPr>
                <w:ilvl w:val="0"/>
                <w:numId w:val="46"/>
              </w:numPr>
              <w:tabs>
                <w:tab w:pos="318" w:val="left" w:leader="none"/>
              </w:tabs>
              <w:spacing w:line="207" w:lineRule="exact" w:before="0" w:after="0"/>
              <w:ind w:left="317" w:right="0" w:hanging="210"/>
              <w:jc w:val="left"/>
              <w:rPr>
                <w:sz w:val="18"/>
              </w:rPr>
            </w:pPr>
            <w:r>
              <w:rPr>
                <w:sz w:val="18"/>
              </w:rPr>
              <w:t>Provide for low and zero carbon</w:t>
            </w:r>
            <w:r>
              <w:rPr>
                <w:spacing w:val="-4"/>
                <w:sz w:val="18"/>
              </w:rPr>
              <w:t> </w:t>
            </w:r>
            <w:r>
              <w:rPr>
                <w:sz w:val="18"/>
              </w:rPr>
              <w:t>generation</w:t>
            </w:r>
          </w:p>
          <w:p>
            <w:pPr>
              <w:pStyle w:val="TableParagraph"/>
              <w:numPr>
                <w:ilvl w:val="0"/>
                <w:numId w:val="46"/>
              </w:numPr>
              <w:tabs>
                <w:tab w:pos="308" w:val="left" w:leader="none"/>
              </w:tabs>
              <w:spacing w:line="187" w:lineRule="exact" w:before="2" w:after="0"/>
              <w:ind w:left="307" w:right="0" w:hanging="200"/>
              <w:jc w:val="left"/>
              <w:rPr>
                <w:sz w:val="18"/>
              </w:rPr>
            </w:pPr>
            <w:r>
              <w:rPr>
                <w:sz w:val="18"/>
              </w:rPr>
              <w:t>Provide for local</w:t>
            </w:r>
            <w:r>
              <w:rPr>
                <w:spacing w:val="-2"/>
                <w:sz w:val="18"/>
              </w:rPr>
              <w:t> </w:t>
            </w:r>
            <w:r>
              <w:rPr>
                <w:sz w:val="18"/>
              </w:rPr>
              <w:t>distribution</w:t>
            </w:r>
          </w:p>
        </w:tc>
      </w:tr>
      <w:tr>
        <w:trPr>
          <w:trHeight w:val="402"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Downstream: How does it reduce the production of greenhouse gases</w:t>
            </w:r>
          </w:p>
        </w:tc>
      </w:tr>
      <w:tr>
        <w:trPr>
          <w:trHeight w:val="1033" w:hRule="atLeast"/>
        </w:trPr>
        <w:tc>
          <w:tcPr>
            <w:tcW w:w="1577" w:type="dxa"/>
            <w:vMerge w:val="restart"/>
          </w:tcPr>
          <w:p>
            <w:pPr>
              <w:pStyle w:val="TableParagraph"/>
              <w:ind w:left="107" w:right="159"/>
              <w:rPr>
                <w:sz w:val="18"/>
              </w:rPr>
            </w:pPr>
            <w:r>
              <w:rPr>
                <w:sz w:val="18"/>
              </w:rPr>
              <w:t>Reduce consumption (increase efficient use) of natural resources (e.g. minerals, water)</w:t>
            </w:r>
          </w:p>
        </w:tc>
        <w:tc>
          <w:tcPr>
            <w:tcW w:w="7531" w:type="dxa"/>
          </w:tcPr>
          <w:p>
            <w:pPr>
              <w:pStyle w:val="TableParagraph"/>
              <w:spacing w:line="203" w:lineRule="exact"/>
              <w:ind w:left="107"/>
              <w:rPr>
                <w:sz w:val="18"/>
              </w:rPr>
            </w:pPr>
            <w:r>
              <w:rPr>
                <w:sz w:val="18"/>
              </w:rPr>
              <w:t>Upstream: How does it reduce the use of resources by:</w:t>
            </w:r>
          </w:p>
          <w:p>
            <w:pPr>
              <w:pStyle w:val="TableParagraph"/>
              <w:numPr>
                <w:ilvl w:val="0"/>
                <w:numId w:val="47"/>
              </w:numPr>
              <w:tabs>
                <w:tab w:pos="318" w:val="left" w:leader="none"/>
              </w:tabs>
              <w:spacing w:line="207" w:lineRule="exact" w:before="2" w:after="0"/>
              <w:ind w:left="317" w:right="0" w:hanging="210"/>
              <w:jc w:val="left"/>
              <w:rPr>
                <w:sz w:val="18"/>
              </w:rPr>
            </w:pPr>
            <w:r>
              <w:rPr>
                <w:sz w:val="18"/>
              </w:rPr>
              <w:t>Reusing</w:t>
            </w:r>
            <w:r>
              <w:rPr>
                <w:spacing w:val="-2"/>
                <w:sz w:val="18"/>
              </w:rPr>
              <w:t> </w:t>
            </w:r>
            <w:r>
              <w:rPr>
                <w:sz w:val="18"/>
              </w:rPr>
              <w:t>resources</w:t>
            </w:r>
          </w:p>
          <w:p>
            <w:pPr>
              <w:pStyle w:val="TableParagraph"/>
              <w:numPr>
                <w:ilvl w:val="0"/>
                <w:numId w:val="47"/>
              </w:numPr>
              <w:tabs>
                <w:tab w:pos="318" w:val="left" w:leader="none"/>
              </w:tabs>
              <w:spacing w:line="206" w:lineRule="exact" w:before="0" w:after="0"/>
              <w:ind w:left="317" w:right="0" w:hanging="210"/>
              <w:jc w:val="left"/>
              <w:rPr>
                <w:sz w:val="18"/>
              </w:rPr>
            </w:pPr>
            <w:r>
              <w:rPr>
                <w:sz w:val="18"/>
              </w:rPr>
              <w:t>Diverting</w:t>
            </w:r>
            <w:r>
              <w:rPr>
                <w:spacing w:val="-2"/>
                <w:sz w:val="18"/>
              </w:rPr>
              <w:t> </w:t>
            </w:r>
            <w:r>
              <w:rPr>
                <w:sz w:val="18"/>
              </w:rPr>
              <w:t>resources</w:t>
            </w:r>
          </w:p>
          <w:p>
            <w:pPr>
              <w:pStyle w:val="TableParagraph"/>
              <w:numPr>
                <w:ilvl w:val="0"/>
                <w:numId w:val="47"/>
              </w:numPr>
              <w:tabs>
                <w:tab w:pos="308" w:val="left" w:leader="none"/>
              </w:tabs>
              <w:spacing w:line="206" w:lineRule="exact" w:before="0" w:after="0"/>
              <w:ind w:left="307" w:right="0" w:hanging="200"/>
              <w:jc w:val="left"/>
              <w:rPr>
                <w:sz w:val="18"/>
              </w:rPr>
            </w:pPr>
            <w:r>
              <w:rPr>
                <w:sz w:val="18"/>
              </w:rPr>
              <w:t>Minimising resources</w:t>
            </w:r>
          </w:p>
          <w:p>
            <w:pPr>
              <w:pStyle w:val="TableParagraph"/>
              <w:numPr>
                <w:ilvl w:val="0"/>
                <w:numId w:val="47"/>
              </w:numPr>
              <w:tabs>
                <w:tab w:pos="318" w:val="left" w:leader="none"/>
              </w:tabs>
              <w:spacing w:line="189" w:lineRule="exact" w:before="0" w:after="0"/>
              <w:ind w:left="317" w:right="0" w:hanging="210"/>
              <w:jc w:val="left"/>
              <w:rPr>
                <w:sz w:val="18"/>
              </w:rPr>
            </w:pPr>
            <w:r>
              <w:rPr>
                <w:sz w:val="18"/>
              </w:rPr>
              <w:t>Design and method reduce</w:t>
            </w:r>
            <w:r>
              <w:rPr>
                <w:spacing w:val="-3"/>
                <w:sz w:val="18"/>
              </w:rPr>
              <w:t> </w:t>
            </w:r>
            <w:r>
              <w:rPr>
                <w:sz w:val="18"/>
              </w:rPr>
              <w:t>impact</w:t>
            </w:r>
          </w:p>
        </w:tc>
      </w:tr>
      <w:tr>
        <w:trPr>
          <w:trHeight w:val="412"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Midstream: Does it by decreasing the consumption of natural resources:</w:t>
            </w:r>
          </w:p>
          <w:p>
            <w:pPr>
              <w:pStyle w:val="TableParagraph"/>
              <w:spacing w:line="187" w:lineRule="exact"/>
              <w:ind w:left="107"/>
              <w:rPr>
                <w:sz w:val="18"/>
              </w:rPr>
            </w:pPr>
            <w:r>
              <w:rPr>
                <w:sz w:val="18"/>
              </w:rPr>
              <w:t>a) improve water quality</w:t>
            </w:r>
          </w:p>
        </w:tc>
      </w:tr>
      <w:tr>
        <w:trPr>
          <w:trHeight w:val="1036" w:hRule="atLeast"/>
        </w:trPr>
        <w:tc>
          <w:tcPr>
            <w:tcW w:w="1577" w:type="dxa"/>
            <w:vMerge/>
            <w:tcBorders>
              <w:top w:val="nil"/>
            </w:tcBorders>
          </w:tcPr>
          <w:p>
            <w:pPr>
              <w:rPr>
                <w:sz w:val="2"/>
                <w:szCs w:val="2"/>
              </w:rPr>
            </w:pPr>
          </w:p>
        </w:tc>
        <w:tc>
          <w:tcPr>
            <w:tcW w:w="7531" w:type="dxa"/>
          </w:tcPr>
          <w:p>
            <w:pPr>
              <w:pStyle w:val="TableParagraph"/>
              <w:spacing w:line="206" w:lineRule="exact"/>
              <w:ind w:left="107"/>
              <w:rPr>
                <w:sz w:val="18"/>
              </w:rPr>
            </w:pPr>
            <w:r>
              <w:rPr>
                <w:sz w:val="18"/>
              </w:rPr>
              <w:t>Downstream: Does it, by decreasing consumption of natural resources:</w:t>
            </w:r>
          </w:p>
          <w:p>
            <w:pPr>
              <w:pStyle w:val="TableParagraph"/>
              <w:numPr>
                <w:ilvl w:val="0"/>
                <w:numId w:val="48"/>
              </w:numPr>
              <w:tabs>
                <w:tab w:pos="318" w:val="left" w:leader="none"/>
              </w:tabs>
              <w:spacing w:line="207" w:lineRule="exact" w:before="2" w:after="0"/>
              <w:ind w:left="317" w:right="0" w:hanging="210"/>
              <w:jc w:val="left"/>
              <w:rPr>
                <w:sz w:val="18"/>
              </w:rPr>
            </w:pPr>
            <w:r>
              <w:rPr>
                <w:sz w:val="18"/>
              </w:rPr>
              <w:t>Provide opportunities for biodiversity (e.g.</w:t>
            </w:r>
            <w:r>
              <w:rPr>
                <w:spacing w:val="-3"/>
                <w:sz w:val="18"/>
              </w:rPr>
              <w:t> </w:t>
            </w:r>
            <w:r>
              <w:rPr>
                <w:sz w:val="18"/>
              </w:rPr>
              <w:t>restoration)</w:t>
            </w:r>
          </w:p>
          <w:p>
            <w:pPr>
              <w:pStyle w:val="TableParagraph"/>
              <w:numPr>
                <w:ilvl w:val="0"/>
                <w:numId w:val="48"/>
              </w:numPr>
              <w:tabs>
                <w:tab w:pos="318" w:val="left" w:leader="none"/>
              </w:tabs>
              <w:spacing w:line="206" w:lineRule="exact" w:before="0" w:after="0"/>
              <w:ind w:left="317" w:right="0" w:hanging="210"/>
              <w:jc w:val="left"/>
              <w:rPr>
                <w:sz w:val="18"/>
              </w:rPr>
            </w:pPr>
            <w:r>
              <w:rPr>
                <w:sz w:val="18"/>
              </w:rPr>
              <w:t>Impact on levels of flood</w:t>
            </w:r>
            <w:r>
              <w:rPr>
                <w:spacing w:val="-4"/>
                <w:sz w:val="18"/>
              </w:rPr>
              <w:t> </w:t>
            </w:r>
            <w:r>
              <w:rPr>
                <w:sz w:val="18"/>
              </w:rPr>
              <w:t>risk</w:t>
            </w:r>
          </w:p>
          <w:p>
            <w:pPr>
              <w:pStyle w:val="TableParagraph"/>
              <w:numPr>
                <w:ilvl w:val="0"/>
                <w:numId w:val="48"/>
              </w:numPr>
              <w:tabs>
                <w:tab w:pos="308" w:val="left" w:leader="none"/>
              </w:tabs>
              <w:spacing w:line="206" w:lineRule="exact" w:before="0" w:after="0"/>
              <w:ind w:left="307" w:right="0" w:hanging="200"/>
              <w:jc w:val="left"/>
              <w:rPr>
                <w:sz w:val="18"/>
              </w:rPr>
            </w:pPr>
            <w:r>
              <w:rPr>
                <w:sz w:val="18"/>
              </w:rPr>
              <w:t>Impact on waste arisings and</w:t>
            </w:r>
            <w:r>
              <w:rPr>
                <w:spacing w:val="-5"/>
                <w:sz w:val="18"/>
              </w:rPr>
              <w:t> </w:t>
            </w:r>
            <w:r>
              <w:rPr>
                <w:sz w:val="18"/>
              </w:rPr>
              <w:t>management</w:t>
            </w:r>
          </w:p>
          <w:p>
            <w:pPr>
              <w:pStyle w:val="TableParagraph"/>
              <w:numPr>
                <w:ilvl w:val="0"/>
                <w:numId w:val="48"/>
              </w:numPr>
              <w:tabs>
                <w:tab w:pos="318" w:val="left" w:leader="none"/>
              </w:tabs>
              <w:spacing w:line="189" w:lineRule="exact" w:before="0" w:after="0"/>
              <w:ind w:left="317" w:right="0" w:hanging="210"/>
              <w:jc w:val="left"/>
              <w:rPr>
                <w:sz w:val="18"/>
              </w:rPr>
            </w:pPr>
            <w:r>
              <w:rPr>
                <w:sz w:val="18"/>
              </w:rPr>
              <w:t>Design and methods reduce</w:t>
            </w:r>
            <w:r>
              <w:rPr>
                <w:spacing w:val="-3"/>
                <w:sz w:val="18"/>
              </w:rPr>
              <w:t> </w:t>
            </w:r>
            <w:r>
              <w:rPr>
                <w:sz w:val="18"/>
              </w:rPr>
              <w:t>impact</w:t>
            </w:r>
          </w:p>
        </w:tc>
      </w:tr>
    </w:tbl>
    <w:p>
      <w:pPr>
        <w:spacing w:before="117"/>
        <w:ind w:left="716" w:right="0" w:firstLine="0"/>
        <w:jc w:val="left"/>
        <w:rPr>
          <w:b/>
          <w:sz w:val="22"/>
        </w:rPr>
      </w:pPr>
      <w:r>
        <w:rPr>
          <w:b/>
          <w:sz w:val="22"/>
        </w:rPr>
        <w:t>Leeds Sustainability Appraisal Revised Methodology, November 2011, Version 5</w:t>
      </w:r>
    </w:p>
    <w:p>
      <w:pPr>
        <w:spacing w:after="0"/>
        <w:jc w:val="left"/>
        <w:rPr>
          <w:sz w:val="22"/>
        </w:rPr>
        <w:sectPr>
          <w:pgSz w:w="11910" w:h="16840"/>
          <w:pgMar w:header="0" w:footer="906" w:top="1420" w:bottom="1100" w:left="1040" w:right="520"/>
        </w:sectPr>
      </w:pPr>
    </w:p>
    <w:p>
      <w:pPr>
        <w:pStyle w:val="Heading2"/>
      </w:pPr>
      <w:bookmarkStart w:name="_TOC_250002" w:id="97"/>
      <w:bookmarkEnd w:id="97"/>
      <w:r>
        <w:rPr/>
        <w:t>Appendix D – List of Measures</w:t>
      </w:r>
    </w:p>
    <w:p>
      <w:pPr>
        <w:pStyle w:val="BodyText"/>
        <w:spacing w:before="2"/>
        <w:rPr>
          <w:b/>
          <w:sz w:val="33"/>
        </w:rPr>
      </w:pPr>
    </w:p>
    <w:p>
      <w:pPr>
        <w:pStyle w:val="Heading3"/>
        <w:ind w:right="913"/>
        <w:jc w:val="both"/>
      </w:pPr>
      <w:r>
        <w:rPr/>
        <w:t>This is the ‘List of Measures’ provided to participants at the SEA Workshop on 5</w:t>
      </w:r>
      <w:r>
        <w:rPr>
          <w:vertAlign w:val="superscript"/>
        </w:rPr>
        <w:t>th</w:t>
      </w:r>
      <w:r>
        <w:rPr>
          <w:vertAlign w:val="baseline"/>
        </w:rPr>
        <w:t> July 2012. The updated version of the ‘List of Measures’ is in Appendix C of the Leeds Local Flood Risk Management</w:t>
      </w:r>
      <w:r>
        <w:rPr>
          <w:spacing w:val="-4"/>
          <w:vertAlign w:val="baseline"/>
        </w:rPr>
        <w:t> </w:t>
      </w:r>
      <w:r>
        <w:rPr>
          <w:vertAlign w:val="baseline"/>
        </w:rPr>
        <w:t>Strategy.</w:t>
      </w:r>
    </w:p>
    <w:p>
      <w:pPr>
        <w:pStyle w:val="BodyText"/>
        <w:rPr>
          <w:sz w:val="24"/>
        </w:rPr>
      </w:pPr>
    </w:p>
    <w:p>
      <w:pPr>
        <w:spacing w:before="0"/>
        <w:ind w:left="400" w:right="0" w:firstLine="0"/>
        <w:jc w:val="left"/>
        <w:rPr>
          <w:b/>
          <w:sz w:val="24"/>
        </w:rPr>
      </w:pPr>
      <w:r>
        <w:rPr>
          <w:b/>
          <w:sz w:val="24"/>
          <w:u w:val="thick"/>
        </w:rPr>
        <w:t>Objective 1</w:t>
      </w:r>
    </w:p>
    <w:p>
      <w:pPr>
        <w:spacing w:before="0"/>
        <w:ind w:left="400" w:right="1207" w:firstLine="0"/>
        <w:jc w:val="both"/>
        <w:rPr>
          <w:b/>
          <w:sz w:val="24"/>
        </w:rPr>
      </w:pPr>
      <w:r>
        <w:rPr>
          <w:b/>
          <w:sz w:val="24"/>
        </w:rPr>
        <w:t>Improve co-operation between LLFA and other RMAs, in terms of procedure, to meet the requirements of new legislation and achieve holistic solutions to identified risks/problems.</w:t>
      </w:r>
    </w:p>
    <w:p>
      <w:pPr>
        <w:pStyle w:val="BodyText"/>
        <w:rPr>
          <w:b/>
          <w:sz w:val="24"/>
        </w:rPr>
      </w:pPr>
    </w:p>
    <w:p>
      <w:pPr>
        <w:pStyle w:val="Heading3"/>
        <w:ind w:right="951"/>
      </w:pPr>
      <w:r>
        <w:rPr/>
        <w:t>22. Improve communications, engagement and coordination of activities with internal and external partners (including RMAs): Leeds City Council Flood Risk Management Group; Technical Standards and Guidance; Planning and Flood Risk; Yorkshire and Humber Learning Alliance.</w:t>
      </w:r>
    </w:p>
    <w:p>
      <w:pPr>
        <w:pStyle w:val="BodyText"/>
        <w:rPr>
          <w:sz w:val="24"/>
        </w:rPr>
      </w:pPr>
    </w:p>
    <w:p>
      <w:pPr>
        <w:pStyle w:val="Heading3"/>
        <w:ind w:right="939"/>
      </w:pPr>
      <w:r>
        <w:rPr/>
        <w:t>24. Review and update Emergency Handbook, Generic Flooding Plan, Community Flood Action Plans, West Yorkshire Major Flood Incident Plan, Reservoir Emergency Plan.</w:t>
      </w:r>
    </w:p>
    <w:p>
      <w:pPr>
        <w:pStyle w:val="BodyText"/>
        <w:rPr>
          <w:sz w:val="24"/>
        </w:rPr>
      </w:pPr>
    </w:p>
    <w:p>
      <w:pPr>
        <w:pStyle w:val="Heading3"/>
        <w:ind w:right="964"/>
      </w:pPr>
      <w:r>
        <w:rPr/>
        <w:t>34. Review Council Policy on FRM - e.g. ‘Maintaining Water Resources and Responding to Flood Incidents’ approved by Exec Board on 17 May 2006 to ensure that it conforms to the requirements of the FWMA that Local authorities should lead on the management of local flood risk, with the support of the relevant organisations.</w:t>
      </w:r>
    </w:p>
    <w:p>
      <w:pPr>
        <w:pStyle w:val="BodyText"/>
        <w:rPr>
          <w:sz w:val="24"/>
        </w:rPr>
      </w:pPr>
    </w:p>
    <w:p>
      <w:pPr>
        <w:spacing w:before="0"/>
        <w:ind w:left="400" w:right="0" w:firstLine="0"/>
        <w:jc w:val="left"/>
        <w:rPr>
          <w:b/>
          <w:sz w:val="24"/>
        </w:rPr>
      </w:pPr>
      <w:r>
        <w:rPr>
          <w:b/>
          <w:sz w:val="24"/>
          <w:u w:val="thick"/>
        </w:rPr>
        <w:t>Objective 2</w:t>
      </w:r>
    </w:p>
    <w:p>
      <w:pPr>
        <w:spacing w:before="0"/>
        <w:ind w:left="400" w:right="1662" w:firstLine="0"/>
        <w:jc w:val="left"/>
        <w:rPr>
          <w:b/>
          <w:sz w:val="24"/>
        </w:rPr>
      </w:pPr>
      <w:r>
        <w:rPr>
          <w:b/>
          <w:sz w:val="24"/>
        </w:rPr>
        <w:t>Develop a consistent approach to planning and investment in flood risk management between RMAs and avoid duplication of effort or inefficient investment.</w:t>
      </w:r>
    </w:p>
    <w:p>
      <w:pPr>
        <w:pStyle w:val="BodyText"/>
        <w:rPr>
          <w:b/>
          <w:sz w:val="24"/>
        </w:rPr>
      </w:pPr>
    </w:p>
    <w:p>
      <w:pPr>
        <w:pStyle w:val="Heading3"/>
        <w:numPr>
          <w:ilvl w:val="0"/>
          <w:numId w:val="49"/>
        </w:numPr>
        <w:tabs>
          <w:tab w:pos="801" w:val="left" w:leader="none"/>
        </w:tabs>
        <w:spacing w:line="240" w:lineRule="auto" w:before="0" w:after="0"/>
        <w:ind w:left="800" w:right="0" w:hanging="400"/>
        <w:jc w:val="left"/>
      </w:pPr>
      <w:r>
        <w:rPr/>
        <w:t>Pump operation - carbon</w:t>
      </w:r>
      <w:r>
        <w:rPr>
          <w:spacing w:val="-4"/>
        </w:rPr>
        <w:t> </w:t>
      </w:r>
      <w:r>
        <w:rPr/>
        <w:t>reduction</w:t>
      </w:r>
    </w:p>
    <w:p>
      <w:pPr>
        <w:pStyle w:val="BodyText"/>
        <w:rPr>
          <w:sz w:val="24"/>
        </w:rPr>
      </w:pPr>
    </w:p>
    <w:p>
      <w:pPr>
        <w:pStyle w:val="Heading3"/>
        <w:numPr>
          <w:ilvl w:val="0"/>
          <w:numId w:val="49"/>
        </w:numPr>
        <w:tabs>
          <w:tab w:pos="801" w:val="left" w:leader="none"/>
        </w:tabs>
        <w:spacing w:line="240" w:lineRule="auto" w:before="0" w:after="0"/>
        <w:ind w:left="800" w:right="0" w:hanging="400"/>
        <w:jc w:val="left"/>
      </w:pPr>
      <w:r>
        <w:rPr/>
        <w:t>Implement SuDS Approval Body (SAB)</w:t>
      </w:r>
      <w:r>
        <w:rPr>
          <w:spacing w:val="-4"/>
        </w:rPr>
        <w:t> </w:t>
      </w:r>
      <w:r>
        <w:rPr/>
        <w:t>function</w:t>
      </w:r>
    </w:p>
    <w:p>
      <w:pPr>
        <w:pStyle w:val="BodyText"/>
        <w:rPr>
          <w:sz w:val="24"/>
        </w:rPr>
      </w:pPr>
    </w:p>
    <w:p>
      <w:pPr>
        <w:pStyle w:val="Heading3"/>
        <w:numPr>
          <w:ilvl w:val="0"/>
          <w:numId w:val="49"/>
        </w:numPr>
        <w:tabs>
          <w:tab w:pos="801" w:val="left" w:leader="none"/>
        </w:tabs>
        <w:spacing w:line="240" w:lineRule="auto" w:before="0" w:after="0"/>
        <w:ind w:left="800" w:right="0" w:hanging="400"/>
        <w:jc w:val="left"/>
      </w:pPr>
      <w:r>
        <w:rPr/>
        <w:t>Publish Local Flood Risk Management</w:t>
      </w:r>
      <w:r>
        <w:rPr>
          <w:spacing w:val="-11"/>
        </w:rPr>
        <w:t> </w:t>
      </w:r>
      <w:r>
        <w:rPr/>
        <w:t>Strategy</w:t>
      </w:r>
    </w:p>
    <w:p>
      <w:pPr>
        <w:pStyle w:val="BodyText"/>
        <w:rPr>
          <w:sz w:val="24"/>
        </w:rPr>
      </w:pPr>
    </w:p>
    <w:p>
      <w:pPr>
        <w:pStyle w:val="Heading3"/>
        <w:numPr>
          <w:ilvl w:val="0"/>
          <w:numId w:val="49"/>
        </w:numPr>
        <w:tabs>
          <w:tab w:pos="801" w:val="left" w:leader="none"/>
        </w:tabs>
        <w:spacing w:line="240" w:lineRule="auto" w:before="1" w:after="0"/>
        <w:ind w:left="800" w:right="0" w:hanging="400"/>
        <w:jc w:val="left"/>
      </w:pPr>
      <w:r>
        <w:rPr/>
        <w:t>Undertake Strategic Environmental Assessment</w:t>
      </w:r>
      <w:r>
        <w:rPr>
          <w:spacing w:val="-4"/>
        </w:rPr>
        <w:t> </w:t>
      </w:r>
      <w:r>
        <w:rPr/>
        <w:t>(SEA)</w:t>
      </w:r>
    </w:p>
    <w:p>
      <w:pPr>
        <w:pStyle w:val="BodyText"/>
        <w:spacing w:before="11"/>
      </w:pPr>
    </w:p>
    <w:p>
      <w:pPr>
        <w:pStyle w:val="Heading3"/>
        <w:numPr>
          <w:ilvl w:val="0"/>
          <w:numId w:val="50"/>
        </w:numPr>
        <w:tabs>
          <w:tab w:pos="801" w:val="left" w:leader="none"/>
        </w:tabs>
        <w:spacing w:line="240" w:lineRule="auto" w:before="0" w:after="0"/>
        <w:ind w:left="800" w:right="0" w:hanging="400"/>
        <w:jc w:val="left"/>
      </w:pPr>
      <w:r>
        <w:rPr/>
        <w:t>Review Local Flood Risk Management Strategy</w:t>
      </w:r>
      <w:r>
        <w:rPr>
          <w:spacing w:val="-6"/>
        </w:rPr>
        <w:t> </w:t>
      </w:r>
      <w:r>
        <w:rPr/>
        <w:t>(LFRMS)</w:t>
      </w:r>
    </w:p>
    <w:p>
      <w:pPr>
        <w:pStyle w:val="BodyText"/>
        <w:rPr>
          <w:sz w:val="24"/>
        </w:rPr>
      </w:pPr>
    </w:p>
    <w:p>
      <w:pPr>
        <w:pStyle w:val="Heading3"/>
        <w:numPr>
          <w:ilvl w:val="0"/>
          <w:numId w:val="50"/>
        </w:numPr>
        <w:tabs>
          <w:tab w:pos="801" w:val="left" w:leader="none"/>
        </w:tabs>
        <w:spacing w:line="240" w:lineRule="auto" w:before="0" w:after="0"/>
        <w:ind w:left="800" w:right="0" w:hanging="400"/>
        <w:jc w:val="left"/>
      </w:pPr>
      <w:r>
        <w:rPr/>
        <w:t>Review LFRMS ‘List of</w:t>
      </w:r>
      <w:r>
        <w:rPr>
          <w:spacing w:val="-4"/>
        </w:rPr>
        <w:t> </w:t>
      </w:r>
      <w:r>
        <w:rPr/>
        <w:t>Measures’</w:t>
      </w:r>
    </w:p>
    <w:p>
      <w:pPr>
        <w:pStyle w:val="BodyText"/>
        <w:rPr>
          <w:sz w:val="24"/>
        </w:rPr>
      </w:pPr>
    </w:p>
    <w:p>
      <w:pPr>
        <w:pStyle w:val="Heading3"/>
        <w:ind w:right="1019"/>
      </w:pPr>
      <w:r>
        <w:rPr/>
        <w:t>30. Review and update as appropriate the Strategic Flood Risk Assessment (SFRA) produced by Jacobs in October 2007</w:t>
      </w:r>
    </w:p>
    <w:p>
      <w:pPr>
        <w:pStyle w:val="BodyText"/>
        <w:rPr>
          <w:sz w:val="24"/>
        </w:rPr>
      </w:pPr>
    </w:p>
    <w:p>
      <w:pPr>
        <w:pStyle w:val="Heading3"/>
      </w:pPr>
      <w:r>
        <w:rPr/>
        <w:t>33. Climate change adaptation</w:t>
      </w:r>
    </w:p>
    <w:p>
      <w:pPr>
        <w:pStyle w:val="BodyText"/>
        <w:rPr>
          <w:sz w:val="24"/>
        </w:rPr>
      </w:pPr>
    </w:p>
    <w:p>
      <w:pPr>
        <w:pStyle w:val="Heading3"/>
        <w:ind w:right="1739"/>
      </w:pPr>
      <w:r>
        <w:rPr/>
        <w:t>35. Provide regular feedback to senior officers and elected members on FRM progress: working groups, strategies, list of measures...etc</w:t>
      </w:r>
    </w:p>
    <w:p>
      <w:pPr>
        <w:spacing w:after="0"/>
        <w:sectPr>
          <w:pgSz w:w="11910" w:h="16840"/>
          <w:pgMar w:header="0" w:footer="906" w:top="1580" w:bottom="1100" w:left="1040" w:right="520"/>
        </w:sectPr>
      </w:pPr>
    </w:p>
    <w:p>
      <w:pPr>
        <w:pStyle w:val="Heading3"/>
        <w:numPr>
          <w:ilvl w:val="0"/>
          <w:numId w:val="51"/>
        </w:numPr>
        <w:tabs>
          <w:tab w:pos="547" w:val="left" w:leader="none"/>
        </w:tabs>
        <w:spacing w:line="240" w:lineRule="auto" w:before="78" w:after="0"/>
        <w:ind w:left="400" w:right="0" w:firstLine="0"/>
        <w:jc w:val="left"/>
      </w:pPr>
      <w:r>
        <w:rPr/>
        <w:t>Director of City Development</w:t>
      </w:r>
      <w:r>
        <w:rPr>
          <w:spacing w:val="-4"/>
        </w:rPr>
        <w:t> </w:t>
      </w:r>
      <w:r>
        <w:rPr/>
        <w:t>(quarterly)</w:t>
      </w:r>
    </w:p>
    <w:p>
      <w:pPr>
        <w:pStyle w:val="Heading3"/>
        <w:numPr>
          <w:ilvl w:val="0"/>
          <w:numId w:val="51"/>
        </w:numPr>
        <w:tabs>
          <w:tab w:pos="547" w:val="left" w:leader="none"/>
        </w:tabs>
        <w:spacing w:line="240" w:lineRule="auto" w:before="0" w:after="0"/>
        <w:ind w:left="400" w:right="0" w:firstLine="0"/>
        <w:jc w:val="left"/>
      </w:pPr>
      <w:r>
        <w:rPr/>
        <w:t>City Development SLT</w:t>
      </w:r>
      <w:r>
        <w:rPr>
          <w:spacing w:val="-16"/>
        </w:rPr>
        <w:t> </w:t>
      </w:r>
      <w:r>
        <w:rPr/>
        <w:t>(annually)</w:t>
      </w:r>
    </w:p>
    <w:p>
      <w:pPr>
        <w:pStyle w:val="Heading3"/>
        <w:numPr>
          <w:ilvl w:val="0"/>
          <w:numId w:val="51"/>
        </w:numPr>
        <w:tabs>
          <w:tab w:pos="547" w:val="left" w:leader="none"/>
        </w:tabs>
        <w:spacing w:line="240" w:lineRule="auto" w:before="0" w:after="0"/>
        <w:ind w:left="400" w:right="0" w:firstLine="0"/>
        <w:jc w:val="left"/>
      </w:pPr>
      <w:r>
        <w:rPr/>
        <w:t>Other key officers as needs</w:t>
      </w:r>
      <w:r>
        <w:rPr>
          <w:spacing w:val="-21"/>
        </w:rPr>
        <w:t> </w:t>
      </w:r>
      <w:r>
        <w:rPr/>
        <w:t>arise</w:t>
      </w:r>
    </w:p>
    <w:p>
      <w:pPr>
        <w:pStyle w:val="Heading3"/>
        <w:numPr>
          <w:ilvl w:val="0"/>
          <w:numId w:val="51"/>
        </w:numPr>
        <w:tabs>
          <w:tab w:pos="547" w:val="left" w:leader="none"/>
        </w:tabs>
        <w:spacing w:line="240" w:lineRule="auto" w:before="0" w:after="0"/>
        <w:ind w:left="400" w:right="0" w:firstLine="0"/>
        <w:jc w:val="left"/>
      </w:pPr>
      <w:r>
        <w:rPr/>
        <w:t>City Development Scrutiny Board</w:t>
      </w:r>
      <w:r>
        <w:rPr>
          <w:spacing w:val="-4"/>
        </w:rPr>
        <w:t> </w:t>
      </w:r>
      <w:r>
        <w:rPr/>
        <w:t>(annually)</w:t>
      </w:r>
    </w:p>
    <w:p>
      <w:pPr>
        <w:pStyle w:val="Heading3"/>
        <w:numPr>
          <w:ilvl w:val="0"/>
          <w:numId w:val="51"/>
        </w:numPr>
        <w:tabs>
          <w:tab w:pos="547" w:val="left" w:leader="none"/>
        </w:tabs>
        <w:spacing w:line="240" w:lineRule="auto" w:before="0" w:after="0"/>
        <w:ind w:left="400" w:right="0" w:firstLine="0"/>
        <w:jc w:val="left"/>
      </w:pPr>
      <w:r>
        <w:rPr/>
        <w:t>All Area Committees</w:t>
      </w:r>
      <w:r>
        <w:rPr>
          <w:spacing w:val="-3"/>
        </w:rPr>
        <w:t> </w:t>
      </w:r>
      <w:r>
        <w:rPr/>
        <w:t>(two-yearly)</w:t>
      </w:r>
    </w:p>
    <w:p>
      <w:pPr>
        <w:pStyle w:val="BodyText"/>
        <w:rPr>
          <w:sz w:val="24"/>
        </w:rPr>
      </w:pPr>
    </w:p>
    <w:p>
      <w:pPr>
        <w:spacing w:before="0"/>
        <w:ind w:left="400" w:right="0" w:firstLine="0"/>
        <w:jc w:val="left"/>
        <w:rPr>
          <w:b/>
          <w:sz w:val="24"/>
        </w:rPr>
      </w:pPr>
      <w:r>
        <w:rPr>
          <w:b/>
          <w:sz w:val="24"/>
          <w:u w:val="thick"/>
        </w:rPr>
        <w:t>Objective 3</w:t>
      </w:r>
    </w:p>
    <w:p>
      <w:pPr>
        <w:spacing w:before="0"/>
        <w:ind w:left="400" w:right="0" w:firstLine="0"/>
        <w:jc w:val="left"/>
        <w:rPr>
          <w:b/>
          <w:sz w:val="24"/>
        </w:rPr>
      </w:pPr>
      <w:r>
        <w:rPr>
          <w:b/>
          <w:sz w:val="24"/>
        </w:rPr>
        <w:t>Increase internal skills and ultimately capacity for flood risk management.</w:t>
      </w:r>
    </w:p>
    <w:p>
      <w:pPr>
        <w:pStyle w:val="BodyText"/>
        <w:rPr>
          <w:b/>
          <w:sz w:val="24"/>
        </w:rPr>
      </w:pPr>
    </w:p>
    <w:p>
      <w:pPr>
        <w:pStyle w:val="Heading3"/>
        <w:ind w:right="1259"/>
      </w:pPr>
      <w:r>
        <w:rPr/>
        <w:t>37. Leeds City Council to increase their flood risk management capacity and skills (as Lead Local Flood Authority) in order to deliver their new responsibilities as conferred under the Flood and Water Management Act 2010.</w:t>
      </w:r>
    </w:p>
    <w:p>
      <w:pPr>
        <w:pStyle w:val="BodyText"/>
        <w:rPr>
          <w:sz w:val="24"/>
        </w:rPr>
      </w:pPr>
    </w:p>
    <w:p>
      <w:pPr>
        <w:spacing w:before="0"/>
        <w:ind w:left="400" w:right="0" w:firstLine="0"/>
        <w:jc w:val="left"/>
        <w:rPr>
          <w:b/>
          <w:sz w:val="24"/>
        </w:rPr>
      </w:pPr>
      <w:r>
        <w:rPr>
          <w:b/>
          <w:sz w:val="24"/>
          <w:u w:val="thick"/>
        </w:rPr>
        <w:t>Objective 4</w:t>
      </w:r>
    </w:p>
    <w:p>
      <w:pPr>
        <w:spacing w:before="0"/>
        <w:ind w:left="400" w:right="1314" w:firstLine="0"/>
        <w:jc w:val="left"/>
        <w:rPr>
          <w:b/>
          <w:sz w:val="24"/>
        </w:rPr>
      </w:pPr>
      <w:r>
        <w:rPr>
          <w:b/>
          <w:sz w:val="24"/>
        </w:rPr>
        <w:t>Increase community awareness of the work of the LLFA and local flood risk and involve local communities in decision making – localism agenda.</w:t>
      </w:r>
    </w:p>
    <w:p>
      <w:pPr>
        <w:pStyle w:val="BodyText"/>
        <w:rPr>
          <w:b/>
          <w:sz w:val="24"/>
        </w:rPr>
      </w:pPr>
    </w:p>
    <w:p>
      <w:pPr>
        <w:pStyle w:val="Heading3"/>
      </w:pPr>
      <w:r>
        <w:rPr/>
        <w:t>23. Engagement and communication with public on FRM issues</w:t>
      </w:r>
    </w:p>
    <w:p>
      <w:pPr>
        <w:pStyle w:val="Heading3"/>
        <w:numPr>
          <w:ilvl w:val="0"/>
          <w:numId w:val="51"/>
        </w:numPr>
        <w:tabs>
          <w:tab w:pos="547" w:val="left" w:leader="none"/>
        </w:tabs>
        <w:spacing w:line="240" w:lineRule="auto" w:before="0" w:after="0"/>
        <w:ind w:left="400" w:right="0" w:firstLine="0"/>
        <w:jc w:val="left"/>
      </w:pPr>
      <w:r>
        <w:rPr/>
        <w:t>Targeted ‘flood fairs’ held in at-risk locations highlighting flood protection</w:t>
      </w:r>
      <w:r>
        <w:rPr>
          <w:spacing w:val="-26"/>
        </w:rPr>
        <w:t> </w:t>
      </w:r>
      <w:r>
        <w:rPr/>
        <w:t>products;</w:t>
      </w:r>
    </w:p>
    <w:p>
      <w:pPr>
        <w:pStyle w:val="Heading3"/>
        <w:numPr>
          <w:ilvl w:val="0"/>
          <w:numId w:val="51"/>
        </w:numPr>
        <w:tabs>
          <w:tab w:pos="547" w:val="left" w:leader="none"/>
        </w:tabs>
        <w:spacing w:line="240" w:lineRule="auto" w:before="0" w:after="0"/>
        <w:ind w:left="400" w:right="1470" w:firstLine="0"/>
        <w:jc w:val="left"/>
      </w:pPr>
      <w:r>
        <w:rPr/>
        <w:t>Wider public information campaigns for at-risk households drawing attention to useful</w:t>
      </w:r>
      <w:r>
        <w:rPr>
          <w:spacing w:val="-1"/>
        </w:rPr>
        <w:t> </w:t>
      </w:r>
      <w:r>
        <w:rPr/>
        <w:t>resources;</w:t>
      </w:r>
    </w:p>
    <w:p>
      <w:pPr>
        <w:pStyle w:val="Heading3"/>
        <w:numPr>
          <w:ilvl w:val="0"/>
          <w:numId w:val="51"/>
        </w:numPr>
        <w:tabs>
          <w:tab w:pos="547" w:val="left" w:leader="none"/>
        </w:tabs>
        <w:spacing w:line="240" w:lineRule="auto" w:before="0" w:after="0"/>
        <w:ind w:left="400" w:right="0" w:firstLine="0"/>
        <w:jc w:val="left"/>
      </w:pPr>
      <w:r>
        <w:rPr/>
        <w:t>Engage with local flood action groups (EA and</w:t>
      </w:r>
      <w:r>
        <w:rPr>
          <w:spacing w:val="-8"/>
        </w:rPr>
        <w:t> </w:t>
      </w:r>
      <w:r>
        <w:rPr/>
        <w:t>PEPU).</w:t>
      </w:r>
    </w:p>
    <w:p>
      <w:pPr>
        <w:pStyle w:val="BodyText"/>
        <w:rPr>
          <w:sz w:val="24"/>
        </w:rPr>
      </w:pPr>
    </w:p>
    <w:p>
      <w:pPr>
        <w:pStyle w:val="Heading3"/>
        <w:ind w:right="924"/>
      </w:pPr>
      <w:r>
        <w:rPr/>
        <w:t>36. Maintain internet and intranet webpages to provide comprehensive information to all stakeholders on:</w:t>
      </w:r>
    </w:p>
    <w:p>
      <w:pPr>
        <w:pStyle w:val="Heading3"/>
        <w:numPr>
          <w:ilvl w:val="0"/>
          <w:numId w:val="51"/>
        </w:numPr>
        <w:tabs>
          <w:tab w:pos="547" w:val="left" w:leader="none"/>
        </w:tabs>
        <w:spacing w:line="240" w:lineRule="auto" w:before="0" w:after="0"/>
        <w:ind w:left="400" w:right="0" w:firstLine="0"/>
        <w:jc w:val="left"/>
      </w:pPr>
      <w:r>
        <w:rPr/>
        <w:t>The sources of flooding and who is responsible for</w:t>
      </w:r>
      <w:r>
        <w:rPr>
          <w:spacing w:val="-8"/>
        </w:rPr>
        <w:t> </w:t>
      </w:r>
      <w:r>
        <w:rPr/>
        <w:t>what;</w:t>
      </w:r>
    </w:p>
    <w:p>
      <w:pPr>
        <w:pStyle w:val="Heading3"/>
        <w:numPr>
          <w:ilvl w:val="0"/>
          <w:numId w:val="51"/>
        </w:numPr>
        <w:tabs>
          <w:tab w:pos="547" w:val="left" w:leader="none"/>
        </w:tabs>
        <w:spacing w:line="240" w:lineRule="auto" w:before="0" w:after="0"/>
        <w:ind w:left="400" w:right="0" w:firstLine="0"/>
        <w:jc w:val="left"/>
      </w:pPr>
      <w:r>
        <w:rPr/>
        <w:t>How to prepare for flooding</w:t>
      </w:r>
      <w:r>
        <w:rPr>
          <w:spacing w:val="-5"/>
        </w:rPr>
        <w:t> </w:t>
      </w:r>
      <w:r>
        <w:rPr/>
        <w:t>emergencies;</w:t>
      </w:r>
    </w:p>
    <w:p>
      <w:pPr>
        <w:pStyle w:val="Heading3"/>
        <w:numPr>
          <w:ilvl w:val="0"/>
          <w:numId w:val="51"/>
        </w:numPr>
        <w:tabs>
          <w:tab w:pos="547" w:val="left" w:leader="none"/>
        </w:tabs>
        <w:spacing w:line="240" w:lineRule="auto" w:before="0" w:after="0"/>
        <w:ind w:left="400" w:right="0" w:firstLine="0"/>
        <w:jc w:val="left"/>
      </w:pPr>
      <w:r>
        <w:rPr/>
        <w:t>What to do when flooding occurs and who to report this</w:t>
      </w:r>
      <w:r>
        <w:rPr>
          <w:spacing w:val="-9"/>
        </w:rPr>
        <w:t> </w:t>
      </w:r>
      <w:r>
        <w:rPr/>
        <w:t>to;</w:t>
      </w:r>
    </w:p>
    <w:p>
      <w:pPr>
        <w:pStyle w:val="Heading3"/>
        <w:numPr>
          <w:ilvl w:val="0"/>
          <w:numId w:val="51"/>
        </w:numPr>
        <w:tabs>
          <w:tab w:pos="547" w:val="left" w:leader="none"/>
        </w:tabs>
        <w:spacing w:line="240" w:lineRule="auto" w:before="0" w:after="0"/>
        <w:ind w:left="400" w:right="0" w:firstLine="0"/>
        <w:jc w:val="left"/>
      </w:pPr>
      <w:r>
        <w:rPr/>
        <w:t>How flood risk is treated within the planning</w:t>
      </w:r>
      <w:r>
        <w:rPr>
          <w:spacing w:val="-8"/>
        </w:rPr>
        <w:t> </w:t>
      </w:r>
      <w:r>
        <w:rPr/>
        <w:t>process.</w:t>
      </w:r>
    </w:p>
    <w:p>
      <w:pPr>
        <w:pStyle w:val="BodyText"/>
        <w:rPr>
          <w:sz w:val="24"/>
        </w:rPr>
      </w:pPr>
    </w:p>
    <w:p>
      <w:pPr>
        <w:spacing w:before="0"/>
        <w:ind w:left="400" w:right="1181" w:firstLine="0"/>
        <w:jc w:val="left"/>
        <w:rPr>
          <w:b/>
          <w:sz w:val="24"/>
        </w:rPr>
      </w:pPr>
      <w:r>
        <w:rPr>
          <w:b/>
          <w:sz w:val="24"/>
        </w:rPr>
        <w:t>5. Improve understanding of local flood risk and seek to decrease local flood risk through implementation of measures to alleviate flooding where practicable.</w:t>
      </w:r>
    </w:p>
    <w:p>
      <w:pPr>
        <w:pStyle w:val="BodyText"/>
        <w:rPr>
          <w:b/>
          <w:sz w:val="24"/>
        </w:rPr>
      </w:pPr>
    </w:p>
    <w:p>
      <w:pPr>
        <w:pStyle w:val="Heading3"/>
        <w:numPr>
          <w:ilvl w:val="0"/>
          <w:numId w:val="52"/>
        </w:numPr>
        <w:tabs>
          <w:tab w:pos="667" w:val="left" w:leader="none"/>
        </w:tabs>
        <w:spacing w:line="240" w:lineRule="auto" w:before="0" w:after="0"/>
        <w:ind w:left="400" w:right="0" w:firstLine="0"/>
        <w:jc w:val="left"/>
      </w:pPr>
      <w:r>
        <w:rPr/>
        <w:t>River Aire Flood Alleviation</w:t>
      </w:r>
      <w:r>
        <w:rPr>
          <w:spacing w:val="-3"/>
        </w:rPr>
        <w:t> </w:t>
      </w:r>
      <w:r>
        <w:rPr/>
        <w:t>Scheme</w:t>
      </w:r>
    </w:p>
    <w:p>
      <w:pPr>
        <w:pStyle w:val="BodyText"/>
        <w:rPr>
          <w:sz w:val="24"/>
        </w:rPr>
      </w:pPr>
    </w:p>
    <w:p>
      <w:pPr>
        <w:pStyle w:val="Heading3"/>
        <w:numPr>
          <w:ilvl w:val="0"/>
          <w:numId w:val="52"/>
        </w:numPr>
        <w:tabs>
          <w:tab w:pos="667" w:val="left" w:leader="none"/>
        </w:tabs>
        <w:spacing w:line="240" w:lineRule="auto" w:before="0" w:after="0"/>
        <w:ind w:left="400" w:right="0" w:firstLine="0"/>
        <w:jc w:val="left"/>
      </w:pPr>
      <w:r>
        <w:rPr/>
        <w:t>Flood Alleviation Scheme - West Garforth recreation ground (local</w:t>
      </w:r>
      <w:r>
        <w:rPr>
          <w:spacing w:val="-12"/>
        </w:rPr>
        <w:t> </w:t>
      </w:r>
      <w:r>
        <w:rPr/>
        <w:t>levy)</w:t>
      </w:r>
    </w:p>
    <w:p>
      <w:pPr>
        <w:pStyle w:val="BodyText"/>
        <w:rPr>
          <w:sz w:val="24"/>
        </w:rPr>
      </w:pPr>
    </w:p>
    <w:p>
      <w:pPr>
        <w:pStyle w:val="Heading3"/>
        <w:numPr>
          <w:ilvl w:val="0"/>
          <w:numId w:val="52"/>
        </w:numPr>
        <w:tabs>
          <w:tab w:pos="667" w:val="left" w:leader="none"/>
        </w:tabs>
        <w:spacing w:line="240" w:lineRule="auto" w:before="0" w:after="0"/>
        <w:ind w:left="400" w:right="1086" w:firstLine="0"/>
        <w:jc w:val="left"/>
      </w:pPr>
      <w:r>
        <w:rPr/>
        <w:t>Flood Alleviation Scheme - Leeds Road (Allerton Bywater) pumping station (local levy)</w:t>
      </w:r>
    </w:p>
    <w:p>
      <w:pPr>
        <w:pStyle w:val="BodyText"/>
        <w:rPr>
          <w:sz w:val="24"/>
        </w:rPr>
      </w:pPr>
    </w:p>
    <w:p>
      <w:pPr>
        <w:pStyle w:val="Heading3"/>
        <w:numPr>
          <w:ilvl w:val="0"/>
          <w:numId w:val="52"/>
        </w:numPr>
        <w:tabs>
          <w:tab w:pos="667" w:val="left" w:leader="none"/>
        </w:tabs>
        <w:spacing w:line="240" w:lineRule="auto" w:before="1" w:after="0"/>
        <w:ind w:left="400" w:right="0" w:firstLine="0"/>
        <w:jc w:val="left"/>
      </w:pPr>
      <w:r>
        <w:rPr/>
        <w:t>Flood Alleviation Scheme - Ramsden Street, Kippax (local</w:t>
      </w:r>
      <w:r>
        <w:rPr>
          <w:spacing w:val="-8"/>
        </w:rPr>
        <w:t> </w:t>
      </w:r>
      <w:r>
        <w:rPr/>
        <w:t>levy)</w:t>
      </w:r>
    </w:p>
    <w:p>
      <w:pPr>
        <w:pStyle w:val="BodyText"/>
        <w:spacing w:before="11"/>
      </w:pPr>
    </w:p>
    <w:p>
      <w:pPr>
        <w:pStyle w:val="Heading3"/>
        <w:numPr>
          <w:ilvl w:val="0"/>
          <w:numId w:val="52"/>
        </w:numPr>
        <w:tabs>
          <w:tab w:pos="667" w:val="left" w:leader="none"/>
        </w:tabs>
        <w:spacing w:line="240" w:lineRule="auto" w:before="0" w:after="0"/>
        <w:ind w:left="400" w:right="0" w:firstLine="0"/>
        <w:jc w:val="left"/>
      </w:pPr>
      <w:r>
        <w:rPr/>
        <w:t>Flood Alleviation Scheme - Station Road (Morley) culvert renewal</w:t>
      </w:r>
      <w:r>
        <w:rPr>
          <w:spacing w:val="-7"/>
        </w:rPr>
        <w:t> </w:t>
      </w:r>
      <w:r>
        <w:rPr/>
        <w:t>scheme</w:t>
      </w:r>
    </w:p>
    <w:p>
      <w:pPr>
        <w:pStyle w:val="BodyText"/>
        <w:rPr>
          <w:sz w:val="24"/>
        </w:rPr>
      </w:pPr>
    </w:p>
    <w:p>
      <w:pPr>
        <w:pStyle w:val="Heading3"/>
        <w:numPr>
          <w:ilvl w:val="0"/>
          <w:numId w:val="52"/>
        </w:numPr>
        <w:tabs>
          <w:tab w:pos="667" w:val="left" w:leader="none"/>
        </w:tabs>
        <w:spacing w:line="240" w:lineRule="auto" w:before="0" w:after="0"/>
        <w:ind w:left="400" w:right="0" w:firstLine="0"/>
        <w:jc w:val="left"/>
      </w:pPr>
      <w:r>
        <w:rPr/>
        <w:t>Flood Alleviation Scheme - Wyke</w:t>
      </w:r>
      <w:r>
        <w:rPr>
          <w:spacing w:val="-8"/>
        </w:rPr>
        <w:t> </w:t>
      </w:r>
      <w:r>
        <w:rPr/>
        <w:t>Beck</w:t>
      </w:r>
    </w:p>
    <w:p>
      <w:pPr>
        <w:pStyle w:val="BodyText"/>
        <w:rPr>
          <w:sz w:val="24"/>
        </w:rPr>
      </w:pPr>
    </w:p>
    <w:p>
      <w:pPr>
        <w:pStyle w:val="Heading3"/>
        <w:numPr>
          <w:ilvl w:val="0"/>
          <w:numId w:val="52"/>
        </w:numPr>
        <w:tabs>
          <w:tab w:pos="667" w:val="left" w:leader="none"/>
        </w:tabs>
        <w:spacing w:line="240" w:lineRule="auto" w:before="0" w:after="0"/>
        <w:ind w:left="400" w:right="0" w:firstLine="0"/>
        <w:jc w:val="left"/>
      </w:pPr>
      <w:r>
        <w:rPr/>
        <w:t>Flood Alleviation Scheme - Collingham</w:t>
      </w:r>
      <w:r>
        <w:rPr>
          <w:spacing w:val="-4"/>
        </w:rPr>
        <w:t> </w:t>
      </w:r>
      <w:r>
        <w:rPr/>
        <w:t>Beck</w:t>
      </w:r>
    </w:p>
    <w:p>
      <w:pPr>
        <w:pStyle w:val="BodyText"/>
        <w:rPr>
          <w:sz w:val="24"/>
        </w:rPr>
      </w:pPr>
    </w:p>
    <w:p>
      <w:pPr>
        <w:pStyle w:val="Heading3"/>
        <w:numPr>
          <w:ilvl w:val="0"/>
          <w:numId w:val="52"/>
        </w:numPr>
        <w:tabs>
          <w:tab w:pos="667" w:val="left" w:leader="none"/>
        </w:tabs>
        <w:spacing w:line="240" w:lineRule="auto" w:before="0" w:after="0"/>
        <w:ind w:left="400" w:right="0" w:firstLine="0"/>
        <w:jc w:val="left"/>
      </w:pPr>
      <w:r>
        <w:rPr/>
        <w:t>Flood Alleviation Scheme - Farnley Wood</w:t>
      </w:r>
      <w:r>
        <w:rPr>
          <w:spacing w:val="-5"/>
        </w:rPr>
        <w:t> </w:t>
      </w:r>
      <w:r>
        <w:rPr/>
        <w:t>Beck</w:t>
      </w:r>
    </w:p>
    <w:p>
      <w:pPr>
        <w:spacing w:after="0" w:line="240" w:lineRule="auto"/>
        <w:jc w:val="left"/>
        <w:sectPr>
          <w:pgSz w:w="11910" w:h="16840"/>
          <w:pgMar w:header="0" w:footer="906" w:top="1340" w:bottom="1100" w:left="1040" w:right="520"/>
        </w:sectPr>
      </w:pPr>
    </w:p>
    <w:p>
      <w:pPr>
        <w:pStyle w:val="Heading3"/>
        <w:numPr>
          <w:ilvl w:val="0"/>
          <w:numId w:val="52"/>
        </w:numPr>
        <w:tabs>
          <w:tab w:pos="667" w:val="left" w:leader="none"/>
        </w:tabs>
        <w:spacing w:line="240" w:lineRule="auto" w:before="78" w:after="0"/>
        <w:ind w:left="400" w:right="0" w:firstLine="0"/>
        <w:jc w:val="left"/>
      </w:pPr>
      <w:r>
        <w:rPr/>
        <w:t>Newton Road property protection and resilience</w:t>
      </w:r>
      <w:r>
        <w:rPr>
          <w:spacing w:val="-7"/>
        </w:rPr>
        <w:t> </w:t>
      </w:r>
      <w:r>
        <w:rPr/>
        <w:t>scheme</w:t>
      </w:r>
    </w:p>
    <w:p>
      <w:pPr>
        <w:pStyle w:val="BodyText"/>
        <w:spacing w:before="11"/>
      </w:pPr>
    </w:p>
    <w:p>
      <w:pPr>
        <w:pStyle w:val="Heading3"/>
        <w:numPr>
          <w:ilvl w:val="0"/>
          <w:numId w:val="52"/>
        </w:numPr>
        <w:tabs>
          <w:tab w:pos="801" w:val="left" w:leader="none"/>
        </w:tabs>
        <w:spacing w:line="240" w:lineRule="auto" w:before="0" w:after="0"/>
        <w:ind w:left="800" w:right="0" w:hanging="400"/>
        <w:jc w:val="left"/>
      </w:pPr>
      <w:r>
        <w:rPr/>
        <w:t>Lowther Road, Garforth - Culvert</w:t>
      </w:r>
      <w:r>
        <w:rPr>
          <w:spacing w:val="-5"/>
        </w:rPr>
        <w:t> </w:t>
      </w:r>
      <w:r>
        <w:rPr/>
        <w:t>Improvements</w:t>
      </w:r>
    </w:p>
    <w:p>
      <w:pPr>
        <w:pStyle w:val="BodyText"/>
        <w:rPr>
          <w:sz w:val="24"/>
        </w:rPr>
      </w:pPr>
    </w:p>
    <w:p>
      <w:pPr>
        <w:pStyle w:val="Heading3"/>
        <w:numPr>
          <w:ilvl w:val="0"/>
          <w:numId w:val="52"/>
        </w:numPr>
        <w:tabs>
          <w:tab w:pos="801" w:val="left" w:leader="none"/>
        </w:tabs>
        <w:spacing w:line="240" w:lineRule="auto" w:before="0" w:after="0"/>
        <w:ind w:left="800" w:right="0" w:hanging="400"/>
        <w:jc w:val="left"/>
      </w:pPr>
      <w:r>
        <w:rPr/>
        <w:t>Lower Wortley - property protection and resilience</w:t>
      </w:r>
      <w:r>
        <w:rPr>
          <w:spacing w:val="-8"/>
        </w:rPr>
        <w:t> </w:t>
      </w:r>
      <w:r>
        <w:rPr/>
        <w:t>scheme</w:t>
      </w:r>
    </w:p>
    <w:p>
      <w:pPr>
        <w:pStyle w:val="BodyText"/>
        <w:rPr>
          <w:sz w:val="24"/>
        </w:rPr>
      </w:pPr>
    </w:p>
    <w:p>
      <w:pPr>
        <w:pStyle w:val="Heading3"/>
        <w:numPr>
          <w:ilvl w:val="0"/>
          <w:numId w:val="52"/>
        </w:numPr>
        <w:tabs>
          <w:tab w:pos="801" w:val="left" w:leader="none"/>
        </w:tabs>
        <w:spacing w:line="240" w:lineRule="auto" w:before="0" w:after="0"/>
        <w:ind w:left="800" w:right="0" w:hanging="400"/>
        <w:jc w:val="left"/>
      </w:pPr>
      <w:r>
        <w:rPr/>
        <w:t>Church Lane, Bardsey - property protection and resilience</w:t>
      </w:r>
      <w:r>
        <w:rPr>
          <w:spacing w:val="-11"/>
        </w:rPr>
        <w:t> </w:t>
      </w:r>
      <w:r>
        <w:rPr/>
        <w:t>scheme</w:t>
      </w:r>
    </w:p>
    <w:p>
      <w:pPr>
        <w:pStyle w:val="BodyText"/>
        <w:rPr>
          <w:sz w:val="24"/>
        </w:rPr>
      </w:pPr>
    </w:p>
    <w:p>
      <w:pPr>
        <w:pStyle w:val="Heading3"/>
        <w:numPr>
          <w:ilvl w:val="0"/>
          <w:numId w:val="52"/>
        </w:numPr>
        <w:tabs>
          <w:tab w:pos="801" w:val="left" w:leader="none"/>
        </w:tabs>
        <w:spacing w:line="240" w:lineRule="auto" w:before="0" w:after="0"/>
        <w:ind w:left="800" w:right="0" w:hanging="400"/>
        <w:jc w:val="left"/>
      </w:pPr>
      <w:r>
        <w:rPr/>
        <w:t>Dean Park Drive, Drighlington - property protection and resilience</w:t>
      </w:r>
      <w:r>
        <w:rPr>
          <w:spacing w:val="-16"/>
        </w:rPr>
        <w:t> </w:t>
      </w:r>
      <w:r>
        <w:rPr/>
        <w:t>scheme</w:t>
      </w:r>
    </w:p>
    <w:p>
      <w:pPr>
        <w:pStyle w:val="BodyText"/>
        <w:rPr>
          <w:sz w:val="24"/>
        </w:rPr>
      </w:pPr>
    </w:p>
    <w:p>
      <w:pPr>
        <w:pStyle w:val="Heading3"/>
        <w:numPr>
          <w:ilvl w:val="0"/>
          <w:numId w:val="52"/>
        </w:numPr>
        <w:tabs>
          <w:tab w:pos="801" w:val="left" w:leader="none"/>
        </w:tabs>
        <w:spacing w:line="240" w:lineRule="auto" w:before="0" w:after="0"/>
        <w:ind w:left="800" w:right="0" w:hanging="400"/>
        <w:jc w:val="left"/>
      </w:pPr>
      <w:r>
        <w:rPr/>
        <w:t>Environment Agency</w:t>
      </w:r>
      <w:r>
        <w:rPr>
          <w:spacing w:val="-2"/>
        </w:rPr>
        <w:t> </w:t>
      </w:r>
      <w:r>
        <w:rPr/>
        <w:t>schemes</w:t>
      </w:r>
    </w:p>
    <w:p>
      <w:pPr>
        <w:pStyle w:val="BodyText"/>
        <w:rPr>
          <w:sz w:val="24"/>
        </w:rPr>
      </w:pPr>
    </w:p>
    <w:p>
      <w:pPr>
        <w:pStyle w:val="Heading3"/>
        <w:numPr>
          <w:ilvl w:val="0"/>
          <w:numId w:val="52"/>
        </w:numPr>
        <w:tabs>
          <w:tab w:pos="801" w:val="left" w:leader="none"/>
        </w:tabs>
        <w:spacing w:line="240" w:lineRule="auto" w:before="0" w:after="0"/>
        <w:ind w:left="800" w:right="0" w:hanging="400"/>
        <w:jc w:val="left"/>
      </w:pPr>
      <w:r>
        <w:rPr/>
        <w:t>YWS DG5</w:t>
      </w:r>
      <w:r>
        <w:rPr>
          <w:spacing w:val="-2"/>
        </w:rPr>
        <w:t> </w:t>
      </w:r>
      <w:r>
        <w:rPr/>
        <w:t>schemes</w:t>
      </w:r>
    </w:p>
    <w:p>
      <w:pPr>
        <w:pStyle w:val="BodyText"/>
        <w:rPr>
          <w:sz w:val="24"/>
        </w:rPr>
      </w:pPr>
    </w:p>
    <w:p>
      <w:pPr>
        <w:pStyle w:val="Heading3"/>
        <w:numPr>
          <w:ilvl w:val="0"/>
          <w:numId w:val="52"/>
        </w:numPr>
        <w:tabs>
          <w:tab w:pos="801" w:val="left" w:leader="none"/>
        </w:tabs>
        <w:spacing w:line="240" w:lineRule="auto" w:before="0" w:after="0"/>
        <w:ind w:left="800" w:right="0" w:hanging="400"/>
        <w:jc w:val="left"/>
      </w:pPr>
      <w:r>
        <w:rPr/>
        <w:t>Develop register of assets affecting local flood</w:t>
      </w:r>
      <w:r>
        <w:rPr>
          <w:spacing w:val="-8"/>
        </w:rPr>
        <w:t> </w:t>
      </w:r>
      <w:r>
        <w:rPr/>
        <w:t>risk</w:t>
      </w:r>
    </w:p>
    <w:p>
      <w:pPr>
        <w:pStyle w:val="BodyText"/>
        <w:rPr>
          <w:sz w:val="24"/>
        </w:rPr>
      </w:pPr>
    </w:p>
    <w:p>
      <w:pPr>
        <w:pStyle w:val="Heading3"/>
        <w:numPr>
          <w:ilvl w:val="0"/>
          <w:numId w:val="52"/>
        </w:numPr>
        <w:tabs>
          <w:tab w:pos="801" w:val="left" w:leader="none"/>
        </w:tabs>
        <w:spacing w:line="240" w:lineRule="auto" w:before="0" w:after="0"/>
        <w:ind w:left="800" w:right="0" w:hanging="400"/>
        <w:jc w:val="left"/>
      </w:pPr>
      <w:r>
        <w:rPr/>
        <w:t>Watercourse and beck condition</w:t>
      </w:r>
      <w:r>
        <w:rPr>
          <w:spacing w:val="-3"/>
        </w:rPr>
        <w:t> </w:t>
      </w:r>
      <w:r>
        <w:rPr/>
        <w:t>surveys</w:t>
      </w:r>
    </w:p>
    <w:p>
      <w:pPr>
        <w:pStyle w:val="BodyText"/>
        <w:rPr>
          <w:sz w:val="24"/>
        </w:rPr>
      </w:pPr>
    </w:p>
    <w:p>
      <w:pPr>
        <w:pStyle w:val="Heading3"/>
        <w:numPr>
          <w:ilvl w:val="0"/>
          <w:numId w:val="53"/>
        </w:numPr>
        <w:tabs>
          <w:tab w:pos="801" w:val="left" w:leader="none"/>
        </w:tabs>
        <w:spacing w:line="240" w:lineRule="auto" w:before="0" w:after="0"/>
        <w:ind w:left="400" w:right="1240" w:firstLine="0"/>
        <w:jc w:val="left"/>
      </w:pPr>
      <w:r>
        <w:rPr/>
        <w:t>Carry out flood warning feasibility studies for the Wortley Beck and Meanwood Beck.</w:t>
      </w:r>
    </w:p>
    <w:p>
      <w:pPr>
        <w:pStyle w:val="BodyText"/>
        <w:rPr>
          <w:sz w:val="24"/>
        </w:rPr>
      </w:pPr>
    </w:p>
    <w:p>
      <w:pPr>
        <w:pStyle w:val="Heading3"/>
        <w:numPr>
          <w:ilvl w:val="0"/>
          <w:numId w:val="53"/>
        </w:numPr>
        <w:tabs>
          <w:tab w:pos="801" w:val="left" w:leader="none"/>
        </w:tabs>
        <w:spacing w:line="240" w:lineRule="auto" w:before="1" w:after="0"/>
        <w:ind w:left="400" w:right="1019" w:firstLine="0"/>
        <w:jc w:val="left"/>
      </w:pPr>
      <w:r>
        <w:rPr/>
        <w:t>Investigate the interaction between the Leeds and Liverpool Canal and the River Aire.</w:t>
      </w:r>
    </w:p>
    <w:p>
      <w:pPr>
        <w:pStyle w:val="BodyText"/>
        <w:spacing w:before="11"/>
      </w:pPr>
    </w:p>
    <w:p>
      <w:pPr>
        <w:pStyle w:val="Heading3"/>
        <w:numPr>
          <w:ilvl w:val="0"/>
          <w:numId w:val="53"/>
        </w:numPr>
        <w:tabs>
          <w:tab w:pos="801" w:val="left" w:leader="none"/>
        </w:tabs>
        <w:spacing w:line="240" w:lineRule="auto" w:before="0" w:after="0"/>
        <w:ind w:left="400" w:right="0" w:firstLine="0"/>
        <w:jc w:val="left"/>
      </w:pPr>
      <w:r>
        <w:rPr/>
        <w:t>Produce a register of culverts and outfalls, to identify capacity and other</w:t>
      </w:r>
      <w:r>
        <w:rPr>
          <w:spacing w:val="-18"/>
        </w:rPr>
        <w:t> </w:t>
      </w:r>
      <w:r>
        <w:rPr/>
        <w:t>issues.</w:t>
      </w:r>
    </w:p>
    <w:p>
      <w:pPr>
        <w:pStyle w:val="BodyText"/>
        <w:rPr>
          <w:sz w:val="24"/>
        </w:rPr>
      </w:pPr>
    </w:p>
    <w:p>
      <w:pPr>
        <w:pStyle w:val="Heading3"/>
        <w:numPr>
          <w:ilvl w:val="0"/>
          <w:numId w:val="54"/>
        </w:numPr>
        <w:tabs>
          <w:tab w:pos="801" w:val="left" w:leader="none"/>
        </w:tabs>
        <w:spacing w:line="240" w:lineRule="auto" w:before="0" w:after="0"/>
        <w:ind w:left="400" w:right="1253" w:firstLine="0"/>
        <w:jc w:val="left"/>
      </w:pPr>
      <w:r>
        <w:rPr/>
        <w:t>Sheepscar: evaluate the condition of formal and informal flood defences along the Sheepscar Beck which were recently breached to identify potential remedial works</w:t>
      </w:r>
      <w:r>
        <w:rPr>
          <w:spacing w:val="-1"/>
        </w:rPr>
        <w:t> </w:t>
      </w:r>
      <w:r>
        <w:rPr/>
        <w:t>required.</w:t>
      </w:r>
    </w:p>
    <w:p>
      <w:pPr>
        <w:pStyle w:val="BodyText"/>
        <w:rPr>
          <w:sz w:val="24"/>
        </w:rPr>
      </w:pPr>
    </w:p>
    <w:p>
      <w:pPr>
        <w:pStyle w:val="Heading3"/>
        <w:numPr>
          <w:ilvl w:val="0"/>
          <w:numId w:val="54"/>
        </w:numPr>
        <w:tabs>
          <w:tab w:pos="801" w:val="left" w:leader="none"/>
        </w:tabs>
        <w:spacing w:line="240" w:lineRule="auto" w:before="0" w:after="0"/>
        <w:ind w:left="400" w:right="1472" w:firstLine="0"/>
        <w:jc w:val="left"/>
      </w:pPr>
      <w:r>
        <w:rPr/>
        <w:t>Meanwood: work with EA to support the development of an holistic flood defence and resilience strategy for the Meanwood Beck catchment which takes account of the watercourse, sewers and highway drains in problem</w:t>
      </w:r>
      <w:r>
        <w:rPr>
          <w:spacing w:val="-38"/>
        </w:rPr>
        <w:t> </w:t>
      </w:r>
      <w:r>
        <w:rPr/>
        <w:t>locations.</w:t>
      </w:r>
    </w:p>
    <w:p>
      <w:pPr>
        <w:spacing w:after="0" w:line="240" w:lineRule="auto"/>
        <w:jc w:val="left"/>
        <w:sectPr>
          <w:pgSz w:w="11910" w:h="16840"/>
          <w:pgMar w:header="0" w:footer="906" w:top="1340" w:bottom="1100" w:left="1040" w:right="520"/>
        </w:sectPr>
      </w:pPr>
    </w:p>
    <w:p>
      <w:pPr>
        <w:pStyle w:val="BodyText"/>
        <w:spacing w:before="10"/>
        <w:rPr>
          <w:sz w:val="25"/>
        </w:rPr>
      </w:pPr>
    </w:p>
    <w:p>
      <w:pPr>
        <w:pStyle w:val="Heading2"/>
        <w:spacing w:before="92"/>
        <w:ind w:left="220"/>
      </w:pPr>
      <w:bookmarkStart w:name="_TOC_250001" w:id="98"/>
      <w:bookmarkEnd w:id="98"/>
      <w:r>
        <w:rPr/>
        <w:t>Appendix E – Summary of SEA Workshop Discussions</w:t>
      </w:r>
    </w:p>
    <w:p>
      <w:pPr>
        <w:pStyle w:val="BodyText"/>
        <w:spacing w:before="3"/>
        <w:rPr>
          <w:b/>
          <w:sz w:val="29"/>
        </w:rPr>
      </w:pPr>
    </w:p>
    <w:p>
      <w:pPr>
        <w:pStyle w:val="Heading3"/>
        <w:ind w:left="220" w:right="982"/>
      </w:pPr>
      <w:r>
        <w:rPr/>
        <w:t>This is a summary of the discussions undertaken on 5</w:t>
      </w:r>
      <w:r>
        <w:rPr>
          <w:vertAlign w:val="superscript"/>
        </w:rPr>
        <w:t>th</w:t>
      </w:r>
      <w:r>
        <w:rPr>
          <w:vertAlign w:val="baseline"/>
        </w:rPr>
        <w:t> July 2012 to appraise the Leeds Local Flood Risk Management Strategy. Notes from the SEA workshop session are in the </w:t>
      </w:r>
      <w:r>
        <w:rPr>
          <w:b/>
          <w:color w:val="0000FF"/>
          <w:vertAlign w:val="baseline"/>
        </w:rPr>
        <w:t>blue </w:t>
      </w:r>
      <w:r>
        <w:rPr>
          <w:vertAlign w:val="baseline"/>
        </w:rPr>
        <w:t>coloured font.</w:t>
      </w:r>
    </w:p>
    <w:p>
      <w:pPr>
        <w:pStyle w:val="BodyText"/>
        <w:rPr>
          <w:sz w:val="24"/>
        </w:rPr>
      </w:pPr>
    </w:p>
    <w:p>
      <w:pPr>
        <w:spacing w:before="0" w:after="5"/>
        <w:ind w:left="220" w:right="0" w:firstLine="0"/>
        <w:jc w:val="left"/>
        <w:rPr>
          <w:b/>
          <w:sz w:val="24"/>
        </w:rPr>
      </w:pPr>
      <w:r>
        <w:rPr>
          <w:b/>
          <w:sz w:val="24"/>
        </w:rPr>
        <w:t>KEY</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5133"/>
      </w:tblGrid>
      <w:tr>
        <w:trPr>
          <w:trHeight w:val="287" w:hRule="atLeast"/>
        </w:trPr>
        <w:tc>
          <w:tcPr>
            <w:tcW w:w="535" w:type="dxa"/>
            <w:shd w:val="clear" w:color="auto" w:fill="FF0000"/>
          </w:tcPr>
          <w:p>
            <w:pPr>
              <w:pStyle w:val="TableParagraph"/>
              <w:rPr>
                <w:rFonts w:ascii="Times New Roman"/>
                <w:sz w:val="20"/>
              </w:rPr>
            </w:pPr>
          </w:p>
        </w:tc>
        <w:tc>
          <w:tcPr>
            <w:tcW w:w="5133" w:type="dxa"/>
          </w:tcPr>
          <w:p>
            <w:pPr>
              <w:pStyle w:val="TableParagraph"/>
              <w:spacing w:line="268" w:lineRule="exact"/>
              <w:ind w:left="108"/>
              <w:rPr>
                <w:sz w:val="24"/>
              </w:rPr>
            </w:pPr>
            <w:r>
              <w:rPr>
                <w:sz w:val="24"/>
              </w:rPr>
              <w:t>Upstream sustainability objectives</w:t>
            </w:r>
          </w:p>
        </w:tc>
      </w:tr>
      <w:tr>
        <w:trPr>
          <w:trHeight w:val="275" w:hRule="atLeast"/>
        </w:trPr>
        <w:tc>
          <w:tcPr>
            <w:tcW w:w="535" w:type="dxa"/>
            <w:shd w:val="clear" w:color="auto" w:fill="FF9800"/>
          </w:tcPr>
          <w:p>
            <w:pPr>
              <w:pStyle w:val="TableParagraph"/>
              <w:rPr>
                <w:rFonts w:ascii="Times New Roman"/>
                <w:sz w:val="20"/>
              </w:rPr>
            </w:pPr>
          </w:p>
        </w:tc>
        <w:tc>
          <w:tcPr>
            <w:tcW w:w="5133" w:type="dxa"/>
          </w:tcPr>
          <w:p>
            <w:pPr>
              <w:pStyle w:val="TableParagraph"/>
              <w:spacing w:line="256" w:lineRule="exact"/>
              <w:ind w:left="108"/>
              <w:rPr>
                <w:sz w:val="24"/>
              </w:rPr>
            </w:pPr>
            <w:r>
              <w:rPr>
                <w:sz w:val="24"/>
              </w:rPr>
              <w:t>Midstream sustainability objectives</w:t>
            </w:r>
          </w:p>
        </w:tc>
      </w:tr>
      <w:tr>
        <w:trPr>
          <w:trHeight w:val="275" w:hRule="atLeast"/>
        </w:trPr>
        <w:tc>
          <w:tcPr>
            <w:tcW w:w="535" w:type="dxa"/>
            <w:shd w:val="clear" w:color="auto" w:fill="FFCC00"/>
          </w:tcPr>
          <w:p>
            <w:pPr>
              <w:pStyle w:val="TableParagraph"/>
              <w:rPr>
                <w:rFonts w:ascii="Times New Roman"/>
                <w:sz w:val="20"/>
              </w:rPr>
            </w:pPr>
          </w:p>
        </w:tc>
        <w:tc>
          <w:tcPr>
            <w:tcW w:w="5133" w:type="dxa"/>
          </w:tcPr>
          <w:p>
            <w:pPr>
              <w:pStyle w:val="TableParagraph"/>
              <w:spacing w:line="256" w:lineRule="exact"/>
              <w:ind w:left="108"/>
              <w:rPr>
                <w:sz w:val="24"/>
              </w:rPr>
            </w:pPr>
            <w:r>
              <w:rPr>
                <w:sz w:val="24"/>
              </w:rPr>
              <w:t>Downstream sustainability objectives</w:t>
            </w:r>
          </w:p>
        </w:tc>
      </w:tr>
      <w:tr>
        <w:trPr>
          <w:trHeight w:val="278" w:hRule="atLeast"/>
        </w:trPr>
        <w:tc>
          <w:tcPr>
            <w:tcW w:w="535" w:type="dxa"/>
            <w:shd w:val="clear" w:color="auto" w:fill="FFFF98"/>
          </w:tcPr>
          <w:p>
            <w:pPr>
              <w:pStyle w:val="TableParagraph"/>
              <w:rPr>
                <w:rFonts w:ascii="Times New Roman"/>
                <w:sz w:val="20"/>
              </w:rPr>
            </w:pPr>
          </w:p>
        </w:tc>
        <w:tc>
          <w:tcPr>
            <w:tcW w:w="5133" w:type="dxa"/>
          </w:tcPr>
          <w:p>
            <w:pPr>
              <w:pStyle w:val="TableParagraph"/>
              <w:spacing w:line="258" w:lineRule="exact"/>
              <w:ind w:left="108"/>
              <w:rPr>
                <w:sz w:val="24"/>
              </w:rPr>
            </w:pPr>
            <w:r>
              <w:rPr>
                <w:sz w:val="24"/>
              </w:rPr>
              <w:t>Health decision making criteria</w:t>
            </w:r>
          </w:p>
        </w:tc>
      </w:tr>
      <w:tr>
        <w:trPr>
          <w:trHeight w:val="275" w:hRule="atLeast"/>
        </w:trPr>
        <w:tc>
          <w:tcPr>
            <w:tcW w:w="535" w:type="dxa"/>
            <w:shd w:val="clear" w:color="auto" w:fill="98CCFF"/>
          </w:tcPr>
          <w:p>
            <w:pPr>
              <w:pStyle w:val="TableParagraph"/>
              <w:rPr>
                <w:rFonts w:ascii="Times New Roman"/>
                <w:sz w:val="20"/>
              </w:rPr>
            </w:pPr>
          </w:p>
        </w:tc>
        <w:tc>
          <w:tcPr>
            <w:tcW w:w="5133" w:type="dxa"/>
          </w:tcPr>
          <w:p>
            <w:pPr>
              <w:pStyle w:val="TableParagraph"/>
              <w:spacing w:line="256" w:lineRule="exact"/>
              <w:ind w:left="108"/>
              <w:rPr>
                <w:sz w:val="24"/>
              </w:rPr>
            </w:pPr>
            <w:r>
              <w:rPr>
                <w:sz w:val="24"/>
              </w:rPr>
              <w:t>Equality decision making criteria</w:t>
            </w:r>
          </w:p>
        </w:tc>
      </w:tr>
      <w:tr>
        <w:trPr>
          <w:trHeight w:val="275" w:hRule="atLeast"/>
        </w:trPr>
        <w:tc>
          <w:tcPr>
            <w:tcW w:w="535" w:type="dxa"/>
            <w:shd w:val="clear" w:color="auto" w:fill="CCFFCC"/>
          </w:tcPr>
          <w:p>
            <w:pPr>
              <w:pStyle w:val="TableParagraph"/>
              <w:rPr>
                <w:rFonts w:ascii="Times New Roman"/>
                <w:sz w:val="20"/>
              </w:rPr>
            </w:pPr>
          </w:p>
        </w:tc>
        <w:tc>
          <w:tcPr>
            <w:tcW w:w="5133" w:type="dxa"/>
          </w:tcPr>
          <w:p>
            <w:pPr>
              <w:pStyle w:val="TableParagraph"/>
              <w:spacing w:line="256" w:lineRule="exact"/>
              <w:ind w:left="108"/>
              <w:rPr>
                <w:sz w:val="24"/>
              </w:rPr>
            </w:pPr>
            <w:r>
              <w:rPr>
                <w:sz w:val="24"/>
              </w:rPr>
              <w:t>Health &amp; Equality decision making criteria</w:t>
            </w:r>
          </w:p>
        </w:tc>
      </w:tr>
    </w:tbl>
    <w:p>
      <w:pPr>
        <w:pStyle w:val="BodyText"/>
        <w:spacing w:before="7"/>
        <w:rPr>
          <w:b/>
        </w:rPr>
      </w:pPr>
    </w:p>
    <w:p>
      <w:pPr>
        <w:pStyle w:val="Heading3"/>
        <w:ind w:left="220"/>
      </w:pPr>
      <w:r>
        <w:rPr/>
        <w:t>Questions relating to the criteria in the SEA Directive are clearly marked *</w:t>
      </w:r>
    </w:p>
    <w:p>
      <w:pPr>
        <w:pStyle w:val="BodyText"/>
        <w:rPr>
          <w:sz w:val="24"/>
        </w:rPr>
      </w:pPr>
    </w:p>
    <w:p>
      <w:pPr>
        <w:spacing w:before="0"/>
        <w:ind w:left="220" w:right="0" w:firstLine="0"/>
        <w:jc w:val="left"/>
        <w:rPr>
          <w:b/>
          <w:sz w:val="24"/>
        </w:rPr>
      </w:pPr>
      <w:r>
        <w:rPr>
          <w:b/>
          <w:sz w:val="24"/>
          <w:u w:val="thick"/>
        </w:rPr>
        <w:t>UPSTREAM SUSTAINABILITY OBJECTIVES</w:t>
      </w:r>
    </w:p>
    <w:p>
      <w:pPr>
        <w:pStyle w:val="BodyText"/>
        <w:spacing w:before="4"/>
        <w:rPr>
          <w:b/>
          <w:sz w:val="24"/>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60" w:hRule="atLeast"/>
        </w:trPr>
        <w:tc>
          <w:tcPr>
            <w:tcW w:w="2846" w:type="dxa"/>
            <w:shd w:val="clear" w:color="auto" w:fill="FF0000"/>
          </w:tcPr>
          <w:p>
            <w:pPr>
              <w:pStyle w:val="TableParagraph"/>
              <w:spacing w:line="225" w:lineRule="exact"/>
              <w:ind w:left="107"/>
              <w:rPr>
                <w:b/>
                <w:sz w:val="20"/>
              </w:rPr>
            </w:pPr>
            <w:r>
              <w:rPr>
                <w:b/>
                <w:sz w:val="20"/>
              </w:rPr>
              <w:t>Sustainability Objective</w:t>
            </w:r>
          </w:p>
          <w:p>
            <w:pPr>
              <w:pStyle w:val="TableParagraph"/>
              <w:spacing w:line="215" w:lineRule="exact"/>
              <w:ind w:left="107"/>
              <w:rPr>
                <w:b/>
                <w:i/>
                <w:sz w:val="20"/>
              </w:rPr>
            </w:pPr>
            <w:r>
              <w:rPr>
                <w:b/>
                <w:sz w:val="20"/>
              </w:rPr>
              <w:t>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spacing w:before="3"/>
              <w:ind w:left="109"/>
              <w:rPr>
                <w:b/>
                <w:i/>
                <w:sz w:val="20"/>
              </w:rPr>
            </w:pPr>
            <w:r>
              <w:rPr>
                <w:b/>
                <w:i/>
                <w:sz w:val="20"/>
              </w:rPr>
              <w:t>Decision making criteria:</w:t>
            </w:r>
          </w:p>
          <w:p>
            <w:pPr>
              <w:pStyle w:val="TableParagraph"/>
              <w:spacing w:before="6"/>
              <w:rPr>
                <w:b/>
                <w:sz w:val="19"/>
              </w:rPr>
            </w:pPr>
          </w:p>
          <w:p>
            <w:pPr>
              <w:pStyle w:val="TableParagraph"/>
              <w:ind w:left="109" w:right="320"/>
              <w:rPr>
                <w:b/>
                <w:sz w:val="16"/>
              </w:rPr>
            </w:pPr>
            <w:r>
              <w:rPr>
                <w:b/>
                <w:sz w:val="16"/>
              </w:rPr>
              <w:t>Yellow highlight = Health Impact Monitoring</w:t>
            </w:r>
          </w:p>
          <w:p>
            <w:pPr>
              <w:pStyle w:val="TableParagraph"/>
              <w:spacing w:before="2"/>
              <w:ind w:left="109" w:right="355"/>
              <w:rPr>
                <w:b/>
                <w:sz w:val="16"/>
              </w:rPr>
            </w:pPr>
            <w:r>
              <w:rPr>
                <w:b/>
                <w:sz w:val="16"/>
              </w:rPr>
              <w:t>Blue highlight = Equality</w:t>
            </w:r>
            <w:r>
              <w:rPr>
                <w:b/>
                <w:spacing w:val="-8"/>
                <w:sz w:val="16"/>
              </w:rPr>
              <w:t> </w:t>
            </w:r>
            <w:r>
              <w:rPr>
                <w:b/>
                <w:sz w:val="16"/>
              </w:rPr>
              <w:t>Impact Monitoring</w:t>
            </w:r>
          </w:p>
          <w:p>
            <w:pPr>
              <w:pStyle w:val="TableParagraph"/>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3"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109"/>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921" w:hRule="atLeast"/>
        </w:trPr>
        <w:tc>
          <w:tcPr>
            <w:tcW w:w="2846" w:type="dxa"/>
            <w:vMerge w:val="restart"/>
          </w:tcPr>
          <w:p>
            <w:pPr>
              <w:pStyle w:val="TableParagraph"/>
              <w:ind w:left="107" w:right="108"/>
              <w:rPr>
                <w:i/>
                <w:sz w:val="20"/>
              </w:rPr>
            </w:pPr>
            <w:r>
              <w:rPr>
                <w:b/>
                <w:sz w:val="20"/>
              </w:rPr>
              <w:t>UPSTREAM SA1: ECONOMIC SUCCESS </w:t>
            </w:r>
            <w:r>
              <w:rPr>
                <w:i/>
                <w:sz w:val="20"/>
              </w:rPr>
              <w:t>MAINTAIN OR IMPROVE THE CONDITIONS WHICH HAVE ENABLED BUSINESS SUCCESS, ECONOMIC GROWTH AND INVESTMENT THROUGH INCREASED ENTREPRENEURSHIP AND</w:t>
            </w:r>
          </w:p>
        </w:tc>
        <w:tc>
          <w:tcPr>
            <w:tcW w:w="2416" w:type="dxa"/>
            <w:vMerge w:val="restart"/>
          </w:tcPr>
          <w:p>
            <w:pPr>
              <w:pStyle w:val="TableParagraph"/>
              <w:rPr>
                <w:rFonts w:ascii="Times New Roman"/>
                <w:sz w:val="20"/>
              </w:rPr>
            </w:pPr>
          </w:p>
        </w:tc>
        <w:tc>
          <w:tcPr>
            <w:tcW w:w="2918" w:type="dxa"/>
          </w:tcPr>
          <w:p>
            <w:pPr>
              <w:pStyle w:val="TableParagraph"/>
              <w:ind w:left="109" w:right="145"/>
              <w:rPr>
                <w:i/>
                <w:sz w:val="20"/>
              </w:rPr>
            </w:pPr>
            <w:r>
              <w:rPr>
                <w:b/>
                <w:sz w:val="20"/>
              </w:rPr>
              <w:t>SA1: ECONOMIC SUCCESS </w:t>
            </w:r>
            <w:r>
              <w:rPr>
                <w:i/>
                <w:sz w:val="20"/>
              </w:rPr>
              <w:t>DOES IT CONTRIBUTE TO ECONOMIC SUCCESS BY:-</w:t>
            </w:r>
          </w:p>
        </w:tc>
        <w:tc>
          <w:tcPr>
            <w:tcW w:w="80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4"/>
              <w:ind w:left="13"/>
              <w:jc w:val="center"/>
              <w:rPr>
                <w:sz w:val="20"/>
              </w:rPr>
            </w:pPr>
            <w:r>
              <w:rPr>
                <w:color w:val="0000FF"/>
                <w:w w:val="99"/>
                <w:sz w:val="20"/>
              </w:rPr>
              <w:t>0</w:t>
            </w:r>
          </w:p>
          <w:p>
            <w:pPr>
              <w:pStyle w:val="TableParagraph"/>
              <w:rPr>
                <w:b/>
                <w:sz w:val="22"/>
              </w:rPr>
            </w:pPr>
          </w:p>
          <w:p>
            <w:pPr>
              <w:pStyle w:val="TableParagraph"/>
              <w:spacing w:before="1"/>
              <w:rPr>
                <w:b/>
                <w:sz w:val="18"/>
              </w:rPr>
            </w:pPr>
          </w:p>
          <w:p>
            <w:pPr>
              <w:pStyle w:val="TableParagraph"/>
              <w:spacing w:before="1"/>
              <w:ind w:left="13"/>
              <w:jc w:val="center"/>
              <w:rPr>
                <w:sz w:val="20"/>
              </w:rPr>
            </w:pPr>
            <w:r>
              <w:rPr>
                <w:color w:val="0000FF"/>
                <w:w w:val="99"/>
                <w:sz w:val="20"/>
              </w:rPr>
              <w:t>0</w:t>
            </w:r>
          </w:p>
        </w:tc>
        <w:tc>
          <w:tcPr>
            <w:tcW w:w="2104" w:type="dxa"/>
            <w:vMerge w:val="restart"/>
          </w:tcPr>
          <w:p>
            <w:pPr>
              <w:pStyle w:val="TableParagraph"/>
              <w:rPr>
                <w:b/>
                <w:sz w:val="22"/>
              </w:rPr>
            </w:pPr>
          </w:p>
          <w:p>
            <w:pPr>
              <w:pStyle w:val="TableParagraph"/>
              <w:rPr>
                <w:b/>
                <w:sz w:val="22"/>
              </w:rPr>
            </w:pPr>
          </w:p>
          <w:p>
            <w:pPr>
              <w:pStyle w:val="TableParagraph"/>
              <w:spacing w:line="690" w:lineRule="atLeast" w:before="180"/>
              <w:ind w:left="110" w:right="674"/>
              <w:rPr>
                <w:sz w:val="20"/>
              </w:rPr>
            </w:pPr>
            <w:r>
              <w:rPr>
                <w:color w:val="0000FF"/>
                <w:sz w:val="20"/>
              </w:rPr>
              <w:t>Neutral impact Neutral impact</w:t>
            </w:r>
          </w:p>
        </w:tc>
        <w:tc>
          <w:tcPr>
            <w:tcW w:w="772" w:type="dxa"/>
            <w:vMerge w:val="restart"/>
          </w:tcPr>
          <w:p>
            <w:pPr>
              <w:pStyle w:val="TableParagraph"/>
              <w:rPr>
                <w:rFonts w:ascii="Times New Roman"/>
                <w:sz w:val="20"/>
              </w:rPr>
            </w:pPr>
          </w:p>
        </w:tc>
        <w:tc>
          <w:tcPr>
            <w:tcW w:w="1206" w:type="dxa"/>
            <w:vMerge w:val="restart"/>
          </w:tcPr>
          <w:p>
            <w:pPr>
              <w:pStyle w:val="TableParagraph"/>
              <w:rPr>
                <w:rFonts w:ascii="Times New Roman"/>
                <w:sz w:val="20"/>
              </w:rPr>
            </w:pPr>
          </w:p>
        </w:tc>
        <w:tc>
          <w:tcPr>
            <w:tcW w:w="1576" w:type="dxa"/>
            <w:vMerge w:val="restart"/>
          </w:tcPr>
          <w:p>
            <w:pPr>
              <w:pStyle w:val="TableParagraph"/>
              <w:rPr>
                <w:rFonts w:ascii="Times New Roman"/>
                <w:sz w:val="20"/>
              </w:rPr>
            </w:pPr>
          </w:p>
        </w:tc>
      </w:tr>
      <w:tr>
        <w:trPr>
          <w:trHeight w:val="743"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spacing w:line="237" w:lineRule="auto"/>
              <w:ind w:left="109"/>
              <w:rPr>
                <w:i/>
                <w:sz w:val="20"/>
              </w:rPr>
            </w:pPr>
            <w:r>
              <w:rPr>
                <w:i/>
                <w:sz w:val="20"/>
              </w:rPr>
              <w:t>A) INCREASING </w:t>
            </w:r>
            <w:r>
              <w:rPr>
                <w:i/>
                <w:w w:val="95"/>
                <w:sz w:val="20"/>
              </w:rPr>
              <w:t>ENTREPRENEURSHIP?</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746"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ind w:left="108"/>
              <w:rPr>
                <w:i/>
                <w:sz w:val="20"/>
              </w:rPr>
            </w:pPr>
            <w:r>
              <w:rPr>
                <w:i/>
                <w:sz w:val="20"/>
              </w:rPr>
              <w:t>B) INCREASING INNOVATION?</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bl>
    <w:p>
      <w:pPr>
        <w:spacing w:after="0"/>
        <w:rPr>
          <w:sz w:val="2"/>
          <w:szCs w:val="2"/>
        </w:rPr>
        <w:sectPr>
          <w:footerReference w:type="even" r:id="rId70"/>
          <w:footerReference w:type="default" r:id="rId71"/>
          <w:pgSz w:w="16840" w:h="11910" w:orient="landscape"/>
          <w:pgMar w:footer="894" w:header="0" w:top="1100" w:bottom="1080" w:left="1220" w:right="740"/>
          <w:pgNumType w:start="2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tcBorders>
              <w:bottom w:val="nil"/>
            </w:tcBorders>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tcBorders>
              <w:bottom w:val="nil"/>
            </w:tcBorders>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bottom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bottom w:val="nil"/>
            </w:tcBorders>
            <w:shd w:val="clear" w:color="auto" w:fill="FF0000"/>
          </w:tcPr>
          <w:p>
            <w:pPr>
              <w:rPr>
                <w:sz w:val="2"/>
                <w:szCs w:val="2"/>
              </w:rPr>
            </w:pPr>
          </w:p>
        </w:tc>
      </w:tr>
      <w:tr>
        <w:trPr>
          <w:trHeight w:val="918" w:hRule="atLeast"/>
        </w:trPr>
        <w:tc>
          <w:tcPr>
            <w:tcW w:w="2846" w:type="dxa"/>
          </w:tcPr>
          <w:p>
            <w:pPr>
              <w:pStyle w:val="TableParagraph"/>
              <w:ind w:left="107" w:right="397"/>
              <w:rPr>
                <w:i/>
                <w:sz w:val="20"/>
              </w:rPr>
            </w:pPr>
            <w:r>
              <w:rPr>
                <w:i/>
                <w:sz w:val="20"/>
              </w:rPr>
              <w:t>INNOVATION AND INVESTMENT IN INFRASTRUCTURE AND</w:t>
            </w:r>
          </w:p>
          <w:p>
            <w:pPr>
              <w:pStyle w:val="TableParagraph"/>
              <w:spacing w:line="214" w:lineRule="exact"/>
              <w:ind w:left="107"/>
              <w:rPr>
                <w:sz w:val="20"/>
              </w:rPr>
            </w:pPr>
            <w:r>
              <w:rPr>
                <w:i/>
                <w:sz w:val="20"/>
              </w:rPr>
              <w:t>PHYSICAL ASSETS</w:t>
            </w:r>
            <w:r>
              <w:rPr>
                <w:sz w:val="20"/>
              </w:rPr>
              <w:t>.</w:t>
            </w:r>
          </w:p>
        </w:tc>
        <w:tc>
          <w:tcPr>
            <w:tcW w:w="2416" w:type="dxa"/>
            <w:tcBorders>
              <w:top w:val="nil"/>
            </w:tcBorders>
          </w:tcPr>
          <w:p>
            <w:pPr>
              <w:pStyle w:val="TableParagraph"/>
              <w:rPr>
                <w:rFonts w:ascii="Times New Roman"/>
                <w:sz w:val="18"/>
              </w:rPr>
            </w:pPr>
          </w:p>
        </w:tc>
        <w:tc>
          <w:tcPr>
            <w:tcW w:w="2918" w:type="dxa"/>
            <w:shd w:val="clear" w:color="auto" w:fill="CCFFFF"/>
          </w:tcPr>
          <w:p>
            <w:pPr>
              <w:pStyle w:val="TableParagraph"/>
              <w:ind w:left="109" w:right="320"/>
              <w:rPr>
                <w:i/>
                <w:sz w:val="20"/>
              </w:rPr>
            </w:pPr>
            <w:r>
              <w:rPr>
                <w:i/>
                <w:sz w:val="20"/>
              </w:rPr>
              <w:t>C) INCREASING INVESTMENT IN INFRASTRUCTURE AND</w:t>
            </w:r>
          </w:p>
          <w:p>
            <w:pPr>
              <w:pStyle w:val="TableParagraph"/>
              <w:spacing w:line="214" w:lineRule="exact"/>
              <w:ind w:left="109"/>
              <w:rPr>
                <w:i/>
                <w:sz w:val="20"/>
              </w:rPr>
            </w:pPr>
            <w:r>
              <w:rPr>
                <w:i/>
                <w:sz w:val="20"/>
              </w:rPr>
              <w:t>PHYSICAL ASSETS?</w:t>
            </w:r>
          </w:p>
        </w:tc>
        <w:tc>
          <w:tcPr>
            <w:tcW w:w="801" w:type="dxa"/>
          </w:tcPr>
          <w:p>
            <w:pPr>
              <w:pStyle w:val="TableParagraph"/>
              <w:rPr>
                <w:rFonts w:ascii="Times New Roman"/>
                <w:sz w:val="22"/>
              </w:rPr>
            </w:pPr>
          </w:p>
          <w:p>
            <w:pPr>
              <w:pStyle w:val="TableParagraph"/>
              <w:spacing w:before="6"/>
              <w:rPr>
                <w:rFonts w:ascii="Times New Roman"/>
                <w:sz w:val="17"/>
              </w:rPr>
            </w:pPr>
          </w:p>
          <w:p>
            <w:pPr>
              <w:pStyle w:val="TableParagraph"/>
              <w:spacing w:before="1"/>
              <w:ind w:left="14"/>
              <w:jc w:val="center"/>
              <w:rPr>
                <w:sz w:val="20"/>
              </w:rPr>
            </w:pPr>
            <w:r>
              <w:rPr>
                <w:color w:val="0000FF"/>
                <w:w w:val="99"/>
                <w:sz w:val="20"/>
              </w:rPr>
              <w:t>+</w:t>
            </w:r>
          </w:p>
        </w:tc>
        <w:tc>
          <w:tcPr>
            <w:tcW w:w="2104" w:type="dxa"/>
          </w:tcPr>
          <w:p>
            <w:pPr>
              <w:pStyle w:val="TableParagraph"/>
              <w:ind w:left="110"/>
              <w:rPr>
                <w:sz w:val="20"/>
              </w:rPr>
            </w:pPr>
            <w:r>
              <w:rPr>
                <w:color w:val="0000FF"/>
                <w:sz w:val="20"/>
              </w:rPr>
              <w:t>Partnership funding encourages ongoing investment in flood</w:t>
            </w:r>
          </w:p>
          <w:p>
            <w:pPr>
              <w:pStyle w:val="TableParagraph"/>
              <w:spacing w:line="212" w:lineRule="exact"/>
              <w:ind w:left="110"/>
              <w:rPr>
                <w:sz w:val="20"/>
              </w:rPr>
            </w:pPr>
            <w:r>
              <w:rPr>
                <w:color w:val="0000FF"/>
                <w:sz w:val="20"/>
              </w:rPr>
              <w:t>risk infrastructure</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Borders>
              <w:top w:val="nil"/>
            </w:tcBorders>
          </w:tcPr>
          <w:p>
            <w:pPr>
              <w:pStyle w:val="TableParagraph"/>
              <w:rPr>
                <w:rFonts w:ascii="Times New Roman"/>
                <w:sz w:val="18"/>
              </w:rPr>
            </w:pPr>
          </w:p>
        </w:tc>
      </w:tr>
      <w:tr>
        <w:trPr>
          <w:trHeight w:val="1149" w:hRule="atLeast"/>
        </w:trPr>
        <w:tc>
          <w:tcPr>
            <w:tcW w:w="2846" w:type="dxa"/>
            <w:vMerge w:val="restart"/>
          </w:tcPr>
          <w:p>
            <w:pPr>
              <w:pStyle w:val="TableParagraph"/>
              <w:spacing w:line="227" w:lineRule="exact"/>
              <w:ind w:left="1802"/>
              <w:rPr>
                <w:sz w:val="20"/>
              </w:rPr>
            </w:pPr>
            <w:r>
              <w:rPr>
                <w:sz w:val="20"/>
              </w:rPr>
              <w:t>Midstream</w:t>
            </w:r>
          </w:p>
        </w:tc>
        <w:tc>
          <w:tcPr>
            <w:tcW w:w="2416" w:type="dxa"/>
            <w:vMerge w:val="restart"/>
          </w:tcPr>
          <w:p>
            <w:pPr>
              <w:pStyle w:val="TableParagraph"/>
              <w:ind w:left="108"/>
              <w:rPr>
                <w:sz w:val="20"/>
              </w:rPr>
            </w:pPr>
            <w:r>
              <w:rPr>
                <w:sz w:val="20"/>
              </w:rPr>
              <w:t>SA9: Mixed </w:t>
            </w:r>
            <w:r>
              <w:rPr>
                <w:w w:val="95"/>
                <w:sz w:val="20"/>
              </w:rPr>
              <w:t>Neighbourhoods</w:t>
            </w:r>
          </w:p>
          <w:p>
            <w:pPr>
              <w:pStyle w:val="TableParagraph"/>
              <w:spacing w:before="9"/>
              <w:rPr>
                <w:rFonts w:ascii="Times New Roman"/>
                <w:sz w:val="19"/>
              </w:rPr>
            </w:pPr>
          </w:p>
          <w:p>
            <w:pPr>
              <w:pStyle w:val="TableParagraph"/>
              <w:ind w:left="108" w:right="84"/>
              <w:rPr>
                <w:i/>
                <w:sz w:val="20"/>
              </w:rPr>
            </w:pPr>
            <w:r>
              <w:rPr>
                <w:sz w:val="20"/>
              </w:rPr>
              <w:t>SA10: Social inclusion and community empowerment </w:t>
            </w:r>
            <w:r>
              <w:rPr>
                <w:i/>
                <w:sz w:val="20"/>
              </w:rPr>
              <w:t>Generation of money from economic success often funds/stimulates regeneration projects providing better quality environments, housing and access to</w:t>
            </w:r>
          </w:p>
          <w:p>
            <w:pPr>
              <w:pStyle w:val="TableParagraph"/>
              <w:spacing w:line="212" w:lineRule="exact"/>
              <w:ind w:left="108"/>
              <w:rPr>
                <w:sz w:val="20"/>
              </w:rPr>
            </w:pPr>
            <w:r>
              <w:rPr>
                <w:i/>
                <w:sz w:val="20"/>
              </w:rPr>
              <w:t>amenities</w:t>
            </w:r>
            <w:r>
              <w:rPr>
                <w:sz w:val="20"/>
              </w:rPr>
              <w:t>.</w:t>
            </w:r>
          </w:p>
        </w:tc>
        <w:tc>
          <w:tcPr>
            <w:tcW w:w="2918" w:type="dxa"/>
          </w:tcPr>
          <w:p>
            <w:pPr>
              <w:pStyle w:val="TableParagraph"/>
              <w:ind w:left="109" w:right="233"/>
              <w:rPr>
                <w:i/>
                <w:sz w:val="20"/>
              </w:rPr>
            </w:pPr>
            <w:r>
              <w:rPr>
                <w:sz w:val="20"/>
              </w:rPr>
              <w:t>SA9: Mixed Neighbourhoods SA10: Social inclusion and community empowerment </w:t>
            </w:r>
            <w:r>
              <w:rPr>
                <w:i/>
                <w:sz w:val="20"/>
              </w:rPr>
              <w:t>How does the contribution to</w:t>
            </w:r>
          </w:p>
          <w:p>
            <w:pPr>
              <w:pStyle w:val="TableParagraph"/>
              <w:spacing w:line="212" w:lineRule="exact"/>
              <w:ind w:left="109"/>
              <w:rPr>
                <w:i/>
                <w:sz w:val="20"/>
              </w:rPr>
            </w:pPr>
            <w:r>
              <w:rPr>
                <w:i/>
                <w:sz w:val="20"/>
              </w:rPr>
              <w:t>economic success affect:</w:t>
            </w:r>
          </w:p>
        </w:tc>
        <w:tc>
          <w:tcPr>
            <w:tcW w:w="801"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9"/>
              </w:rPr>
            </w:pPr>
          </w:p>
          <w:p>
            <w:pPr>
              <w:pStyle w:val="TableParagraph"/>
              <w:ind w:left="14"/>
              <w:jc w:val="center"/>
              <w:rPr>
                <w:sz w:val="20"/>
              </w:rPr>
            </w:pPr>
            <w:r>
              <w:rPr>
                <w:color w:val="0000FF"/>
                <w:w w:val="99"/>
                <w:sz w:val="20"/>
              </w:rPr>
              <w:t>+</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0"/>
              <w:ind w:left="14"/>
              <w:jc w:val="center"/>
              <w:rPr>
                <w:sz w:val="20"/>
              </w:rPr>
            </w:pPr>
            <w:r>
              <w:rPr>
                <w:color w:val="0000FF"/>
                <w:w w:val="99"/>
                <w:sz w:val="20"/>
              </w:rPr>
              <w:t>+</w:t>
            </w:r>
          </w:p>
        </w:tc>
        <w:tc>
          <w:tcPr>
            <w:tcW w:w="2104"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4"/>
              <w:ind w:left="110" w:right="129"/>
              <w:rPr>
                <w:sz w:val="20"/>
              </w:rPr>
            </w:pPr>
            <w:r>
              <w:rPr>
                <w:color w:val="0000FF"/>
                <w:sz w:val="20"/>
              </w:rPr>
              <w:t>Marginal impact – brings land back into use and promotes new development</w:t>
            </w:r>
          </w:p>
          <w:p>
            <w:pPr>
              <w:pStyle w:val="TableParagraph"/>
              <w:rPr>
                <w:rFonts w:ascii="Times New Roman"/>
                <w:sz w:val="20"/>
              </w:rPr>
            </w:pPr>
          </w:p>
          <w:p>
            <w:pPr>
              <w:pStyle w:val="TableParagraph"/>
              <w:spacing w:line="230" w:lineRule="atLeast"/>
              <w:ind w:left="110" w:right="252"/>
              <w:rPr>
                <w:sz w:val="20"/>
              </w:rPr>
            </w:pPr>
            <w:r>
              <w:rPr>
                <w:color w:val="0000FF"/>
                <w:sz w:val="20"/>
              </w:rPr>
              <w:t>Increase in confidence to local firms from reduced flood risk e.g. River</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921"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shd w:val="clear" w:color="auto" w:fill="FFFF98"/>
          </w:tcPr>
          <w:p>
            <w:pPr>
              <w:pStyle w:val="TableParagraph"/>
              <w:ind w:left="109"/>
              <w:rPr>
                <w:i/>
                <w:sz w:val="20"/>
              </w:rPr>
            </w:pPr>
            <w:r>
              <w:rPr>
                <w:i/>
                <w:sz w:val="20"/>
              </w:rPr>
              <w:t>a) improved community regeneration?</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130"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spacing w:line="237" w:lineRule="auto"/>
              <w:ind w:left="109" w:right="311"/>
              <w:rPr>
                <w:i/>
                <w:sz w:val="20"/>
              </w:rPr>
            </w:pPr>
            <w:r>
              <w:rPr>
                <w:i/>
                <w:sz w:val="20"/>
              </w:rPr>
              <w:t>b) retention of investment in the local economy?</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bl>
    <w:p>
      <w:pPr>
        <w:spacing w:after="0"/>
        <w:rPr>
          <w:sz w:val="2"/>
          <w:szCs w:val="2"/>
        </w:rPr>
        <w:sectPr>
          <w:pgSz w:w="16840" w:h="11910" w:orient="landscape"/>
          <w:pgMar w:header="0" w:footer="814" w:top="1100" w:bottom="100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tcBorders>
              <w:bottom w:val="nil"/>
            </w:tcBorders>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tcBorders>
              <w:bottom w:val="nil"/>
            </w:tcBorders>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bottom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bottom w:val="nil"/>
            </w:tcBorders>
            <w:shd w:val="clear" w:color="auto" w:fill="FF0000"/>
          </w:tcPr>
          <w:p>
            <w:pPr>
              <w:rPr>
                <w:sz w:val="2"/>
                <w:szCs w:val="2"/>
              </w:rPr>
            </w:pPr>
          </w:p>
        </w:tc>
      </w:tr>
      <w:tr>
        <w:trPr>
          <w:trHeight w:val="918" w:hRule="atLeast"/>
        </w:trPr>
        <w:tc>
          <w:tcPr>
            <w:tcW w:w="2846" w:type="dxa"/>
          </w:tcPr>
          <w:p>
            <w:pPr>
              <w:pStyle w:val="TableParagraph"/>
              <w:rPr>
                <w:rFonts w:ascii="Times New Roman"/>
                <w:sz w:val="18"/>
              </w:rPr>
            </w:pPr>
          </w:p>
        </w:tc>
        <w:tc>
          <w:tcPr>
            <w:tcW w:w="2416" w:type="dxa"/>
            <w:tcBorders>
              <w:top w:val="nil"/>
            </w:tcBorders>
          </w:tcPr>
          <w:p>
            <w:pPr>
              <w:pStyle w:val="TableParagraph"/>
              <w:rPr>
                <w:rFonts w:ascii="Times New Roman"/>
                <w:sz w:val="18"/>
              </w:rPr>
            </w:pPr>
          </w:p>
        </w:tc>
        <w:tc>
          <w:tcPr>
            <w:tcW w:w="2918" w:type="dxa"/>
          </w:tcPr>
          <w:p>
            <w:pPr>
              <w:pStyle w:val="TableParagraph"/>
              <w:rPr>
                <w:rFonts w:ascii="Times New Roman"/>
                <w:sz w:val="18"/>
              </w:rPr>
            </w:pPr>
          </w:p>
        </w:tc>
        <w:tc>
          <w:tcPr>
            <w:tcW w:w="801" w:type="dxa"/>
          </w:tcPr>
          <w:p>
            <w:pPr>
              <w:pStyle w:val="TableParagraph"/>
              <w:rPr>
                <w:rFonts w:ascii="Times New Roman"/>
                <w:sz w:val="18"/>
              </w:rPr>
            </w:pPr>
          </w:p>
        </w:tc>
        <w:tc>
          <w:tcPr>
            <w:tcW w:w="2104" w:type="dxa"/>
          </w:tcPr>
          <w:p>
            <w:pPr>
              <w:pStyle w:val="TableParagraph"/>
              <w:spacing w:line="227" w:lineRule="exact"/>
              <w:ind w:left="110"/>
              <w:rPr>
                <w:sz w:val="20"/>
              </w:rPr>
            </w:pPr>
            <w:r>
              <w:rPr>
                <w:color w:val="0000FF"/>
                <w:sz w:val="20"/>
              </w:rPr>
              <w:t>Aire Scheme</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Borders>
              <w:top w:val="nil"/>
            </w:tcBorders>
          </w:tcPr>
          <w:p>
            <w:pPr>
              <w:pStyle w:val="TableParagraph"/>
              <w:rPr>
                <w:rFonts w:ascii="Times New Roman"/>
                <w:sz w:val="18"/>
              </w:rPr>
            </w:pPr>
          </w:p>
        </w:tc>
      </w:tr>
      <w:tr>
        <w:trPr>
          <w:trHeight w:val="2759" w:hRule="atLeast"/>
        </w:trPr>
        <w:tc>
          <w:tcPr>
            <w:tcW w:w="2846" w:type="dxa"/>
          </w:tcPr>
          <w:p>
            <w:pPr>
              <w:pStyle w:val="TableParagraph"/>
              <w:spacing w:line="227" w:lineRule="exact"/>
              <w:ind w:right="101"/>
              <w:jc w:val="right"/>
              <w:rPr>
                <w:sz w:val="20"/>
              </w:rPr>
            </w:pPr>
            <w:r>
              <w:rPr>
                <w:w w:val="95"/>
                <w:sz w:val="20"/>
              </w:rPr>
              <w:t>Midstream</w:t>
            </w:r>
          </w:p>
        </w:tc>
        <w:tc>
          <w:tcPr>
            <w:tcW w:w="2416" w:type="dxa"/>
          </w:tcPr>
          <w:p>
            <w:pPr>
              <w:pStyle w:val="TableParagraph"/>
              <w:ind w:left="108" w:right="332"/>
              <w:rPr>
                <w:i/>
                <w:sz w:val="20"/>
              </w:rPr>
            </w:pPr>
            <w:r>
              <w:rPr>
                <w:sz w:val="20"/>
              </w:rPr>
              <w:t>SA11: Air quality </w:t>
            </w:r>
            <w:r>
              <w:rPr>
                <w:i/>
                <w:sz w:val="20"/>
              </w:rPr>
              <w:t>There may be direct impacts on air quality from industrial processes.</w:t>
            </w:r>
          </w:p>
          <w:p>
            <w:pPr>
              <w:pStyle w:val="TableParagraph"/>
              <w:spacing w:before="6"/>
              <w:rPr>
                <w:rFonts w:ascii="Times New Roman"/>
                <w:sz w:val="19"/>
              </w:rPr>
            </w:pPr>
          </w:p>
          <w:p>
            <w:pPr>
              <w:pStyle w:val="TableParagraph"/>
              <w:ind w:left="108" w:right="84"/>
              <w:rPr>
                <w:i/>
                <w:sz w:val="20"/>
              </w:rPr>
            </w:pPr>
            <w:r>
              <w:rPr>
                <w:i/>
                <w:sz w:val="20"/>
              </w:rPr>
              <w:t>The increased levels of road traffic associated with economic success will bring an associated increase in emissions of</w:t>
            </w:r>
          </w:p>
          <w:p>
            <w:pPr>
              <w:pStyle w:val="TableParagraph"/>
              <w:spacing w:line="215" w:lineRule="exact"/>
              <w:ind w:left="108"/>
              <w:rPr>
                <w:i/>
                <w:sz w:val="20"/>
              </w:rPr>
            </w:pPr>
            <w:r>
              <w:rPr>
                <w:i/>
                <w:sz w:val="20"/>
              </w:rPr>
              <w:t>air pollutants.</w:t>
            </w:r>
          </w:p>
        </w:tc>
        <w:tc>
          <w:tcPr>
            <w:tcW w:w="2918" w:type="dxa"/>
            <w:shd w:val="clear" w:color="auto" w:fill="FFFF98"/>
          </w:tcPr>
          <w:p>
            <w:pPr>
              <w:pStyle w:val="TableParagraph"/>
              <w:spacing w:line="242" w:lineRule="exact"/>
              <w:ind w:left="109"/>
              <w:rPr>
                <w:rFonts w:ascii="Symbol" w:hAnsi="Symbol"/>
                <w:sz w:val="20"/>
              </w:rPr>
            </w:pPr>
            <w:r>
              <w:rPr>
                <w:sz w:val="20"/>
              </w:rPr>
              <w:t>SA11: Air quality</w:t>
            </w:r>
            <w:r>
              <w:rPr>
                <w:rFonts w:ascii="Symbol" w:hAnsi="Symbol"/>
                <w:sz w:val="20"/>
                <w:vertAlign w:val="superscript"/>
              </w:rPr>
              <w:t></w:t>
            </w:r>
          </w:p>
          <w:p>
            <w:pPr>
              <w:pStyle w:val="TableParagraph"/>
              <w:ind w:left="109" w:right="244"/>
              <w:rPr>
                <w:i/>
                <w:sz w:val="20"/>
              </w:rPr>
            </w:pPr>
            <w:r>
              <w:rPr>
                <w:i/>
                <w:sz w:val="20"/>
              </w:rPr>
              <w:t>How does the contribution to economic success affect air quality especially industrial and transportation related emissions?</w:t>
            </w:r>
          </w:p>
        </w:tc>
        <w:tc>
          <w:tcPr>
            <w:tcW w:w="80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4"/>
              <w:ind w:left="14"/>
              <w:jc w:val="center"/>
              <w:rPr>
                <w:sz w:val="20"/>
              </w:rPr>
            </w:pPr>
            <w:r>
              <w:rPr>
                <w:color w:val="0000FF"/>
                <w:w w:val="99"/>
                <w:sz w:val="20"/>
              </w:rPr>
              <w:t>+</w:t>
            </w:r>
          </w:p>
        </w:tc>
        <w:tc>
          <w:tcPr>
            <w:tcW w:w="210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7"/>
              <w:ind w:left="110" w:right="185"/>
              <w:rPr>
                <w:sz w:val="20"/>
              </w:rPr>
            </w:pPr>
            <w:r>
              <w:rPr>
                <w:color w:val="0000FF"/>
                <w:sz w:val="20"/>
              </w:rPr>
              <w:t>Reduced risk of flooding – flooding can cause grid lock and traffic congestion effecting air quality</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225" w:hRule="atLeast"/>
        </w:trPr>
        <w:tc>
          <w:tcPr>
            <w:tcW w:w="2846" w:type="dxa"/>
            <w:tcBorders>
              <w:bottom w:val="nil"/>
            </w:tcBorders>
          </w:tcPr>
          <w:p>
            <w:pPr>
              <w:pStyle w:val="TableParagraph"/>
              <w:spacing w:line="206" w:lineRule="exact"/>
              <w:ind w:right="101"/>
              <w:jc w:val="right"/>
              <w:rPr>
                <w:sz w:val="20"/>
              </w:rPr>
            </w:pPr>
            <w:r>
              <w:rPr>
                <w:w w:val="95"/>
                <w:sz w:val="20"/>
              </w:rPr>
              <w:t>Midstream</w:t>
            </w:r>
          </w:p>
        </w:tc>
        <w:tc>
          <w:tcPr>
            <w:tcW w:w="2416" w:type="dxa"/>
            <w:tcBorders>
              <w:bottom w:val="nil"/>
            </w:tcBorders>
          </w:tcPr>
          <w:p>
            <w:pPr>
              <w:pStyle w:val="TableParagraph"/>
              <w:spacing w:line="206" w:lineRule="exact"/>
              <w:ind w:left="108"/>
              <w:rPr>
                <w:sz w:val="20"/>
              </w:rPr>
            </w:pPr>
            <w:r>
              <w:rPr>
                <w:sz w:val="20"/>
              </w:rPr>
              <w:t>SA12: Improve water</w:t>
            </w:r>
          </w:p>
        </w:tc>
        <w:tc>
          <w:tcPr>
            <w:tcW w:w="2918" w:type="dxa"/>
            <w:vMerge w:val="restart"/>
          </w:tcPr>
          <w:p>
            <w:pPr>
              <w:pStyle w:val="TableParagraph"/>
              <w:spacing w:line="237" w:lineRule="auto" w:before="2"/>
              <w:ind w:left="109" w:right="166"/>
              <w:rPr>
                <w:i/>
                <w:sz w:val="20"/>
              </w:rPr>
            </w:pPr>
            <w:r>
              <w:rPr>
                <w:sz w:val="20"/>
              </w:rPr>
              <w:t>SA12: Improve water quality</w:t>
            </w:r>
            <w:r>
              <w:rPr>
                <w:rFonts w:ascii="Symbol" w:hAnsi="Symbol"/>
                <w:sz w:val="20"/>
                <w:vertAlign w:val="superscript"/>
              </w:rPr>
              <w:t></w:t>
            </w:r>
            <w:r>
              <w:rPr>
                <w:rFonts w:ascii="Times New Roman" w:hAnsi="Times New Roman"/>
                <w:sz w:val="20"/>
                <w:vertAlign w:val="baseline"/>
              </w:rPr>
              <w:t> </w:t>
            </w:r>
            <w:r>
              <w:rPr>
                <w:i/>
                <w:sz w:val="20"/>
                <w:vertAlign w:val="baseline"/>
              </w:rPr>
              <w:t>How does the contribution to economic success affect water quality especially industrial and transportation related water pollution?</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tcBorders>
              <w:bottom w:val="nil"/>
            </w:tcBorders>
          </w:tcPr>
          <w:p>
            <w:pPr>
              <w:pStyle w:val="TableParagraph"/>
              <w:rPr>
                <w:rFonts w:ascii="Times New Roman"/>
                <w:sz w:val="16"/>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sz w:val="20"/>
              </w:rPr>
            </w:pPr>
            <w:r>
              <w:rPr>
                <w:sz w:val="20"/>
              </w:rPr>
              <w:t>quality</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Strategy complies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Clean water is essential</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with Water</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Amend</w:t>
            </w: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for a healthy workforce,</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Framework Directive</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objective 2 to</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and as a raw material</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(WFD) – this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specifically</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for many manufacturing</w:t>
            </w:r>
          </w:p>
        </w:tc>
        <w:tc>
          <w:tcPr>
            <w:tcW w:w="2918" w:type="dxa"/>
            <w:vMerge/>
            <w:tcBorders>
              <w:top w:val="nil"/>
            </w:tcBorders>
          </w:tcPr>
          <w:p>
            <w:pPr>
              <w:rPr>
                <w:sz w:val="2"/>
                <w:szCs w:val="2"/>
              </w:rPr>
            </w:pPr>
          </w:p>
        </w:tc>
        <w:tc>
          <w:tcPr>
            <w:tcW w:w="801" w:type="dxa"/>
            <w:tcBorders>
              <w:top w:val="nil"/>
              <w:bottom w:val="nil"/>
            </w:tcBorders>
          </w:tcPr>
          <w:p>
            <w:pPr>
              <w:pStyle w:val="TableParagraph"/>
              <w:spacing w:line="200" w:lineRule="exact"/>
              <w:ind w:left="14"/>
              <w:jc w:val="center"/>
              <w:rPr>
                <w:sz w:val="20"/>
              </w:rPr>
            </w:pPr>
            <w:r>
              <w:rPr>
                <w:color w:val="0000FF"/>
                <w:w w:val="99"/>
                <w:sz w:val="20"/>
              </w:rPr>
              <w:t>+</w:t>
            </w:r>
          </w:p>
        </w:tc>
        <w:tc>
          <w:tcPr>
            <w:tcW w:w="2104" w:type="dxa"/>
            <w:tcBorders>
              <w:top w:val="nil"/>
              <w:bottom w:val="nil"/>
            </w:tcBorders>
          </w:tcPr>
          <w:p>
            <w:pPr>
              <w:pStyle w:val="TableParagraph"/>
              <w:spacing w:line="200" w:lineRule="exact"/>
              <w:ind w:left="110"/>
              <w:rPr>
                <w:sz w:val="20"/>
              </w:rPr>
            </w:pPr>
            <w:r>
              <w:rPr>
                <w:color w:val="0000FF"/>
                <w:sz w:val="20"/>
              </w:rPr>
              <w:t>promotes improved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reference WFD</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processes. There is also</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water quality through</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direct regulation of water</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FRM activities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18"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8" w:lineRule="exact"/>
              <w:ind w:left="108"/>
              <w:rPr>
                <w:i/>
                <w:sz w:val="20"/>
              </w:rPr>
            </w:pPr>
            <w:r>
              <w:rPr>
                <w:i/>
                <w:sz w:val="20"/>
              </w:rPr>
              <w:t>quality in the UK making</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polluting businesses</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liable to fines for</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27"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7" w:lineRule="exact"/>
              <w:ind w:left="108"/>
              <w:rPr>
                <w:i/>
                <w:sz w:val="20"/>
              </w:rPr>
            </w:pPr>
            <w:r>
              <w:rPr>
                <w:i/>
                <w:sz w:val="20"/>
              </w:rPr>
              <w:t>pollution.</w:t>
            </w:r>
          </w:p>
        </w:tc>
        <w:tc>
          <w:tcPr>
            <w:tcW w:w="2918" w:type="dxa"/>
            <w:vMerge/>
            <w:tcBorders>
              <w:top w:val="nil"/>
            </w:tcBorders>
          </w:tcPr>
          <w:p>
            <w:pPr>
              <w:rPr>
                <w:sz w:val="2"/>
                <w:szCs w:val="2"/>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tcBorders>
          </w:tcPr>
          <w:p>
            <w:pPr>
              <w:pStyle w:val="TableParagraph"/>
              <w:rPr>
                <w:rFonts w:ascii="Times New Roman"/>
                <w:sz w:val="16"/>
              </w:rPr>
            </w:pPr>
          </w:p>
        </w:tc>
      </w:tr>
      <w:tr>
        <w:trPr>
          <w:trHeight w:val="230" w:hRule="atLeast"/>
        </w:trPr>
        <w:tc>
          <w:tcPr>
            <w:tcW w:w="2846" w:type="dxa"/>
          </w:tcPr>
          <w:p>
            <w:pPr>
              <w:pStyle w:val="TableParagraph"/>
              <w:spacing w:line="210" w:lineRule="exact"/>
              <w:ind w:right="101"/>
              <w:jc w:val="right"/>
              <w:rPr>
                <w:sz w:val="20"/>
              </w:rPr>
            </w:pPr>
            <w:r>
              <w:rPr>
                <w:w w:val="95"/>
                <w:sz w:val="20"/>
              </w:rPr>
              <w:t>Downstream</w:t>
            </w:r>
          </w:p>
        </w:tc>
        <w:tc>
          <w:tcPr>
            <w:tcW w:w="2416" w:type="dxa"/>
          </w:tcPr>
          <w:p>
            <w:pPr>
              <w:pStyle w:val="TableParagraph"/>
              <w:spacing w:line="210" w:lineRule="exact"/>
              <w:ind w:left="108"/>
              <w:rPr>
                <w:sz w:val="20"/>
              </w:rPr>
            </w:pPr>
            <w:r>
              <w:rPr>
                <w:sz w:val="20"/>
              </w:rPr>
              <w:t>SA13: Employment</w:t>
            </w:r>
          </w:p>
        </w:tc>
        <w:tc>
          <w:tcPr>
            <w:tcW w:w="2918" w:type="dxa"/>
            <w:shd w:val="clear" w:color="auto" w:fill="FFFF98"/>
          </w:tcPr>
          <w:p>
            <w:pPr>
              <w:pStyle w:val="TableParagraph"/>
              <w:spacing w:line="210" w:lineRule="exact"/>
              <w:ind w:left="109"/>
              <w:rPr>
                <w:sz w:val="20"/>
              </w:rPr>
            </w:pPr>
            <w:r>
              <w:rPr>
                <w:sz w:val="20"/>
              </w:rPr>
              <w:t>SA13: Employment</w:t>
            </w:r>
          </w:p>
        </w:tc>
        <w:tc>
          <w:tcPr>
            <w:tcW w:w="801" w:type="dxa"/>
          </w:tcPr>
          <w:p>
            <w:pPr>
              <w:pStyle w:val="TableParagraph"/>
              <w:rPr>
                <w:rFonts w:ascii="Times New Roman"/>
                <w:sz w:val="16"/>
              </w:rPr>
            </w:pPr>
          </w:p>
        </w:tc>
        <w:tc>
          <w:tcPr>
            <w:tcW w:w="2104" w:type="dxa"/>
          </w:tcPr>
          <w:p>
            <w:pPr>
              <w:pStyle w:val="TableParagraph"/>
              <w:rPr>
                <w:rFonts w:ascii="Times New Roman"/>
                <w:sz w:val="16"/>
              </w:rPr>
            </w:pPr>
          </w:p>
        </w:tc>
        <w:tc>
          <w:tcPr>
            <w:tcW w:w="772" w:type="dxa"/>
          </w:tcPr>
          <w:p>
            <w:pPr>
              <w:pStyle w:val="TableParagraph"/>
              <w:rPr>
                <w:rFonts w:ascii="Times New Roman"/>
                <w:sz w:val="16"/>
              </w:rPr>
            </w:pPr>
          </w:p>
        </w:tc>
        <w:tc>
          <w:tcPr>
            <w:tcW w:w="1206" w:type="dxa"/>
          </w:tcPr>
          <w:p>
            <w:pPr>
              <w:pStyle w:val="TableParagraph"/>
              <w:rPr>
                <w:rFonts w:ascii="Times New Roman"/>
                <w:sz w:val="16"/>
              </w:rPr>
            </w:pPr>
          </w:p>
        </w:tc>
        <w:tc>
          <w:tcPr>
            <w:tcW w:w="1576" w:type="dxa"/>
          </w:tcPr>
          <w:p>
            <w:pPr>
              <w:pStyle w:val="TableParagraph"/>
              <w:rPr>
                <w:rFonts w:ascii="Times New Roman"/>
                <w:sz w:val="16"/>
              </w:rPr>
            </w:pPr>
          </w:p>
        </w:tc>
      </w:tr>
    </w:tbl>
    <w:p>
      <w:pPr>
        <w:pStyle w:val="BodyText"/>
        <w:spacing w:before="6"/>
        <w:rPr>
          <w:rFonts w:ascii="Times New Roman"/>
          <w:sz w:val="24"/>
        </w:rPr>
      </w:pPr>
      <w:r>
        <w:rPr/>
        <w:pict>
          <v:line style="position:absolute;mso-position-horizontal-relative:page;mso-position-vertical-relative:paragraph;z-index:1448;mso-wrap-distance-left:0;mso-wrap-distance-right:0" from="72pt,16.380001pt" to="216.000005pt,16.380001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w:t>
      </w:r>
      <w:r>
        <w:rPr>
          <w:spacing w:val="2"/>
          <w:sz w:val="20"/>
        </w:rPr>
        <w:t> </w:t>
      </w:r>
      <w:r>
        <w:rPr>
          <w:sz w:val="20"/>
        </w:rPr>
        <w:t>Air</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w:t>
      </w:r>
      <w:r>
        <w:rPr>
          <w:spacing w:val="-3"/>
          <w:sz w:val="20"/>
        </w:rPr>
        <w:t> </w:t>
      </w:r>
      <w:r>
        <w:rPr>
          <w:sz w:val="20"/>
        </w:rPr>
        <w:t>Water</w:t>
      </w:r>
    </w:p>
    <w:p>
      <w:pPr>
        <w:spacing w:after="0" w:line="254" w:lineRule="exact"/>
        <w:jc w:val="left"/>
        <w:rPr>
          <w:sz w:val="20"/>
        </w:rPr>
        <w:sectPr>
          <w:pgSz w:w="16840" w:h="11910" w:orient="landscape"/>
          <w:pgMar w:header="0" w:footer="894" w:top="1100" w:bottom="1020" w:left="1220" w:right="740"/>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224" w:hRule="atLeast"/>
        </w:trPr>
        <w:tc>
          <w:tcPr>
            <w:tcW w:w="2846" w:type="dxa"/>
            <w:vMerge w:val="restart"/>
          </w:tcPr>
          <w:p>
            <w:pPr>
              <w:pStyle w:val="TableParagraph"/>
              <w:rPr>
                <w:rFonts w:ascii="Times New Roman"/>
                <w:sz w:val="18"/>
              </w:rPr>
            </w:pPr>
          </w:p>
        </w:tc>
        <w:tc>
          <w:tcPr>
            <w:tcW w:w="2416" w:type="dxa"/>
            <w:tcBorders>
              <w:bottom w:val="nil"/>
            </w:tcBorders>
          </w:tcPr>
          <w:p>
            <w:pPr>
              <w:pStyle w:val="TableParagraph"/>
              <w:spacing w:line="205" w:lineRule="exact"/>
              <w:ind w:left="108"/>
              <w:rPr>
                <w:sz w:val="20"/>
              </w:rPr>
            </w:pPr>
            <w:r>
              <w:rPr>
                <w:sz w:val="20"/>
              </w:rPr>
              <w:t>opportunities</w:t>
            </w:r>
          </w:p>
        </w:tc>
        <w:tc>
          <w:tcPr>
            <w:tcW w:w="2918" w:type="dxa"/>
            <w:tcBorders>
              <w:bottom w:val="nil"/>
            </w:tcBorders>
            <w:shd w:val="clear" w:color="auto" w:fill="FFFF98"/>
          </w:tcPr>
          <w:p>
            <w:pPr>
              <w:pStyle w:val="TableParagraph"/>
              <w:spacing w:line="205" w:lineRule="exact"/>
              <w:ind w:left="109"/>
              <w:rPr>
                <w:sz w:val="20"/>
              </w:rPr>
            </w:pPr>
            <w:r>
              <w:rPr>
                <w:sz w:val="20"/>
              </w:rPr>
              <w:t>opportunities</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spacing w:line="205" w:lineRule="exact"/>
              <w:ind w:left="110"/>
              <w:rPr>
                <w:sz w:val="20"/>
              </w:rPr>
            </w:pPr>
            <w:r>
              <w:rPr>
                <w:color w:val="0000FF"/>
                <w:sz w:val="20"/>
              </w:rPr>
              <w:t>Protecting and</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19"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9" w:lineRule="exact"/>
              <w:ind w:left="108"/>
              <w:rPr>
                <w:i/>
                <w:sz w:val="20"/>
              </w:rPr>
            </w:pPr>
            <w:r>
              <w:rPr>
                <w:i/>
                <w:sz w:val="20"/>
              </w:rPr>
              <w:t>There is a direct link</w:t>
            </w:r>
          </w:p>
        </w:tc>
        <w:tc>
          <w:tcPr>
            <w:tcW w:w="2918" w:type="dxa"/>
            <w:tcBorders>
              <w:top w:val="nil"/>
              <w:bottom w:val="nil"/>
            </w:tcBorders>
            <w:shd w:val="clear" w:color="auto" w:fill="FFFF98"/>
          </w:tcPr>
          <w:p>
            <w:pPr>
              <w:pStyle w:val="TableParagraph"/>
              <w:spacing w:line="199" w:lineRule="exact"/>
              <w:ind w:left="109"/>
              <w:rPr>
                <w:i/>
                <w:sz w:val="20"/>
              </w:rPr>
            </w:pPr>
            <w:r>
              <w:rPr>
                <w:i/>
                <w:sz w:val="20"/>
              </w:rPr>
              <w:t>How does the contribution to</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creating jobs through</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9" w:lineRule="exact"/>
              <w:ind w:left="108"/>
              <w:rPr>
                <w:i/>
                <w:sz w:val="20"/>
              </w:rPr>
            </w:pPr>
            <w:r>
              <w:rPr>
                <w:i/>
                <w:sz w:val="20"/>
              </w:rPr>
              <w:t>between economic</w:t>
            </w:r>
          </w:p>
        </w:tc>
        <w:tc>
          <w:tcPr>
            <w:tcW w:w="2918" w:type="dxa"/>
            <w:tcBorders>
              <w:top w:val="nil"/>
              <w:bottom w:val="nil"/>
            </w:tcBorders>
            <w:shd w:val="clear" w:color="auto" w:fill="FFFF98"/>
          </w:tcPr>
          <w:p>
            <w:pPr>
              <w:pStyle w:val="TableParagraph"/>
              <w:spacing w:line="199" w:lineRule="exact"/>
              <w:ind w:left="109"/>
              <w:rPr>
                <w:i/>
                <w:sz w:val="20"/>
              </w:rPr>
            </w:pPr>
            <w:r>
              <w:rPr>
                <w:i/>
                <w:sz w:val="20"/>
              </w:rPr>
              <w:t>economic success affect</w:t>
            </w:r>
          </w:p>
        </w:tc>
        <w:tc>
          <w:tcPr>
            <w:tcW w:w="801" w:type="dxa"/>
            <w:tcBorders>
              <w:top w:val="nil"/>
              <w:bottom w:val="nil"/>
            </w:tcBorders>
          </w:tcPr>
          <w:p>
            <w:pPr>
              <w:pStyle w:val="TableParagraph"/>
              <w:spacing w:line="199" w:lineRule="exact"/>
              <w:ind w:left="14"/>
              <w:jc w:val="center"/>
              <w:rPr>
                <w:sz w:val="20"/>
              </w:rPr>
            </w:pPr>
            <w:r>
              <w:rPr>
                <w:color w:val="0000FF"/>
                <w:w w:val="99"/>
                <w:sz w:val="20"/>
              </w:rPr>
              <w:t>+</w:t>
            </w:r>
          </w:p>
        </w:tc>
        <w:tc>
          <w:tcPr>
            <w:tcW w:w="2104" w:type="dxa"/>
            <w:tcBorders>
              <w:top w:val="nil"/>
              <w:bottom w:val="nil"/>
            </w:tcBorders>
          </w:tcPr>
          <w:p>
            <w:pPr>
              <w:pStyle w:val="TableParagraph"/>
              <w:spacing w:line="199" w:lineRule="exact"/>
              <w:ind w:left="110"/>
              <w:rPr>
                <w:sz w:val="20"/>
              </w:rPr>
            </w:pPr>
            <w:r>
              <w:rPr>
                <w:color w:val="0000FF"/>
                <w:sz w:val="20"/>
              </w:rPr>
              <w:t>implementing</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200" w:lineRule="exact"/>
              <w:ind w:left="108"/>
              <w:rPr>
                <w:i/>
                <w:sz w:val="20"/>
              </w:rPr>
            </w:pPr>
            <w:r>
              <w:rPr>
                <w:i/>
                <w:sz w:val="20"/>
              </w:rPr>
              <w:t>success and</w:t>
            </w:r>
          </w:p>
        </w:tc>
        <w:tc>
          <w:tcPr>
            <w:tcW w:w="2918" w:type="dxa"/>
            <w:tcBorders>
              <w:top w:val="nil"/>
              <w:bottom w:val="nil"/>
            </w:tcBorders>
            <w:shd w:val="clear" w:color="auto" w:fill="FFFF98"/>
          </w:tcPr>
          <w:p>
            <w:pPr>
              <w:pStyle w:val="TableParagraph"/>
              <w:spacing w:line="200" w:lineRule="exact"/>
              <w:ind w:left="109"/>
              <w:rPr>
                <w:i/>
                <w:sz w:val="20"/>
              </w:rPr>
            </w:pPr>
            <w:r>
              <w:rPr>
                <w:i/>
                <w:sz w:val="20"/>
              </w:rPr>
              <w:t>employment opportunities?</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measures e.g. River</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200" w:lineRule="exact"/>
              <w:ind w:left="108"/>
              <w:rPr>
                <w:i/>
                <w:sz w:val="20"/>
              </w:rPr>
            </w:pPr>
            <w:r>
              <w:rPr>
                <w:i/>
                <w:sz w:val="20"/>
              </w:rPr>
              <w:t>employment as all</w:t>
            </w:r>
          </w:p>
        </w:tc>
        <w:tc>
          <w:tcPr>
            <w:tcW w:w="2918" w:type="dxa"/>
            <w:tcBorders>
              <w:top w:val="nil"/>
              <w:bottom w:val="nil"/>
            </w:tcBorders>
            <w:shd w:val="clear" w:color="auto" w:fill="FFFF98"/>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Aire Scheme</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9" w:lineRule="exact"/>
              <w:ind w:left="108"/>
              <w:rPr>
                <w:i/>
                <w:sz w:val="20"/>
              </w:rPr>
            </w:pPr>
            <w:r>
              <w:rPr>
                <w:i/>
                <w:sz w:val="20"/>
              </w:rPr>
              <w:t>businesses need</w:t>
            </w:r>
          </w:p>
        </w:tc>
        <w:tc>
          <w:tcPr>
            <w:tcW w:w="2918" w:type="dxa"/>
            <w:tcBorders>
              <w:top w:val="nil"/>
              <w:bottom w:val="nil"/>
            </w:tcBorders>
            <w:shd w:val="clear" w:color="auto" w:fill="FFFF98"/>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7" w:hRule="atLeast"/>
        </w:trPr>
        <w:tc>
          <w:tcPr>
            <w:tcW w:w="2846" w:type="dxa"/>
            <w:vMerge/>
            <w:tcBorders>
              <w:top w:val="nil"/>
            </w:tcBorders>
          </w:tcPr>
          <w:p>
            <w:pPr>
              <w:rPr>
                <w:sz w:val="2"/>
                <w:szCs w:val="2"/>
              </w:rPr>
            </w:pPr>
          </w:p>
        </w:tc>
        <w:tc>
          <w:tcPr>
            <w:tcW w:w="2416" w:type="dxa"/>
            <w:tcBorders>
              <w:top w:val="nil"/>
            </w:tcBorders>
          </w:tcPr>
          <w:p>
            <w:pPr>
              <w:pStyle w:val="TableParagraph"/>
              <w:spacing w:line="207" w:lineRule="exact"/>
              <w:ind w:left="108"/>
              <w:rPr>
                <w:i/>
                <w:sz w:val="20"/>
              </w:rPr>
            </w:pPr>
            <w:r>
              <w:rPr>
                <w:i/>
                <w:sz w:val="20"/>
              </w:rPr>
              <w:t>employees.</w:t>
            </w:r>
          </w:p>
        </w:tc>
        <w:tc>
          <w:tcPr>
            <w:tcW w:w="2918" w:type="dxa"/>
            <w:tcBorders>
              <w:top w:val="nil"/>
            </w:tcBorders>
            <w:shd w:val="clear" w:color="auto" w:fill="FFFF98"/>
          </w:tcPr>
          <w:p>
            <w:pPr>
              <w:pStyle w:val="TableParagraph"/>
              <w:rPr>
                <w:rFonts w:ascii="Times New Roman"/>
                <w:sz w:val="16"/>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832" w:hRule="atLeast"/>
        </w:trPr>
        <w:tc>
          <w:tcPr>
            <w:tcW w:w="2846" w:type="dxa"/>
            <w:tcBorders>
              <w:bottom w:val="nil"/>
            </w:tcBorders>
          </w:tcPr>
          <w:p>
            <w:pPr>
              <w:pStyle w:val="TableParagraph"/>
              <w:spacing w:line="227" w:lineRule="exact"/>
              <w:ind w:right="101"/>
              <w:jc w:val="right"/>
              <w:rPr>
                <w:sz w:val="20"/>
              </w:rPr>
            </w:pPr>
            <w:r>
              <w:rPr>
                <w:w w:val="95"/>
                <w:sz w:val="20"/>
              </w:rPr>
              <w:t>Downstream</w:t>
            </w:r>
          </w:p>
        </w:tc>
        <w:tc>
          <w:tcPr>
            <w:tcW w:w="2416" w:type="dxa"/>
            <w:tcBorders>
              <w:bottom w:val="nil"/>
            </w:tcBorders>
          </w:tcPr>
          <w:p>
            <w:pPr>
              <w:pStyle w:val="TableParagraph"/>
              <w:spacing w:line="226" w:lineRule="exact"/>
              <w:ind w:left="108"/>
              <w:rPr>
                <w:sz w:val="20"/>
              </w:rPr>
            </w:pPr>
            <w:r>
              <w:rPr>
                <w:sz w:val="20"/>
              </w:rPr>
              <w:t>SA14: Health</w:t>
            </w:r>
          </w:p>
          <w:p>
            <w:pPr>
              <w:pStyle w:val="TableParagraph"/>
              <w:ind w:left="108" w:right="332"/>
              <w:rPr>
                <w:i/>
                <w:sz w:val="20"/>
              </w:rPr>
            </w:pPr>
            <w:r>
              <w:rPr>
                <w:i/>
                <w:sz w:val="20"/>
              </w:rPr>
              <w:t>There are recognised links between wealth and health, with the poorest communities often suffering higher morbidity rates.</w:t>
            </w:r>
          </w:p>
        </w:tc>
        <w:tc>
          <w:tcPr>
            <w:tcW w:w="2918" w:type="dxa"/>
            <w:tcBorders>
              <w:bottom w:val="nil"/>
            </w:tcBorders>
            <w:shd w:val="clear" w:color="auto" w:fill="CCFFCC"/>
          </w:tcPr>
          <w:p>
            <w:pPr>
              <w:pStyle w:val="TableParagraph"/>
              <w:spacing w:line="242" w:lineRule="exact"/>
              <w:ind w:left="109"/>
              <w:rPr>
                <w:rFonts w:ascii="Symbol" w:hAnsi="Symbol"/>
                <w:sz w:val="20"/>
              </w:rPr>
            </w:pPr>
            <w:r>
              <w:rPr>
                <w:sz w:val="20"/>
              </w:rPr>
              <w:t>SA14: Health</w:t>
            </w:r>
            <w:r>
              <w:rPr>
                <w:rFonts w:ascii="Symbol" w:hAnsi="Symbol"/>
                <w:sz w:val="20"/>
                <w:vertAlign w:val="superscript"/>
              </w:rPr>
              <w:t></w:t>
            </w:r>
          </w:p>
          <w:p>
            <w:pPr>
              <w:pStyle w:val="TableParagraph"/>
              <w:ind w:left="109" w:right="76"/>
              <w:rPr>
                <w:i/>
                <w:sz w:val="20"/>
              </w:rPr>
            </w:pPr>
            <w:r>
              <w:rPr>
                <w:i/>
                <w:sz w:val="20"/>
              </w:rPr>
              <w:t>How does the contribution to economic success affect health and health inequalities?</w:t>
            </w:r>
          </w:p>
        </w:tc>
        <w:tc>
          <w:tcPr>
            <w:tcW w:w="801" w:type="dxa"/>
            <w:tcBorders>
              <w:bottom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4"/>
              <w:ind w:left="14"/>
              <w:jc w:val="center"/>
              <w:rPr>
                <w:sz w:val="20"/>
              </w:rPr>
            </w:pPr>
            <w:r>
              <w:rPr>
                <w:color w:val="0000FF"/>
                <w:w w:val="99"/>
                <w:sz w:val="20"/>
              </w:rPr>
              <w:t>+</w:t>
            </w:r>
          </w:p>
        </w:tc>
        <w:tc>
          <w:tcPr>
            <w:tcW w:w="2104" w:type="dxa"/>
            <w:tcBorders>
              <w:bottom w:val="nil"/>
            </w:tcBorders>
          </w:tcPr>
          <w:p>
            <w:pPr>
              <w:pStyle w:val="TableParagraph"/>
              <w:spacing w:before="8"/>
              <w:rPr>
                <w:sz w:val="19"/>
              </w:rPr>
            </w:pPr>
          </w:p>
          <w:p>
            <w:pPr>
              <w:pStyle w:val="TableParagraph"/>
              <w:spacing w:before="1"/>
              <w:ind w:left="110" w:right="85"/>
              <w:rPr>
                <w:sz w:val="20"/>
              </w:rPr>
            </w:pPr>
            <w:r>
              <w:rPr>
                <w:color w:val="0000FF"/>
                <w:sz w:val="20"/>
              </w:rPr>
              <w:t>Flooding causes stress – measures to reduce flooding through FRM activities have a</w:t>
            </w:r>
          </w:p>
          <w:p>
            <w:pPr>
              <w:pStyle w:val="TableParagraph"/>
              <w:spacing w:line="228" w:lineRule="exact" w:before="5"/>
              <w:ind w:left="110" w:right="363"/>
              <w:rPr>
                <w:sz w:val="20"/>
              </w:rPr>
            </w:pPr>
            <w:r>
              <w:rPr>
                <w:color w:val="0000FF"/>
                <w:sz w:val="20"/>
              </w:rPr>
              <w:t>positive impact on health</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680" w:hRule="atLeast"/>
        </w:trPr>
        <w:tc>
          <w:tcPr>
            <w:tcW w:w="2846" w:type="dxa"/>
            <w:tcBorders>
              <w:top w:val="nil"/>
            </w:tcBorders>
          </w:tcPr>
          <w:p>
            <w:pPr>
              <w:pStyle w:val="TableParagraph"/>
              <w:rPr>
                <w:rFonts w:ascii="Times New Roman"/>
                <w:sz w:val="18"/>
              </w:rPr>
            </w:pPr>
          </w:p>
        </w:tc>
        <w:tc>
          <w:tcPr>
            <w:tcW w:w="2416" w:type="dxa"/>
            <w:tcBorders>
              <w:top w:val="nil"/>
            </w:tcBorders>
          </w:tcPr>
          <w:p>
            <w:pPr>
              <w:pStyle w:val="TableParagraph"/>
              <w:spacing w:line="215" w:lineRule="exact"/>
              <w:ind w:left="108"/>
              <w:rPr>
                <w:i/>
                <w:sz w:val="20"/>
              </w:rPr>
            </w:pPr>
            <w:r>
              <w:rPr>
                <w:i/>
                <w:sz w:val="20"/>
              </w:rPr>
              <w:t>Poor air quality</w:t>
            </w:r>
            <w:r>
              <w:rPr>
                <w:i/>
                <w:spacing w:val="-14"/>
                <w:sz w:val="20"/>
              </w:rPr>
              <w:t> </w:t>
            </w:r>
            <w:r>
              <w:rPr>
                <w:i/>
                <w:sz w:val="20"/>
              </w:rPr>
              <w:t>has</w:t>
            </w:r>
          </w:p>
          <w:p>
            <w:pPr>
              <w:pStyle w:val="TableParagraph"/>
              <w:spacing w:line="230" w:lineRule="atLeast"/>
              <w:ind w:left="108" w:right="468"/>
              <w:rPr>
                <w:i/>
                <w:sz w:val="20"/>
              </w:rPr>
            </w:pPr>
            <w:r>
              <w:rPr>
                <w:i/>
                <w:sz w:val="20"/>
              </w:rPr>
              <w:t>known health</w:t>
            </w:r>
            <w:r>
              <w:rPr>
                <w:i/>
                <w:spacing w:val="-14"/>
                <w:sz w:val="20"/>
              </w:rPr>
              <w:t> </w:t>
            </w:r>
            <w:r>
              <w:rPr>
                <w:i/>
                <w:sz w:val="20"/>
              </w:rPr>
              <w:t>effects (respiratory</w:t>
            </w:r>
            <w:r>
              <w:rPr>
                <w:i/>
                <w:spacing w:val="-5"/>
                <w:sz w:val="20"/>
              </w:rPr>
              <w:t> </w:t>
            </w:r>
            <w:r>
              <w:rPr>
                <w:i/>
                <w:sz w:val="20"/>
              </w:rPr>
              <w:t>illness).</w:t>
            </w:r>
          </w:p>
        </w:tc>
        <w:tc>
          <w:tcPr>
            <w:tcW w:w="2918" w:type="dxa"/>
            <w:tcBorders>
              <w:top w:val="nil"/>
            </w:tcBorders>
            <w:shd w:val="clear" w:color="auto" w:fill="CCFFCC"/>
          </w:tcPr>
          <w:p>
            <w:pPr>
              <w:pStyle w:val="TableParagraph"/>
              <w:rPr>
                <w:rFonts w:ascii="Times New Roman"/>
                <w:sz w:val="18"/>
              </w:rPr>
            </w:pPr>
          </w:p>
        </w:tc>
        <w:tc>
          <w:tcPr>
            <w:tcW w:w="801" w:type="dxa"/>
            <w:tcBorders>
              <w:top w:val="nil"/>
            </w:tcBorders>
          </w:tcPr>
          <w:p>
            <w:pPr>
              <w:pStyle w:val="TableParagraph"/>
              <w:rPr>
                <w:rFonts w:ascii="Times New Roman"/>
                <w:sz w:val="18"/>
              </w:rPr>
            </w:pP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4" w:hRule="atLeast"/>
        </w:trPr>
        <w:tc>
          <w:tcPr>
            <w:tcW w:w="2846" w:type="dxa"/>
            <w:tcBorders>
              <w:bottom w:val="nil"/>
            </w:tcBorders>
          </w:tcPr>
          <w:p>
            <w:pPr>
              <w:pStyle w:val="TableParagraph"/>
              <w:spacing w:line="205" w:lineRule="exact"/>
              <w:ind w:right="101"/>
              <w:jc w:val="right"/>
              <w:rPr>
                <w:sz w:val="20"/>
              </w:rPr>
            </w:pPr>
            <w:r>
              <w:rPr>
                <w:w w:val="95"/>
                <w:sz w:val="20"/>
              </w:rPr>
              <w:t>Downstream</w:t>
            </w:r>
          </w:p>
        </w:tc>
        <w:tc>
          <w:tcPr>
            <w:tcW w:w="2416" w:type="dxa"/>
            <w:tcBorders>
              <w:bottom w:val="nil"/>
            </w:tcBorders>
          </w:tcPr>
          <w:p>
            <w:pPr>
              <w:pStyle w:val="TableParagraph"/>
              <w:spacing w:line="205" w:lineRule="exact"/>
              <w:ind w:left="108"/>
              <w:rPr>
                <w:sz w:val="20"/>
              </w:rPr>
            </w:pPr>
            <w:r>
              <w:rPr>
                <w:sz w:val="20"/>
              </w:rPr>
              <w:t>SA15: Crime</w:t>
            </w:r>
          </w:p>
        </w:tc>
        <w:tc>
          <w:tcPr>
            <w:tcW w:w="2918" w:type="dxa"/>
            <w:tcBorders>
              <w:bottom w:val="nil"/>
            </w:tcBorders>
            <w:shd w:val="clear" w:color="auto" w:fill="FFFF98"/>
          </w:tcPr>
          <w:p>
            <w:pPr>
              <w:pStyle w:val="TableParagraph"/>
              <w:spacing w:line="205" w:lineRule="exact"/>
              <w:ind w:left="109"/>
              <w:rPr>
                <w:sz w:val="20"/>
              </w:rPr>
            </w:pPr>
            <w:r>
              <w:rPr>
                <w:sz w:val="20"/>
              </w:rPr>
              <w:t>SA15: Crime</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spacing w:line="205" w:lineRule="exact"/>
              <w:ind w:left="110"/>
              <w:rPr>
                <w:sz w:val="20"/>
              </w:rPr>
            </w:pPr>
            <w:r>
              <w:rPr>
                <w:color w:val="0000FF"/>
                <w:sz w:val="20"/>
              </w:rPr>
              <w:t>Minimal impact –</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Levels of crime</w:t>
            </w:r>
          </w:p>
        </w:tc>
        <w:tc>
          <w:tcPr>
            <w:tcW w:w="2918" w:type="dxa"/>
            <w:tcBorders>
              <w:top w:val="nil"/>
              <w:bottom w:val="nil"/>
            </w:tcBorders>
            <w:shd w:val="clear" w:color="auto" w:fill="FFFF98"/>
          </w:tcPr>
          <w:p>
            <w:pPr>
              <w:pStyle w:val="TableParagraph"/>
              <w:spacing w:line="200" w:lineRule="exact"/>
              <w:ind w:left="109"/>
              <w:rPr>
                <w:i/>
                <w:sz w:val="20"/>
              </w:rPr>
            </w:pPr>
            <w:r>
              <w:rPr>
                <w:i/>
                <w:sz w:val="20"/>
              </w:rPr>
              <w:t>How does the contribution to</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slightly positive as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(particularly property</w:t>
            </w:r>
          </w:p>
        </w:tc>
        <w:tc>
          <w:tcPr>
            <w:tcW w:w="2918" w:type="dxa"/>
            <w:tcBorders>
              <w:top w:val="nil"/>
              <w:bottom w:val="nil"/>
            </w:tcBorders>
            <w:shd w:val="clear" w:color="auto" w:fill="FFFF98"/>
          </w:tcPr>
          <w:p>
            <w:pPr>
              <w:pStyle w:val="TableParagraph"/>
              <w:spacing w:line="199" w:lineRule="exact"/>
              <w:ind w:left="109"/>
              <w:rPr>
                <w:i/>
                <w:sz w:val="20"/>
              </w:rPr>
            </w:pPr>
            <w:r>
              <w:rPr>
                <w:i/>
                <w:sz w:val="20"/>
              </w:rPr>
              <w:t>economic success affect</w:t>
            </w:r>
          </w:p>
        </w:tc>
        <w:tc>
          <w:tcPr>
            <w:tcW w:w="801" w:type="dxa"/>
            <w:tcBorders>
              <w:top w:val="nil"/>
              <w:bottom w:val="nil"/>
            </w:tcBorders>
          </w:tcPr>
          <w:p>
            <w:pPr>
              <w:pStyle w:val="TableParagraph"/>
              <w:spacing w:line="199" w:lineRule="exact"/>
              <w:ind w:left="14"/>
              <w:jc w:val="center"/>
              <w:rPr>
                <w:sz w:val="20"/>
              </w:rPr>
            </w:pPr>
            <w:r>
              <w:rPr>
                <w:color w:val="0000FF"/>
                <w:w w:val="99"/>
                <w:sz w:val="20"/>
              </w:rPr>
              <w:t>+</w:t>
            </w:r>
          </w:p>
        </w:tc>
        <w:tc>
          <w:tcPr>
            <w:tcW w:w="2104" w:type="dxa"/>
            <w:tcBorders>
              <w:top w:val="nil"/>
              <w:bottom w:val="nil"/>
            </w:tcBorders>
          </w:tcPr>
          <w:p>
            <w:pPr>
              <w:pStyle w:val="TableParagraph"/>
              <w:spacing w:line="199" w:lineRule="exact"/>
              <w:ind w:left="110"/>
              <w:rPr>
                <w:sz w:val="20"/>
              </w:rPr>
            </w:pPr>
            <w:r>
              <w:rPr>
                <w:color w:val="0000FF"/>
                <w:sz w:val="20"/>
              </w:rPr>
              <w:t>looting can occur in</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crime) tend to increase</w:t>
            </w:r>
          </w:p>
        </w:tc>
        <w:tc>
          <w:tcPr>
            <w:tcW w:w="2918" w:type="dxa"/>
            <w:tcBorders>
              <w:top w:val="nil"/>
              <w:bottom w:val="nil"/>
            </w:tcBorders>
            <w:shd w:val="clear" w:color="auto" w:fill="FFFF98"/>
          </w:tcPr>
          <w:p>
            <w:pPr>
              <w:pStyle w:val="TableParagraph"/>
              <w:spacing w:line="199" w:lineRule="exact"/>
              <w:ind w:left="109"/>
              <w:rPr>
                <w:i/>
                <w:sz w:val="20"/>
              </w:rPr>
            </w:pPr>
            <w:r>
              <w:rPr>
                <w:i/>
                <w:sz w:val="20"/>
              </w:rPr>
              <w:t>crime levels?</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evacuated areas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during periods of</w:t>
            </w:r>
          </w:p>
        </w:tc>
        <w:tc>
          <w:tcPr>
            <w:tcW w:w="2918" w:type="dxa"/>
            <w:tcBorders>
              <w:top w:val="nil"/>
              <w:bottom w:val="nil"/>
            </w:tcBorders>
            <w:shd w:val="clear" w:color="auto" w:fill="FFFF98"/>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during floods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5"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6" w:lineRule="exact"/>
              <w:ind w:left="108"/>
              <w:rPr>
                <w:i/>
                <w:sz w:val="20"/>
              </w:rPr>
            </w:pPr>
            <w:r>
              <w:rPr>
                <w:i/>
                <w:sz w:val="20"/>
              </w:rPr>
              <w:t>economic recession.</w:t>
            </w:r>
          </w:p>
        </w:tc>
        <w:tc>
          <w:tcPr>
            <w:tcW w:w="2918" w:type="dxa"/>
            <w:tcBorders>
              <w:top w:val="nil"/>
            </w:tcBorders>
            <w:shd w:val="clear" w:color="auto" w:fill="FFFF98"/>
          </w:tcPr>
          <w:p>
            <w:pPr>
              <w:pStyle w:val="TableParagraph"/>
              <w:rPr>
                <w:rFonts w:ascii="Times New Roman"/>
                <w:sz w:val="16"/>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5" w:hRule="atLeast"/>
        </w:trPr>
        <w:tc>
          <w:tcPr>
            <w:tcW w:w="2846" w:type="dxa"/>
            <w:tcBorders>
              <w:bottom w:val="nil"/>
            </w:tcBorders>
          </w:tcPr>
          <w:p>
            <w:pPr>
              <w:pStyle w:val="TableParagraph"/>
              <w:spacing w:line="206" w:lineRule="exact"/>
              <w:ind w:right="101"/>
              <w:jc w:val="right"/>
              <w:rPr>
                <w:sz w:val="20"/>
              </w:rPr>
            </w:pPr>
            <w:r>
              <w:rPr>
                <w:w w:val="95"/>
                <w:sz w:val="20"/>
              </w:rPr>
              <w:t>Downstream</w:t>
            </w:r>
          </w:p>
        </w:tc>
        <w:tc>
          <w:tcPr>
            <w:tcW w:w="2416" w:type="dxa"/>
            <w:tcBorders>
              <w:bottom w:val="nil"/>
            </w:tcBorders>
          </w:tcPr>
          <w:p>
            <w:pPr>
              <w:pStyle w:val="TableParagraph"/>
              <w:spacing w:line="206" w:lineRule="exact"/>
              <w:ind w:left="108"/>
              <w:rPr>
                <w:sz w:val="20"/>
              </w:rPr>
            </w:pPr>
            <w:r>
              <w:rPr>
                <w:sz w:val="20"/>
              </w:rPr>
              <w:t>SA17: Biodiversity /</w:t>
            </w:r>
          </w:p>
        </w:tc>
        <w:tc>
          <w:tcPr>
            <w:tcW w:w="2918" w:type="dxa"/>
            <w:vMerge w:val="restart"/>
            <w:shd w:val="clear" w:color="auto" w:fill="FFFF98"/>
          </w:tcPr>
          <w:p>
            <w:pPr>
              <w:pStyle w:val="TableParagraph"/>
              <w:spacing w:line="237" w:lineRule="auto" w:before="2"/>
              <w:ind w:left="109" w:right="262"/>
              <w:rPr>
                <w:i/>
                <w:sz w:val="20"/>
              </w:rPr>
            </w:pPr>
            <w:r>
              <w:rPr>
                <w:sz w:val="20"/>
              </w:rPr>
              <w:t>SA17: Biodiversity</w:t>
            </w:r>
            <w:r>
              <w:rPr>
                <w:rFonts w:ascii="Symbol" w:hAnsi="Symbol"/>
                <w:sz w:val="20"/>
                <w:vertAlign w:val="superscript"/>
              </w:rPr>
              <w:t></w:t>
            </w:r>
            <w:r>
              <w:rPr>
                <w:rFonts w:ascii="Times New Roman" w:hAnsi="Times New Roman"/>
                <w:sz w:val="20"/>
                <w:vertAlign w:val="baseline"/>
              </w:rPr>
              <w:t> </w:t>
            </w:r>
            <w:r>
              <w:rPr>
                <w:sz w:val="20"/>
                <w:vertAlign w:val="baseline"/>
              </w:rPr>
              <w:t>/ geological conservation </w:t>
            </w:r>
            <w:r>
              <w:rPr>
                <w:i/>
                <w:sz w:val="20"/>
                <w:vertAlign w:val="baseline"/>
              </w:rPr>
              <w:t>How does the contribution</w:t>
            </w:r>
            <w:r>
              <w:rPr>
                <w:i/>
                <w:spacing w:val="-20"/>
                <w:sz w:val="20"/>
                <w:vertAlign w:val="baseline"/>
              </w:rPr>
              <w:t> </w:t>
            </w:r>
            <w:r>
              <w:rPr>
                <w:i/>
                <w:spacing w:val="2"/>
                <w:sz w:val="20"/>
                <w:vertAlign w:val="baseline"/>
              </w:rPr>
              <w:t>to </w:t>
            </w:r>
            <w:r>
              <w:rPr>
                <w:i/>
                <w:sz w:val="20"/>
                <w:vertAlign w:val="baseline"/>
              </w:rPr>
              <w:t>economic success</w:t>
            </w:r>
            <w:r>
              <w:rPr>
                <w:i/>
                <w:spacing w:val="-6"/>
                <w:sz w:val="20"/>
                <w:vertAlign w:val="baseline"/>
              </w:rPr>
              <w:t> </w:t>
            </w:r>
            <w:r>
              <w:rPr>
                <w:i/>
                <w:sz w:val="20"/>
                <w:vertAlign w:val="baseline"/>
              </w:rPr>
              <w:t>affect</w:t>
            </w:r>
          </w:p>
          <w:p>
            <w:pPr>
              <w:pStyle w:val="TableParagraph"/>
              <w:spacing w:line="215" w:lineRule="exact" w:before="3"/>
              <w:ind w:left="109"/>
              <w:rPr>
                <w:i/>
                <w:sz w:val="20"/>
              </w:rPr>
            </w:pPr>
            <w:r>
              <w:rPr>
                <w:i/>
                <w:sz w:val="20"/>
              </w:rPr>
              <w:t>opportunities for biodiversity?</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tcBorders>
              <w:bottom w:val="nil"/>
            </w:tcBorders>
          </w:tcPr>
          <w:p>
            <w:pPr>
              <w:pStyle w:val="TableParagraph"/>
              <w:spacing w:line="206" w:lineRule="exact"/>
              <w:ind w:left="112"/>
              <w:rPr>
                <w:sz w:val="20"/>
              </w:rPr>
            </w:pPr>
            <w:r>
              <w:rPr>
                <w:color w:val="0000FF"/>
                <w:sz w:val="20"/>
              </w:rPr>
              <w:t>Amend</w:t>
            </w: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sz w:val="20"/>
              </w:rPr>
            </w:pPr>
            <w:r>
              <w:rPr>
                <w:sz w:val="20"/>
              </w:rPr>
              <w:t>geological conservation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Strategy will comply</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objective 5 to</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Investment in economic</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with WFD – positive</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specifically</w:t>
            </w: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developments can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spacing w:line="199" w:lineRule="exact"/>
              <w:ind w:left="14"/>
              <w:jc w:val="center"/>
              <w:rPr>
                <w:sz w:val="20"/>
              </w:rPr>
            </w:pPr>
            <w:r>
              <w:rPr>
                <w:color w:val="0000FF"/>
                <w:w w:val="99"/>
                <w:sz w:val="20"/>
              </w:rPr>
              <w:t>+</w:t>
            </w:r>
          </w:p>
        </w:tc>
        <w:tc>
          <w:tcPr>
            <w:tcW w:w="2104" w:type="dxa"/>
            <w:tcBorders>
              <w:top w:val="nil"/>
              <w:bottom w:val="nil"/>
            </w:tcBorders>
          </w:tcPr>
          <w:p>
            <w:pPr>
              <w:pStyle w:val="TableParagraph"/>
              <w:spacing w:line="199" w:lineRule="exact"/>
              <w:ind w:left="110"/>
              <w:rPr>
                <w:sz w:val="20"/>
              </w:rPr>
            </w:pPr>
            <w:r>
              <w:rPr>
                <w:color w:val="0000FF"/>
                <w:sz w:val="20"/>
              </w:rPr>
              <w:t>environmental</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reference</w:t>
            </w:r>
          </w:p>
        </w:tc>
      </w:tr>
      <w:tr>
        <w:trPr>
          <w:trHeight w:val="241"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19" w:lineRule="exact"/>
              <w:ind w:left="108"/>
              <w:rPr>
                <w:i/>
                <w:sz w:val="20"/>
              </w:rPr>
            </w:pPr>
            <w:r>
              <w:rPr>
                <w:i/>
                <w:sz w:val="20"/>
              </w:rPr>
              <w:t>provide opportunities for</w:t>
            </w:r>
          </w:p>
        </w:tc>
        <w:tc>
          <w:tcPr>
            <w:tcW w:w="2918" w:type="dxa"/>
            <w:vMerge/>
            <w:tcBorders>
              <w:top w:val="nil"/>
            </w:tcBorders>
            <w:shd w:val="clear" w:color="auto" w:fill="FFFF98"/>
          </w:tcPr>
          <w:p>
            <w:pPr>
              <w:rPr>
                <w:sz w:val="2"/>
                <w:szCs w:val="2"/>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spacing w:line="221" w:lineRule="exact"/>
              <w:ind w:left="110"/>
              <w:rPr>
                <w:sz w:val="20"/>
              </w:rPr>
            </w:pPr>
            <w:r>
              <w:rPr>
                <w:color w:val="0000FF"/>
                <w:sz w:val="20"/>
              </w:rPr>
              <w:t>impacts e.g. SuDS,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tcBorders>
          </w:tcPr>
          <w:p>
            <w:pPr>
              <w:pStyle w:val="TableParagraph"/>
              <w:spacing w:line="221" w:lineRule="exact"/>
              <w:ind w:left="112"/>
              <w:rPr>
                <w:sz w:val="20"/>
              </w:rPr>
            </w:pPr>
            <w:r>
              <w:rPr>
                <w:color w:val="0000FF"/>
                <w:sz w:val="20"/>
              </w:rPr>
              <w:t>WFD/</w:t>
            </w:r>
          </w:p>
        </w:tc>
      </w:tr>
    </w:tbl>
    <w:p>
      <w:pPr>
        <w:pStyle w:val="BodyText"/>
        <w:spacing w:before="1"/>
      </w:pPr>
      <w:r>
        <w:rPr/>
        <w:pict>
          <v:line style="position:absolute;mso-position-horizontal-relative:page;mso-position-vertical-relative:paragraph;z-index:1472;mso-wrap-distance-left:0;mso-wrap-distance-right:0" from="72pt,15.540001pt" to="216.000005pt,15.540001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w:t>
      </w:r>
      <w:r>
        <w:rPr>
          <w:spacing w:val="2"/>
          <w:sz w:val="20"/>
        </w:rPr>
        <w:t> </w:t>
      </w:r>
      <w:r>
        <w:rPr>
          <w:sz w:val="20"/>
        </w:rPr>
        <w:t>Health</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Biodiversity, fauna,</w:t>
      </w:r>
      <w:r>
        <w:rPr>
          <w:spacing w:val="1"/>
          <w:sz w:val="20"/>
        </w:rPr>
        <w:t> </w:t>
      </w:r>
      <w:r>
        <w:rPr>
          <w:sz w:val="20"/>
        </w:rPr>
        <w:t>flora</w:t>
      </w:r>
    </w:p>
    <w:p>
      <w:pPr>
        <w:spacing w:after="0" w:line="254" w:lineRule="exact"/>
        <w:jc w:val="left"/>
        <w:rPr>
          <w:sz w:val="20"/>
        </w:rPr>
        <w:sectPr>
          <w:pgSz w:w="16840" w:h="11910" w:orient="landscape"/>
          <w:pgMar w:header="0" w:footer="814" w:top="1100" w:bottom="1000" w:left="1220" w:right="740"/>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224" w:hRule="atLeast"/>
        </w:trPr>
        <w:tc>
          <w:tcPr>
            <w:tcW w:w="2846" w:type="dxa"/>
            <w:vMerge w:val="restart"/>
          </w:tcPr>
          <w:p>
            <w:pPr>
              <w:pStyle w:val="TableParagraph"/>
              <w:rPr>
                <w:rFonts w:ascii="Times New Roman"/>
                <w:sz w:val="18"/>
              </w:rPr>
            </w:pPr>
          </w:p>
        </w:tc>
        <w:tc>
          <w:tcPr>
            <w:tcW w:w="2416" w:type="dxa"/>
            <w:tcBorders>
              <w:bottom w:val="nil"/>
            </w:tcBorders>
          </w:tcPr>
          <w:p>
            <w:pPr>
              <w:pStyle w:val="TableParagraph"/>
              <w:spacing w:line="205" w:lineRule="exact"/>
              <w:ind w:left="108"/>
              <w:rPr>
                <w:i/>
                <w:sz w:val="20"/>
              </w:rPr>
            </w:pPr>
            <w:r>
              <w:rPr>
                <w:i/>
                <w:sz w:val="20"/>
              </w:rPr>
              <w:t>new wildlife habitat</w:t>
            </w:r>
          </w:p>
        </w:tc>
        <w:tc>
          <w:tcPr>
            <w:tcW w:w="2918" w:type="dxa"/>
            <w:vMerge w:val="restart"/>
            <w:shd w:val="clear" w:color="auto" w:fill="FFFF98"/>
          </w:tcPr>
          <w:p>
            <w:pPr>
              <w:pStyle w:val="TableParagraph"/>
              <w:rPr>
                <w:rFonts w:ascii="Times New Roman"/>
                <w:sz w:val="18"/>
              </w:rPr>
            </w:pPr>
          </w:p>
        </w:tc>
        <w:tc>
          <w:tcPr>
            <w:tcW w:w="801" w:type="dxa"/>
            <w:vMerge w:val="restart"/>
          </w:tcPr>
          <w:p>
            <w:pPr>
              <w:pStyle w:val="TableParagraph"/>
              <w:rPr>
                <w:rFonts w:ascii="Times New Roman"/>
                <w:sz w:val="18"/>
              </w:rPr>
            </w:pPr>
          </w:p>
        </w:tc>
        <w:tc>
          <w:tcPr>
            <w:tcW w:w="2104" w:type="dxa"/>
            <w:tcBorders>
              <w:bottom w:val="nil"/>
            </w:tcBorders>
          </w:tcPr>
          <w:p>
            <w:pPr>
              <w:pStyle w:val="TableParagraph"/>
              <w:spacing w:line="205" w:lineRule="exact"/>
              <w:ind w:left="110"/>
              <w:rPr>
                <w:sz w:val="20"/>
              </w:rPr>
            </w:pPr>
            <w:r>
              <w:rPr>
                <w:color w:val="0000FF"/>
                <w:sz w:val="20"/>
              </w:rPr>
              <w:t>green corridors</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tcBorders>
              <w:bottom w:val="nil"/>
            </w:tcBorders>
          </w:tcPr>
          <w:p>
            <w:pPr>
              <w:pStyle w:val="TableParagraph"/>
              <w:spacing w:line="205" w:lineRule="exact"/>
              <w:ind w:left="112"/>
              <w:rPr>
                <w:sz w:val="20"/>
              </w:rPr>
            </w:pPr>
            <w:r>
              <w:rPr>
                <w:color w:val="0000FF"/>
                <w:sz w:val="20"/>
              </w:rPr>
              <w:t>environmental</w:t>
            </w:r>
          </w:p>
        </w:tc>
      </w:tr>
      <w:tr>
        <w:trPr>
          <w:trHeight w:val="219"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9" w:lineRule="exact"/>
              <w:ind w:left="108"/>
              <w:rPr>
                <w:i/>
                <w:sz w:val="20"/>
              </w:rPr>
            </w:pPr>
            <w:r>
              <w:rPr>
                <w:i/>
                <w:sz w:val="20"/>
              </w:rPr>
              <w:t>creation (e.g. clean-up</w:t>
            </w:r>
          </w:p>
        </w:tc>
        <w:tc>
          <w:tcPr>
            <w:tcW w:w="2918" w:type="dxa"/>
            <w:vMerge/>
            <w:tcBorders>
              <w:top w:val="nil"/>
            </w:tcBorders>
            <w:shd w:val="clear" w:color="auto" w:fill="FFFF98"/>
          </w:tcPr>
          <w:p>
            <w:pPr>
              <w:rPr>
                <w:sz w:val="2"/>
                <w:szCs w:val="2"/>
              </w:rPr>
            </w:pPr>
          </w:p>
        </w:tc>
        <w:tc>
          <w:tcPr>
            <w:tcW w:w="801" w:type="dxa"/>
            <w:vMerge/>
            <w:tcBorders>
              <w:top w:val="nil"/>
            </w:tcBorders>
          </w:tcPr>
          <w:p>
            <w:pPr>
              <w:rPr>
                <w:sz w:val="2"/>
                <w:szCs w:val="2"/>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enhancement</w:t>
            </w:r>
          </w:p>
        </w:tc>
      </w:tr>
      <w:tr>
        <w:trPr>
          <w:trHeight w:val="218"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8" w:lineRule="exact"/>
              <w:ind w:left="108"/>
              <w:rPr>
                <w:i/>
                <w:sz w:val="20"/>
              </w:rPr>
            </w:pPr>
            <w:r>
              <w:rPr>
                <w:i/>
                <w:sz w:val="20"/>
              </w:rPr>
              <w:t>of waterfront areas,</w:t>
            </w:r>
          </w:p>
        </w:tc>
        <w:tc>
          <w:tcPr>
            <w:tcW w:w="2918" w:type="dxa"/>
            <w:vMerge/>
            <w:tcBorders>
              <w:top w:val="nil"/>
            </w:tcBorders>
            <w:shd w:val="clear" w:color="auto" w:fill="FFFF98"/>
          </w:tcPr>
          <w:p>
            <w:pPr>
              <w:rPr>
                <w:sz w:val="2"/>
                <w:szCs w:val="2"/>
              </w:rPr>
            </w:pPr>
          </w:p>
        </w:tc>
        <w:tc>
          <w:tcPr>
            <w:tcW w:w="801" w:type="dxa"/>
            <w:vMerge/>
            <w:tcBorders>
              <w:top w:val="nil"/>
            </w:tcBorders>
          </w:tcPr>
          <w:p>
            <w:pPr>
              <w:rPr>
                <w:sz w:val="2"/>
                <w:szCs w:val="2"/>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20"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200" w:lineRule="exact"/>
              <w:ind w:left="108"/>
              <w:rPr>
                <w:i/>
                <w:sz w:val="20"/>
              </w:rPr>
            </w:pPr>
            <w:r>
              <w:rPr>
                <w:i/>
                <w:sz w:val="20"/>
              </w:rPr>
              <w:t>management of invasive</w:t>
            </w:r>
          </w:p>
        </w:tc>
        <w:tc>
          <w:tcPr>
            <w:tcW w:w="2918" w:type="dxa"/>
            <w:vMerge/>
            <w:tcBorders>
              <w:top w:val="nil"/>
            </w:tcBorders>
            <w:shd w:val="clear" w:color="auto" w:fill="FFFF98"/>
          </w:tcPr>
          <w:p>
            <w:pPr>
              <w:rPr>
                <w:sz w:val="2"/>
                <w:szCs w:val="2"/>
              </w:rPr>
            </w:pPr>
          </w:p>
        </w:tc>
        <w:tc>
          <w:tcPr>
            <w:tcW w:w="801" w:type="dxa"/>
            <w:vMerge/>
            <w:tcBorders>
              <w:top w:val="nil"/>
            </w:tcBorders>
          </w:tcPr>
          <w:p>
            <w:pPr>
              <w:rPr>
                <w:sz w:val="2"/>
                <w:szCs w:val="2"/>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27" w:hRule="atLeast"/>
        </w:trPr>
        <w:tc>
          <w:tcPr>
            <w:tcW w:w="2846" w:type="dxa"/>
            <w:vMerge/>
            <w:tcBorders>
              <w:top w:val="nil"/>
            </w:tcBorders>
          </w:tcPr>
          <w:p>
            <w:pPr>
              <w:rPr>
                <w:sz w:val="2"/>
                <w:szCs w:val="2"/>
              </w:rPr>
            </w:pPr>
          </w:p>
        </w:tc>
        <w:tc>
          <w:tcPr>
            <w:tcW w:w="2416" w:type="dxa"/>
            <w:tcBorders>
              <w:top w:val="nil"/>
            </w:tcBorders>
          </w:tcPr>
          <w:p>
            <w:pPr>
              <w:pStyle w:val="TableParagraph"/>
              <w:spacing w:line="207" w:lineRule="exact"/>
              <w:ind w:left="108"/>
              <w:rPr>
                <w:i/>
                <w:sz w:val="20"/>
              </w:rPr>
            </w:pPr>
            <w:r>
              <w:rPr>
                <w:i/>
                <w:sz w:val="20"/>
              </w:rPr>
              <w:t>weeds).</w:t>
            </w:r>
          </w:p>
        </w:tc>
        <w:tc>
          <w:tcPr>
            <w:tcW w:w="2918" w:type="dxa"/>
            <w:vMerge/>
            <w:tcBorders>
              <w:top w:val="nil"/>
            </w:tcBorders>
            <w:shd w:val="clear" w:color="auto" w:fill="FFFF98"/>
          </w:tcPr>
          <w:p>
            <w:pPr>
              <w:rPr>
                <w:sz w:val="2"/>
                <w:szCs w:val="2"/>
              </w:rPr>
            </w:pPr>
          </w:p>
        </w:tc>
        <w:tc>
          <w:tcPr>
            <w:tcW w:w="801" w:type="dxa"/>
            <w:vMerge/>
            <w:tcBorders>
              <w:top w:val="nil"/>
            </w:tcBorders>
          </w:tcPr>
          <w:p>
            <w:pPr>
              <w:rPr>
                <w:sz w:val="2"/>
                <w:szCs w:val="2"/>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tcBorders>
          </w:tcPr>
          <w:p>
            <w:pPr>
              <w:pStyle w:val="TableParagraph"/>
              <w:rPr>
                <w:rFonts w:ascii="Times New Roman"/>
                <w:sz w:val="16"/>
              </w:rPr>
            </w:pPr>
          </w:p>
        </w:tc>
      </w:tr>
      <w:tr>
        <w:trPr>
          <w:trHeight w:val="2298"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ind w:left="108" w:right="84" w:hanging="1"/>
              <w:rPr>
                <w:i/>
                <w:sz w:val="20"/>
              </w:rPr>
            </w:pPr>
            <w:r>
              <w:rPr>
                <w:sz w:val="20"/>
              </w:rPr>
              <w:t>SA19: Flood risk </w:t>
            </w:r>
            <w:r>
              <w:rPr>
                <w:i/>
                <w:sz w:val="20"/>
              </w:rPr>
              <w:t>Flooding can be very costly to businesses if their premises flood.</w:t>
            </w:r>
          </w:p>
          <w:p>
            <w:pPr>
              <w:pStyle w:val="TableParagraph"/>
              <w:spacing w:before="5"/>
              <w:rPr>
                <w:sz w:val="19"/>
              </w:rPr>
            </w:pPr>
          </w:p>
          <w:p>
            <w:pPr>
              <w:pStyle w:val="TableParagraph"/>
              <w:spacing w:before="1"/>
              <w:ind w:left="108" w:right="84"/>
              <w:rPr>
                <w:i/>
                <w:sz w:val="20"/>
              </w:rPr>
            </w:pPr>
            <w:r>
              <w:rPr>
                <w:i/>
                <w:sz w:val="20"/>
              </w:rPr>
              <w:t>Flooding of transport infrastructure (roads, rail lines, etc) may also hinder business.</w:t>
            </w:r>
          </w:p>
        </w:tc>
        <w:tc>
          <w:tcPr>
            <w:tcW w:w="2918" w:type="dxa"/>
          </w:tcPr>
          <w:p>
            <w:pPr>
              <w:pStyle w:val="TableParagraph"/>
              <w:spacing w:line="242" w:lineRule="exact"/>
              <w:ind w:left="109"/>
              <w:rPr>
                <w:rFonts w:ascii="Symbol" w:hAnsi="Symbol"/>
                <w:sz w:val="20"/>
              </w:rPr>
            </w:pPr>
            <w:r>
              <w:rPr>
                <w:sz w:val="20"/>
              </w:rPr>
              <w:t>SA19: Flood risk</w:t>
            </w:r>
            <w:r>
              <w:rPr>
                <w:rFonts w:ascii="Symbol" w:hAnsi="Symbol"/>
                <w:sz w:val="20"/>
                <w:vertAlign w:val="superscript"/>
              </w:rPr>
              <w:t></w:t>
            </w:r>
          </w:p>
          <w:p>
            <w:pPr>
              <w:pStyle w:val="TableParagraph"/>
              <w:ind w:left="109" w:right="133"/>
              <w:rPr>
                <w:i/>
                <w:sz w:val="20"/>
              </w:rPr>
            </w:pPr>
            <w:r>
              <w:rPr>
                <w:i/>
                <w:sz w:val="20"/>
              </w:rPr>
              <w:t>How does the contribution to economic success affect local flood risk?</w:t>
            </w:r>
          </w:p>
        </w:tc>
        <w:tc>
          <w:tcPr>
            <w:tcW w:w="801" w:type="dxa"/>
          </w:tcPr>
          <w:p>
            <w:pPr>
              <w:pStyle w:val="TableParagraph"/>
              <w:rPr>
                <w:sz w:val="22"/>
              </w:rPr>
            </w:pPr>
          </w:p>
          <w:p>
            <w:pPr>
              <w:pStyle w:val="TableParagraph"/>
              <w:spacing w:before="9"/>
              <w:rPr>
                <w:sz w:val="17"/>
              </w:rPr>
            </w:pPr>
          </w:p>
          <w:p>
            <w:pPr>
              <w:pStyle w:val="TableParagraph"/>
              <w:ind w:left="89" w:right="74"/>
              <w:jc w:val="center"/>
              <w:rPr>
                <w:sz w:val="20"/>
              </w:rPr>
            </w:pPr>
            <w:r>
              <w:rPr>
                <w:color w:val="0000FF"/>
                <w:sz w:val="20"/>
              </w:rPr>
              <w:t>++</w:t>
            </w:r>
          </w:p>
        </w:tc>
        <w:tc>
          <w:tcPr>
            <w:tcW w:w="2104" w:type="dxa"/>
          </w:tcPr>
          <w:p>
            <w:pPr>
              <w:pStyle w:val="TableParagraph"/>
              <w:spacing w:before="6"/>
              <w:rPr>
                <w:sz w:val="19"/>
              </w:rPr>
            </w:pPr>
          </w:p>
          <w:p>
            <w:pPr>
              <w:pStyle w:val="TableParagraph"/>
              <w:ind w:left="110" w:right="129"/>
              <w:rPr>
                <w:sz w:val="20"/>
              </w:rPr>
            </w:pPr>
            <w:r>
              <w:rPr>
                <w:b/>
                <w:color w:val="0000FF"/>
                <w:sz w:val="20"/>
              </w:rPr>
              <w:t>Very positive </w:t>
            </w:r>
            <w:r>
              <w:rPr>
                <w:color w:val="0000FF"/>
                <w:sz w:val="20"/>
              </w:rPr>
              <w:t>– protects economic success through reduced flood risk and improved insurance chances</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spacing w:before="8"/>
              <w:rPr>
                <w:sz w:val="19"/>
              </w:rPr>
            </w:pPr>
          </w:p>
          <w:p>
            <w:pPr>
              <w:pStyle w:val="TableParagraph"/>
              <w:spacing w:before="1"/>
              <w:ind w:left="112" w:right="110"/>
              <w:rPr>
                <w:sz w:val="20"/>
              </w:rPr>
            </w:pPr>
            <w:r>
              <w:rPr>
                <w:color w:val="0000FF"/>
                <w:sz w:val="20"/>
              </w:rPr>
              <w:t>Ensure downstream flooding issues are</w:t>
            </w:r>
            <w:r>
              <w:rPr>
                <w:color w:val="0000FF"/>
                <w:spacing w:val="-8"/>
                <w:sz w:val="20"/>
              </w:rPr>
              <w:t> </w:t>
            </w:r>
            <w:r>
              <w:rPr>
                <w:color w:val="0000FF"/>
                <w:sz w:val="20"/>
              </w:rPr>
              <w:t>considered</w:t>
            </w:r>
          </w:p>
          <w:p>
            <w:pPr>
              <w:pStyle w:val="TableParagraph"/>
              <w:ind w:left="112" w:right="142"/>
              <w:rPr>
                <w:sz w:val="20"/>
              </w:rPr>
            </w:pPr>
            <w:r>
              <w:rPr>
                <w:color w:val="0000FF"/>
                <w:sz w:val="20"/>
              </w:rPr>
              <w:t>– ‘Catchment Cell</w:t>
            </w:r>
            <w:r>
              <w:rPr>
                <w:color w:val="0000FF"/>
                <w:spacing w:val="-9"/>
                <w:sz w:val="20"/>
              </w:rPr>
              <w:t> </w:t>
            </w:r>
            <w:r>
              <w:rPr>
                <w:color w:val="0000FF"/>
                <w:sz w:val="20"/>
              </w:rPr>
              <w:t>Approach’</w:t>
            </w:r>
          </w:p>
        </w:tc>
      </w:tr>
      <w:tr>
        <w:trPr>
          <w:trHeight w:val="224" w:hRule="atLeast"/>
        </w:trPr>
        <w:tc>
          <w:tcPr>
            <w:tcW w:w="2846" w:type="dxa"/>
            <w:tcBorders>
              <w:bottom w:val="nil"/>
            </w:tcBorders>
          </w:tcPr>
          <w:p>
            <w:pPr>
              <w:pStyle w:val="TableParagraph"/>
              <w:spacing w:line="205" w:lineRule="exact"/>
              <w:ind w:right="101"/>
              <w:jc w:val="right"/>
              <w:rPr>
                <w:sz w:val="20"/>
              </w:rPr>
            </w:pPr>
            <w:r>
              <w:rPr>
                <w:w w:val="95"/>
                <w:sz w:val="20"/>
              </w:rPr>
              <w:t>Downstream</w:t>
            </w:r>
          </w:p>
        </w:tc>
        <w:tc>
          <w:tcPr>
            <w:tcW w:w="2416" w:type="dxa"/>
            <w:tcBorders>
              <w:bottom w:val="nil"/>
            </w:tcBorders>
          </w:tcPr>
          <w:p>
            <w:pPr>
              <w:pStyle w:val="TableParagraph"/>
              <w:spacing w:line="205" w:lineRule="exact"/>
              <w:ind w:left="108"/>
              <w:rPr>
                <w:sz w:val="20"/>
              </w:rPr>
            </w:pPr>
            <w:r>
              <w:rPr>
                <w:sz w:val="20"/>
              </w:rPr>
              <w:t>SA20: Waste</w:t>
            </w:r>
          </w:p>
        </w:tc>
        <w:tc>
          <w:tcPr>
            <w:tcW w:w="2918" w:type="dxa"/>
            <w:vMerge w:val="restart"/>
          </w:tcPr>
          <w:p>
            <w:pPr>
              <w:pStyle w:val="TableParagraph"/>
              <w:spacing w:line="243" w:lineRule="exact"/>
              <w:ind w:left="109"/>
              <w:rPr>
                <w:rFonts w:ascii="Symbol" w:hAnsi="Symbol"/>
                <w:sz w:val="20"/>
              </w:rPr>
            </w:pPr>
            <w:r>
              <w:rPr>
                <w:sz w:val="20"/>
              </w:rPr>
              <w:t>SA20: Waste</w:t>
            </w:r>
            <w:r>
              <w:rPr>
                <w:rFonts w:ascii="Symbol" w:hAnsi="Symbol"/>
                <w:sz w:val="20"/>
                <w:vertAlign w:val="superscript"/>
              </w:rPr>
              <w:t></w:t>
            </w:r>
          </w:p>
          <w:p>
            <w:pPr>
              <w:pStyle w:val="TableParagraph"/>
              <w:ind w:left="109" w:right="244"/>
              <w:rPr>
                <w:i/>
                <w:sz w:val="20"/>
              </w:rPr>
            </w:pPr>
            <w:r>
              <w:rPr>
                <w:i/>
                <w:sz w:val="20"/>
              </w:rPr>
              <w:t>How does the contribution to economic success affect waste generation and management?</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Economic activity is</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1"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2" w:lineRule="exact"/>
              <w:ind w:left="108"/>
              <w:rPr>
                <w:i/>
                <w:sz w:val="20"/>
              </w:rPr>
            </w:pPr>
            <w:r>
              <w:rPr>
                <w:i/>
                <w:sz w:val="20"/>
              </w:rPr>
              <w:t>likely to stimulate</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2" w:lineRule="exact"/>
              <w:ind w:left="110"/>
              <w:rPr>
                <w:sz w:val="20"/>
              </w:rPr>
            </w:pPr>
            <w:r>
              <w:rPr>
                <w:color w:val="0000FF"/>
                <w:sz w:val="20"/>
              </w:rPr>
              <w:t>Flooding generates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production of waste</w:t>
            </w:r>
          </w:p>
        </w:tc>
        <w:tc>
          <w:tcPr>
            <w:tcW w:w="2918" w:type="dxa"/>
            <w:vMerge/>
            <w:tcBorders>
              <w:top w:val="nil"/>
            </w:tcBorders>
          </w:tcPr>
          <w:p>
            <w:pPr>
              <w:rPr>
                <w:sz w:val="2"/>
                <w:szCs w:val="2"/>
              </w:rPr>
            </w:pPr>
          </w:p>
        </w:tc>
        <w:tc>
          <w:tcPr>
            <w:tcW w:w="801" w:type="dxa"/>
            <w:tcBorders>
              <w:top w:val="nil"/>
              <w:bottom w:val="nil"/>
            </w:tcBorders>
          </w:tcPr>
          <w:p>
            <w:pPr>
              <w:pStyle w:val="TableParagraph"/>
              <w:spacing w:line="200" w:lineRule="exact"/>
              <w:ind w:left="14"/>
              <w:jc w:val="center"/>
              <w:rPr>
                <w:sz w:val="20"/>
              </w:rPr>
            </w:pPr>
            <w:r>
              <w:rPr>
                <w:color w:val="0000FF"/>
                <w:w w:val="99"/>
                <w:sz w:val="20"/>
              </w:rPr>
              <w:t>+</w:t>
            </w:r>
          </w:p>
        </w:tc>
        <w:tc>
          <w:tcPr>
            <w:tcW w:w="2104" w:type="dxa"/>
            <w:tcBorders>
              <w:top w:val="nil"/>
              <w:bottom w:val="nil"/>
            </w:tcBorders>
          </w:tcPr>
          <w:p>
            <w:pPr>
              <w:pStyle w:val="TableParagraph"/>
              <w:spacing w:line="200" w:lineRule="exact"/>
              <w:ind w:left="110"/>
              <w:rPr>
                <w:sz w:val="20"/>
              </w:rPr>
            </w:pPr>
            <w:r>
              <w:rPr>
                <w:color w:val="0000FF"/>
                <w:sz w:val="20"/>
              </w:rPr>
              <w:t>waste which needs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(industrial waste, office</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to be cleared up</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5"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6" w:lineRule="exact"/>
              <w:ind w:left="108"/>
              <w:rPr>
                <w:i/>
                <w:sz w:val="20"/>
              </w:rPr>
            </w:pPr>
            <w:r>
              <w:rPr>
                <w:i/>
                <w:sz w:val="20"/>
              </w:rPr>
              <w:t>waste etc)</w:t>
            </w:r>
          </w:p>
        </w:tc>
        <w:tc>
          <w:tcPr>
            <w:tcW w:w="2918" w:type="dxa"/>
            <w:vMerge/>
            <w:tcBorders>
              <w:top w:val="nil"/>
            </w:tcBorders>
          </w:tcPr>
          <w:p>
            <w:pPr>
              <w:rPr>
                <w:sz w:val="2"/>
                <w:szCs w:val="2"/>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4" w:hRule="atLeast"/>
        </w:trPr>
        <w:tc>
          <w:tcPr>
            <w:tcW w:w="2846" w:type="dxa"/>
            <w:tcBorders>
              <w:bottom w:val="nil"/>
            </w:tcBorders>
          </w:tcPr>
          <w:p>
            <w:pPr>
              <w:pStyle w:val="TableParagraph"/>
              <w:spacing w:line="205" w:lineRule="exact"/>
              <w:ind w:right="101"/>
              <w:jc w:val="right"/>
              <w:rPr>
                <w:sz w:val="20"/>
              </w:rPr>
            </w:pPr>
            <w:r>
              <w:rPr>
                <w:w w:val="95"/>
                <w:sz w:val="20"/>
              </w:rPr>
              <w:t>Downstream</w:t>
            </w:r>
          </w:p>
        </w:tc>
        <w:tc>
          <w:tcPr>
            <w:tcW w:w="2416" w:type="dxa"/>
            <w:tcBorders>
              <w:bottom w:val="nil"/>
            </w:tcBorders>
          </w:tcPr>
          <w:p>
            <w:pPr>
              <w:pStyle w:val="TableParagraph"/>
              <w:spacing w:line="205" w:lineRule="exact"/>
              <w:ind w:left="108"/>
              <w:rPr>
                <w:sz w:val="20"/>
              </w:rPr>
            </w:pPr>
            <w:r>
              <w:rPr>
                <w:sz w:val="20"/>
              </w:rPr>
              <w:t>SA21: Contaminated</w:t>
            </w:r>
          </w:p>
        </w:tc>
        <w:tc>
          <w:tcPr>
            <w:tcW w:w="2918" w:type="dxa"/>
            <w:vMerge w:val="restart"/>
            <w:shd w:val="clear" w:color="auto" w:fill="FFFF98"/>
          </w:tcPr>
          <w:p>
            <w:pPr>
              <w:pStyle w:val="TableParagraph"/>
              <w:spacing w:line="237" w:lineRule="auto" w:before="2"/>
              <w:ind w:left="109" w:right="244"/>
              <w:rPr>
                <w:i/>
                <w:sz w:val="20"/>
              </w:rPr>
            </w:pPr>
            <w:r>
              <w:rPr>
                <w:sz w:val="20"/>
              </w:rPr>
              <w:t>SA21: Contaminated land</w:t>
            </w:r>
            <w:r>
              <w:rPr>
                <w:rFonts w:ascii="Symbol" w:hAnsi="Symbol"/>
                <w:sz w:val="20"/>
                <w:vertAlign w:val="superscript"/>
              </w:rPr>
              <w:t></w:t>
            </w:r>
            <w:r>
              <w:rPr>
                <w:rFonts w:ascii="Times New Roman" w:hAnsi="Times New Roman"/>
                <w:sz w:val="20"/>
                <w:vertAlign w:val="baseline"/>
              </w:rPr>
              <w:t> </w:t>
            </w:r>
            <w:r>
              <w:rPr>
                <w:i/>
                <w:sz w:val="20"/>
                <w:vertAlign w:val="baseline"/>
              </w:rPr>
              <w:t>How does the contribution to economic success affect remediation of contaminated land?</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spacing w:line="205" w:lineRule="exact"/>
              <w:ind w:left="110"/>
              <w:rPr>
                <w:sz w:val="20"/>
              </w:rPr>
            </w:pPr>
            <w:r>
              <w:rPr>
                <w:color w:val="0000FF"/>
                <w:sz w:val="20"/>
              </w:rPr>
              <w:t>Marginal positive</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18"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8" w:lineRule="exact"/>
              <w:ind w:left="108"/>
              <w:rPr>
                <w:sz w:val="20"/>
              </w:rPr>
            </w:pPr>
            <w:r>
              <w:rPr>
                <w:sz w:val="20"/>
              </w:rPr>
              <w:t>land</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spacing w:line="198" w:lineRule="exact"/>
              <w:ind w:left="14"/>
              <w:jc w:val="center"/>
              <w:rPr>
                <w:sz w:val="20"/>
              </w:rPr>
            </w:pPr>
            <w:r>
              <w:rPr>
                <w:color w:val="0000FF"/>
                <w:w w:val="99"/>
                <w:sz w:val="20"/>
              </w:rPr>
              <w:t>+</w:t>
            </w:r>
          </w:p>
        </w:tc>
        <w:tc>
          <w:tcPr>
            <w:tcW w:w="2104" w:type="dxa"/>
            <w:tcBorders>
              <w:top w:val="nil"/>
              <w:bottom w:val="nil"/>
            </w:tcBorders>
          </w:tcPr>
          <w:p>
            <w:pPr>
              <w:pStyle w:val="TableParagraph"/>
              <w:spacing w:line="198" w:lineRule="exact"/>
              <w:ind w:left="110"/>
              <w:rPr>
                <w:sz w:val="20"/>
              </w:rPr>
            </w:pPr>
            <w:r>
              <w:rPr>
                <w:color w:val="0000FF"/>
                <w:sz w:val="20"/>
              </w:rPr>
              <w:t>impact – brings land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Economic activity can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back into use and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drive remediation to free</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allows new</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up land for</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development</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5"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6" w:lineRule="exact"/>
              <w:ind w:left="108"/>
              <w:rPr>
                <w:i/>
                <w:sz w:val="20"/>
              </w:rPr>
            </w:pPr>
            <w:r>
              <w:rPr>
                <w:i/>
                <w:sz w:val="20"/>
              </w:rPr>
              <w:t>development.</w:t>
            </w:r>
          </w:p>
        </w:tc>
        <w:tc>
          <w:tcPr>
            <w:tcW w:w="2918" w:type="dxa"/>
            <w:vMerge/>
            <w:tcBorders>
              <w:top w:val="nil"/>
            </w:tcBorders>
            <w:shd w:val="clear" w:color="auto" w:fill="FFFF98"/>
          </w:tcPr>
          <w:p>
            <w:pPr>
              <w:rPr>
                <w:sz w:val="2"/>
                <w:szCs w:val="2"/>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bl>
    <w:p>
      <w:pPr>
        <w:pStyle w:val="BodyText"/>
        <w:rPr>
          <w:sz w:val="20"/>
        </w:rPr>
      </w:pPr>
    </w:p>
    <w:p>
      <w:pPr>
        <w:pStyle w:val="BodyText"/>
        <w:spacing w:before="1"/>
      </w:pPr>
      <w:r>
        <w:rPr/>
        <w:pict>
          <v:line style="position:absolute;mso-position-horizontal-relative:page;mso-position-vertical-relative:paragraph;z-index:1496;mso-wrap-distance-left:0;mso-wrap-distance-right:0" from="72pt,15.560977pt" to="216.000005pt,15.560977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 Material</w:t>
      </w:r>
      <w:r>
        <w:rPr>
          <w:spacing w:val="-14"/>
          <w:sz w:val="20"/>
        </w:rPr>
        <w:t> </w:t>
      </w:r>
      <w:r>
        <w:rPr>
          <w:sz w:val="20"/>
        </w:rPr>
        <w:t>assets</w:t>
      </w:r>
    </w:p>
    <w:p>
      <w:pPr>
        <w:pStyle w:val="ListParagraph"/>
        <w:numPr>
          <w:ilvl w:val="0"/>
          <w:numId w:val="55"/>
        </w:numPr>
        <w:tabs>
          <w:tab w:pos="341" w:val="left" w:leader="none"/>
        </w:tabs>
        <w:spacing w:line="245" w:lineRule="exact" w:before="0" w:after="0"/>
        <w:ind w:left="340" w:right="0" w:hanging="120"/>
        <w:jc w:val="left"/>
        <w:rPr>
          <w:sz w:val="20"/>
        </w:rPr>
      </w:pPr>
      <w:r>
        <w:rPr>
          <w:sz w:val="20"/>
        </w:rPr>
        <w:t>SEA Directive: Material</w:t>
      </w:r>
      <w:r>
        <w:rPr>
          <w:spacing w:val="-14"/>
          <w:sz w:val="20"/>
        </w:rPr>
        <w:t> </w:t>
      </w:r>
      <w:r>
        <w:rPr>
          <w:sz w:val="20"/>
        </w:rPr>
        <w:t>assets</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w:t>
      </w:r>
      <w:r>
        <w:rPr>
          <w:spacing w:val="2"/>
          <w:sz w:val="20"/>
        </w:rPr>
        <w:t> </w:t>
      </w:r>
      <w:r>
        <w:rPr>
          <w:sz w:val="20"/>
        </w:rPr>
        <w:t>Soil</w:t>
      </w:r>
    </w:p>
    <w:p>
      <w:pPr>
        <w:spacing w:after="0" w:line="254" w:lineRule="exact"/>
        <w:jc w:val="left"/>
        <w:rPr>
          <w:sz w:val="20"/>
        </w:rPr>
        <w:sectPr>
          <w:pgSz w:w="16840" w:h="11910" w:orient="landscape"/>
          <w:pgMar w:header="0" w:footer="894" w:top="1100" w:bottom="102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1149" w:hRule="atLeast"/>
        </w:trPr>
        <w:tc>
          <w:tcPr>
            <w:tcW w:w="2846" w:type="dxa"/>
            <w:vMerge w:val="restart"/>
          </w:tcPr>
          <w:p>
            <w:pPr>
              <w:pStyle w:val="TableParagraph"/>
              <w:ind w:left="107" w:right="1142"/>
              <w:rPr>
                <w:b/>
                <w:sz w:val="20"/>
              </w:rPr>
            </w:pPr>
            <w:r>
              <w:rPr>
                <w:b/>
                <w:sz w:val="20"/>
              </w:rPr>
              <w:t>UPSTREAM SA2 EDUCATION</w:t>
            </w:r>
          </w:p>
          <w:p>
            <w:pPr>
              <w:pStyle w:val="TableParagraph"/>
              <w:ind w:left="107" w:right="115"/>
              <w:rPr>
                <w:i/>
                <w:sz w:val="20"/>
              </w:rPr>
            </w:pPr>
            <w:r>
              <w:rPr>
                <w:i/>
                <w:sz w:val="20"/>
              </w:rPr>
              <w:t>INCREASE PARTICIPATION IN EDUCATION AND LIFE- LONG LEARNING AND REDUCE THE DISPARITY IN PARTICIPATION AND QUALIFICATIONS ACHIEVED ACROSS LEEDS</w:t>
            </w:r>
          </w:p>
        </w:tc>
        <w:tc>
          <w:tcPr>
            <w:tcW w:w="2416" w:type="dxa"/>
            <w:vMerge w:val="restart"/>
          </w:tcPr>
          <w:p>
            <w:pPr>
              <w:pStyle w:val="TableParagraph"/>
              <w:rPr>
                <w:rFonts w:ascii="Times New Roman"/>
                <w:sz w:val="18"/>
              </w:rPr>
            </w:pPr>
          </w:p>
        </w:tc>
        <w:tc>
          <w:tcPr>
            <w:tcW w:w="2918" w:type="dxa"/>
          </w:tcPr>
          <w:p>
            <w:pPr>
              <w:pStyle w:val="TableParagraph"/>
              <w:spacing w:line="225" w:lineRule="exact"/>
              <w:ind w:left="109"/>
              <w:rPr>
                <w:b/>
                <w:sz w:val="20"/>
              </w:rPr>
            </w:pPr>
            <w:r>
              <w:rPr>
                <w:b/>
                <w:sz w:val="20"/>
              </w:rPr>
              <w:t>SA2:</w:t>
            </w:r>
            <w:r>
              <w:rPr>
                <w:b/>
                <w:spacing w:val="-9"/>
                <w:sz w:val="20"/>
              </w:rPr>
              <w:t> </w:t>
            </w:r>
            <w:r>
              <w:rPr>
                <w:b/>
                <w:sz w:val="20"/>
              </w:rPr>
              <w:t>EDUCATION</w:t>
            </w:r>
          </w:p>
          <w:p>
            <w:pPr>
              <w:pStyle w:val="TableParagraph"/>
              <w:ind w:left="109" w:right="146"/>
              <w:rPr>
                <w:i/>
                <w:sz w:val="20"/>
              </w:rPr>
            </w:pPr>
            <w:r>
              <w:rPr>
                <w:i/>
                <w:sz w:val="20"/>
              </w:rPr>
              <w:t>WILL IT RESULT IN INCREASED</w:t>
            </w:r>
            <w:r>
              <w:rPr>
                <w:i/>
                <w:spacing w:val="-12"/>
                <w:sz w:val="20"/>
              </w:rPr>
              <w:t> </w:t>
            </w:r>
            <w:r>
              <w:rPr>
                <w:i/>
                <w:sz w:val="20"/>
              </w:rPr>
              <w:t>EDUCATIONAL ATTAINMENT</w:t>
            </w:r>
            <w:r>
              <w:rPr>
                <w:i/>
                <w:spacing w:val="-1"/>
                <w:sz w:val="20"/>
              </w:rPr>
              <w:t> </w:t>
            </w:r>
            <w:r>
              <w:rPr>
                <w:i/>
                <w:sz w:val="20"/>
              </w:rPr>
              <w:t>BY:-</w:t>
            </w:r>
          </w:p>
        </w:tc>
        <w:tc>
          <w:tcPr>
            <w:tcW w:w="801"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9"/>
              </w:rPr>
            </w:pPr>
          </w:p>
          <w:p>
            <w:pPr>
              <w:pStyle w:val="TableParagraph"/>
              <w:ind w:left="14"/>
              <w:jc w:val="center"/>
              <w:rPr>
                <w:sz w:val="20"/>
              </w:rPr>
            </w:pPr>
            <w:r>
              <w:rPr>
                <w:color w:val="0000FF"/>
                <w:w w:val="99"/>
                <w:sz w:val="20"/>
              </w:rPr>
              <w:t>+</w:t>
            </w:r>
          </w:p>
          <w:p>
            <w:pPr>
              <w:pStyle w:val="TableParagraph"/>
              <w:rPr>
                <w:rFonts w:ascii="Times New Roman"/>
                <w:sz w:val="22"/>
              </w:rPr>
            </w:pPr>
          </w:p>
          <w:p>
            <w:pPr>
              <w:pStyle w:val="TableParagraph"/>
              <w:rPr>
                <w:rFonts w:ascii="Times New Roman"/>
                <w:sz w:val="22"/>
              </w:rPr>
            </w:pPr>
          </w:p>
          <w:p>
            <w:pPr>
              <w:pStyle w:val="TableParagraph"/>
              <w:spacing w:before="183"/>
              <w:ind w:left="13"/>
              <w:jc w:val="center"/>
              <w:rPr>
                <w:sz w:val="20"/>
              </w:rPr>
            </w:pPr>
            <w:r>
              <w:rPr>
                <w:color w:val="0000FF"/>
                <w:w w:val="99"/>
                <w:sz w:val="20"/>
              </w:rPr>
              <w:t>0</w:t>
            </w:r>
          </w:p>
          <w:p>
            <w:pPr>
              <w:pStyle w:val="TableParagraph"/>
              <w:rPr>
                <w:rFonts w:ascii="Times New Roman"/>
                <w:sz w:val="22"/>
              </w:rPr>
            </w:pPr>
          </w:p>
          <w:p>
            <w:pPr>
              <w:pStyle w:val="TableParagraph"/>
              <w:rPr>
                <w:rFonts w:ascii="Times New Roman"/>
                <w:sz w:val="22"/>
              </w:rPr>
            </w:pPr>
          </w:p>
          <w:p>
            <w:pPr>
              <w:pStyle w:val="TableParagraph"/>
              <w:spacing w:before="183"/>
              <w:ind w:left="13"/>
              <w:jc w:val="center"/>
              <w:rPr>
                <w:sz w:val="20"/>
              </w:rPr>
            </w:pPr>
            <w:r>
              <w:rPr>
                <w:color w:val="0000FF"/>
                <w:w w:val="99"/>
                <w:sz w:val="20"/>
              </w:rPr>
              <w:t>0</w:t>
            </w:r>
          </w:p>
        </w:tc>
        <w:tc>
          <w:tcPr>
            <w:tcW w:w="2104"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4"/>
              <w:ind w:left="110" w:right="294"/>
              <w:jc w:val="both"/>
              <w:rPr>
                <w:sz w:val="20"/>
              </w:rPr>
            </w:pPr>
            <w:r>
              <w:rPr>
                <w:color w:val="0000FF"/>
                <w:sz w:val="20"/>
              </w:rPr>
              <w:t>Objectives 3 and 4 relate to increasing awareness of flood risk</w:t>
            </w:r>
          </w:p>
          <w:p>
            <w:pPr>
              <w:pStyle w:val="TableParagraph"/>
              <w:rPr>
                <w:rFonts w:ascii="Times New Roman"/>
                <w:sz w:val="22"/>
              </w:rPr>
            </w:pPr>
          </w:p>
          <w:p>
            <w:pPr>
              <w:pStyle w:val="TableParagraph"/>
              <w:rPr>
                <w:rFonts w:ascii="Times New Roman"/>
                <w:sz w:val="18"/>
              </w:rPr>
            </w:pPr>
          </w:p>
          <w:p>
            <w:pPr>
              <w:pStyle w:val="TableParagraph"/>
              <w:spacing w:before="1"/>
              <w:ind w:left="110"/>
              <w:jc w:val="both"/>
              <w:rPr>
                <w:sz w:val="20"/>
              </w:rPr>
            </w:pPr>
            <w:r>
              <w:rPr>
                <w:color w:val="0000FF"/>
                <w:sz w:val="20"/>
              </w:rPr>
              <w:t>Neutral</w:t>
            </w:r>
            <w:r>
              <w:rPr>
                <w:color w:val="0000FF"/>
                <w:spacing w:val="-11"/>
                <w:sz w:val="20"/>
              </w:rPr>
              <w:t> </w:t>
            </w:r>
            <w:r>
              <w:rPr>
                <w:color w:val="0000FF"/>
                <w:sz w:val="20"/>
              </w:rPr>
              <w:t>Impact</w:t>
            </w:r>
          </w:p>
          <w:p>
            <w:pPr>
              <w:pStyle w:val="TableParagraph"/>
              <w:rPr>
                <w:rFonts w:ascii="Times New Roman"/>
                <w:sz w:val="22"/>
              </w:rPr>
            </w:pPr>
          </w:p>
          <w:p>
            <w:pPr>
              <w:pStyle w:val="TableParagraph"/>
              <w:rPr>
                <w:rFonts w:ascii="Times New Roman"/>
                <w:sz w:val="22"/>
              </w:rPr>
            </w:pPr>
          </w:p>
          <w:p>
            <w:pPr>
              <w:pStyle w:val="TableParagraph"/>
              <w:spacing w:before="183"/>
              <w:ind w:left="110"/>
              <w:jc w:val="both"/>
              <w:rPr>
                <w:sz w:val="20"/>
              </w:rPr>
            </w:pPr>
            <w:r>
              <w:rPr>
                <w:color w:val="0000FF"/>
                <w:sz w:val="20"/>
              </w:rPr>
              <w:t>Neutral</w:t>
            </w:r>
            <w:r>
              <w:rPr>
                <w:color w:val="0000FF"/>
                <w:spacing w:val="-11"/>
                <w:sz w:val="20"/>
              </w:rPr>
              <w:t> </w:t>
            </w:r>
            <w:r>
              <w:rPr>
                <w:color w:val="0000FF"/>
                <w:sz w:val="20"/>
              </w:rPr>
              <w:t>Impact</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918"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shd w:val="clear" w:color="auto" w:fill="CCFFCC"/>
          </w:tcPr>
          <w:p>
            <w:pPr>
              <w:pStyle w:val="TableParagraph"/>
              <w:ind w:left="109" w:right="320"/>
              <w:rPr>
                <w:i/>
                <w:sz w:val="20"/>
              </w:rPr>
            </w:pPr>
            <w:r>
              <w:rPr>
                <w:i/>
                <w:sz w:val="20"/>
              </w:rPr>
              <w:t>A) PROVIDING EDUCATIONAL </w:t>
            </w:r>
            <w:r>
              <w:rPr>
                <w:i/>
                <w:w w:val="95"/>
                <w:sz w:val="20"/>
              </w:rPr>
              <w:t>OPPORTUNITIES?</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921"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shd w:val="clear" w:color="auto" w:fill="CCFFCC"/>
          </w:tcPr>
          <w:p>
            <w:pPr>
              <w:pStyle w:val="TableParagraph"/>
              <w:ind w:left="109" w:right="320"/>
              <w:rPr>
                <w:i/>
                <w:sz w:val="20"/>
              </w:rPr>
            </w:pPr>
            <w:r>
              <w:rPr>
                <w:i/>
                <w:sz w:val="20"/>
              </w:rPr>
              <w:t>B) PROVIDING LIFELONG LEARNING OPPORTUNITIES?</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918"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shd w:val="clear" w:color="auto" w:fill="CCFFCC"/>
          </w:tcPr>
          <w:p>
            <w:pPr>
              <w:pStyle w:val="TableParagraph"/>
              <w:ind w:left="109"/>
              <w:rPr>
                <w:i/>
                <w:sz w:val="20"/>
              </w:rPr>
            </w:pPr>
            <w:r>
              <w:rPr>
                <w:i/>
                <w:sz w:val="20"/>
              </w:rPr>
              <w:t>C) INCREASING PARTICIPATION RATES IN</w:t>
            </w:r>
          </w:p>
          <w:p>
            <w:pPr>
              <w:pStyle w:val="TableParagraph"/>
              <w:spacing w:line="228" w:lineRule="exact"/>
              <w:ind w:left="109" w:right="1123"/>
              <w:rPr>
                <w:i/>
                <w:sz w:val="20"/>
              </w:rPr>
            </w:pPr>
            <w:r>
              <w:rPr>
                <w:i/>
                <w:sz w:val="20"/>
              </w:rPr>
              <w:t>EDUCATION AND TRAINING?</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990" w:hRule="atLeast"/>
        </w:trPr>
        <w:tc>
          <w:tcPr>
            <w:tcW w:w="2846" w:type="dxa"/>
          </w:tcPr>
          <w:p>
            <w:pPr>
              <w:pStyle w:val="TableParagraph"/>
              <w:spacing w:line="227" w:lineRule="exact"/>
              <w:ind w:right="101"/>
              <w:jc w:val="right"/>
              <w:rPr>
                <w:sz w:val="20"/>
              </w:rPr>
            </w:pPr>
            <w:r>
              <w:rPr>
                <w:w w:val="95"/>
                <w:sz w:val="20"/>
              </w:rPr>
              <w:t>Midstream</w:t>
            </w:r>
          </w:p>
        </w:tc>
        <w:tc>
          <w:tcPr>
            <w:tcW w:w="2416" w:type="dxa"/>
          </w:tcPr>
          <w:p>
            <w:pPr>
              <w:pStyle w:val="TableParagraph"/>
              <w:ind w:left="108"/>
              <w:rPr>
                <w:i/>
                <w:sz w:val="20"/>
              </w:rPr>
            </w:pPr>
            <w:r>
              <w:rPr>
                <w:sz w:val="20"/>
              </w:rPr>
              <w:t>SA9: Mixed neighbourhoods </w:t>
            </w:r>
            <w:r>
              <w:rPr>
                <w:i/>
                <w:sz w:val="20"/>
              </w:rPr>
              <w:t>Education can increase understanding between communities.</w:t>
            </w:r>
          </w:p>
          <w:p>
            <w:pPr>
              <w:pStyle w:val="TableParagraph"/>
              <w:spacing w:before="6"/>
              <w:rPr>
                <w:rFonts w:ascii="Times New Roman"/>
                <w:sz w:val="19"/>
              </w:rPr>
            </w:pPr>
          </w:p>
          <w:p>
            <w:pPr>
              <w:pStyle w:val="TableParagraph"/>
              <w:ind w:left="108" w:right="84"/>
              <w:rPr>
                <w:i/>
                <w:sz w:val="20"/>
              </w:rPr>
            </w:pPr>
            <w:r>
              <w:rPr>
                <w:i/>
                <w:sz w:val="20"/>
              </w:rPr>
              <w:t>Education can sometimes divide communities were there is a disparity in opportunities available</w:t>
            </w:r>
          </w:p>
          <w:p>
            <w:pPr>
              <w:pStyle w:val="TableParagraph"/>
              <w:spacing w:line="228" w:lineRule="exact" w:before="7"/>
              <w:ind w:left="108" w:right="410"/>
              <w:rPr>
                <w:i/>
                <w:sz w:val="20"/>
              </w:rPr>
            </w:pPr>
            <w:r>
              <w:rPr>
                <w:i/>
                <w:sz w:val="20"/>
              </w:rPr>
              <w:t>to different sectors of the community.</w:t>
            </w:r>
          </w:p>
        </w:tc>
        <w:tc>
          <w:tcPr>
            <w:tcW w:w="2918" w:type="dxa"/>
          </w:tcPr>
          <w:p>
            <w:pPr>
              <w:pStyle w:val="TableParagraph"/>
              <w:ind w:left="109" w:right="244"/>
              <w:rPr>
                <w:i/>
                <w:sz w:val="20"/>
              </w:rPr>
            </w:pPr>
            <w:r>
              <w:rPr>
                <w:sz w:val="20"/>
              </w:rPr>
              <w:t>SA9: Mixed neighbourhoods </w:t>
            </w:r>
            <w:r>
              <w:rPr>
                <w:i/>
                <w:sz w:val="20"/>
              </w:rPr>
              <w:t>How does the contribution to education affect neighbourhood relations?</w:t>
            </w:r>
          </w:p>
        </w:tc>
        <w:tc>
          <w:tcPr>
            <w:tcW w:w="801" w:type="dxa"/>
          </w:tcPr>
          <w:p>
            <w:pPr>
              <w:pStyle w:val="TableParagraph"/>
              <w:rPr>
                <w:rFonts w:ascii="Times New Roman"/>
                <w:sz w:val="22"/>
              </w:rPr>
            </w:pPr>
          </w:p>
          <w:p>
            <w:pPr>
              <w:pStyle w:val="TableParagraph"/>
              <w:rPr>
                <w:rFonts w:ascii="Times New Roman"/>
                <w:sz w:val="22"/>
              </w:rPr>
            </w:pPr>
          </w:p>
          <w:p>
            <w:pPr>
              <w:pStyle w:val="TableParagraph"/>
              <w:spacing w:before="182"/>
              <w:ind w:left="14"/>
              <w:jc w:val="center"/>
              <w:rPr>
                <w:sz w:val="20"/>
              </w:rPr>
            </w:pPr>
            <w:r>
              <w:rPr>
                <w:color w:val="0000FF"/>
                <w:w w:val="99"/>
                <w:sz w:val="20"/>
              </w:rPr>
              <w:t>+</w:t>
            </w:r>
          </w:p>
        </w:tc>
        <w:tc>
          <w:tcPr>
            <w:tcW w:w="2104" w:type="dxa"/>
          </w:tcPr>
          <w:p>
            <w:pPr>
              <w:pStyle w:val="TableParagraph"/>
              <w:spacing w:before="8"/>
              <w:rPr>
                <w:rFonts w:ascii="Times New Roman"/>
                <w:sz w:val="19"/>
              </w:rPr>
            </w:pPr>
          </w:p>
          <w:p>
            <w:pPr>
              <w:pStyle w:val="TableParagraph"/>
              <w:spacing w:before="1"/>
              <w:ind w:left="110" w:right="229"/>
              <w:rPr>
                <w:sz w:val="20"/>
              </w:rPr>
            </w:pPr>
            <w:r>
              <w:rPr>
                <w:color w:val="0000FF"/>
                <w:sz w:val="20"/>
              </w:rPr>
              <w:t>Encourages community to work together e.g. flood action groups &amp; Property level protection schemes</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460" w:hRule="atLeast"/>
        </w:trPr>
        <w:tc>
          <w:tcPr>
            <w:tcW w:w="2846" w:type="dxa"/>
          </w:tcPr>
          <w:p>
            <w:pPr>
              <w:pStyle w:val="TableParagraph"/>
              <w:spacing w:line="227" w:lineRule="exact"/>
              <w:ind w:right="101"/>
              <w:jc w:val="right"/>
              <w:rPr>
                <w:sz w:val="20"/>
              </w:rPr>
            </w:pPr>
            <w:r>
              <w:rPr>
                <w:w w:val="95"/>
                <w:sz w:val="20"/>
              </w:rPr>
              <w:t>Midstream</w:t>
            </w:r>
          </w:p>
        </w:tc>
        <w:tc>
          <w:tcPr>
            <w:tcW w:w="2416" w:type="dxa"/>
          </w:tcPr>
          <w:p>
            <w:pPr>
              <w:pStyle w:val="TableParagraph"/>
              <w:spacing w:line="230" w:lineRule="exact"/>
              <w:ind w:left="108" w:right="299"/>
              <w:rPr>
                <w:sz w:val="20"/>
              </w:rPr>
            </w:pPr>
            <w:r>
              <w:rPr>
                <w:sz w:val="20"/>
              </w:rPr>
              <w:t>SA10: Social inclusion and community</w:t>
            </w:r>
          </w:p>
        </w:tc>
        <w:tc>
          <w:tcPr>
            <w:tcW w:w="2918" w:type="dxa"/>
            <w:shd w:val="clear" w:color="auto" w:fill="CCFFCC"/>
          </w:tcPr>
          <w:p>
            <w:pPr>
              <w:pStyle w:val="TableParagraph"/>
              <w:spacing w:line="230" w:lineRule="exact"/>
              <w:ind w:left="109"/>
              <w:rPr>
                <w:sz w:val="20"/>
              </w:rPr>
            </w:pPr>
            <w:r>
              <w:rPr>
                <w:sz w:val="20"/>
              </w:rPr>
              <w:t>SA10: Social inclusion and community empowerment</w:t>
            </w:r>
          </w:p>
        </w:tc>
        <w:tc>
          <w:tcPr>
            <w:tcW w:w="801" w:type="dxa"/>
          </w:tcPr>
          <w:p>
            <w:pPr>
              <w:pStyle w:val="TableParagraph"/>
              <w:rPr>
                <w:rFonts w:ascii="Times New Roman"/>
                <w:sz w:val="18"/>
              </w:rPr>
            </w:pPr>
          </w:p>
        </w:tc>
        <w:tc>
          <w:tcPr>
            <w:tcW w:w="2104" w:type="dxa"/>
          </w:tcPr>
          <w:p>
            <w:pPr>
              <w:pStyle w:val="TableParagraph"/>
              <w:rPr>
                <w:rFonts w:ascii="Times New Roman"/>
                <w:sz w:val="18"/>
              </w:rPr>
            </w:pP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spacing w:before="8"/>
              <w:rPr>
                <w:rFonts w:ascii="Times New Roman"/>
                <w:sz w:val="19"/>
              </w:rPr>
            </w:pPr>
          </w:p>
          <w:p>
            <w:pPr>
              <w:pStyle w:val="TableParagraph"/>
              <w:spacing w:line="213" w:lineRule="exact" w:before="1"/>
              <w:ind w:left="112"/>
              <w:rPr>
                <w:sz w:val="20"/>
              </w:rPr>
            </w:pPr>
            <w:r>
              <w:rPr>
                <w:color w:val="0000FF"/>
                <w:sz w:val="20"/>
              </w:rPr>
              <w:t>Strengthen</w:t>
            </w:r>
          </w:p>
        </w:tc>
      </w:tr>
    </w:tbl>
    <w:p>
      <w:pPr>
        <w:spacing w:after="0" w:line="213" w:lineRule="exact"/>
        <w:rPr>
          <w:sz w:val="20"/>
        </w:rPr>
        <w:sectPr>
          <w:pgSz w:w="16840" w:h="11910" w:orient="landscape"/>
          <w:pgMar w:header="0" w:footer="814" w:top="1100" w:bottom="100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224" w:hRule="atLeast"/>
        </w:trPr>
        <w:tc>
          <w:tcPr>
            <w:tcW w:w="2846" w:type="dxa"/>
            <w:vMerge w:val="restart"/>
          </w:tcPr>
          <w:p>
            <w:pPr>
              <w:pStyle w:val="TableParagraph"/>
              <w:rPr>
                <w:rFonts w:ascii="Times New Roman"/>
                <w:sz w:val="18"/>
              </w:rPr>
            </w:pPr>
          </w:p>
        </w:tc>
        <w:tc>
          <w:tcPr>
            <w:tcW w:w="2416" w:type="dxa"/>
            <w:tcBorders>
              <w:bottom w:val="nil"/>
            </w:tcBorders>
          </w:tcPr>
          <w:p>
            <w:pPr>
              <w:pStyle w:val="TableParagraph"/>
              <w:spacing w:line="205" w:lineRule="exact"/>
              <w:ind w:left="108"/>
              <w:rPr>
                <w:sz w:val="20"/>
              </w:rPr>
            </w:pPr>
            <w:r>
              <w:rPr>
                <w:sz w:val="20"/>
              </w:rPr>
              <w:t>empowerment</w:t>
            </w:r>
          </w:p>
        </w:tc>
        <w:tc>
          <w:tcPr>
            <w:tcW w:w="2918" w:type="dxa"/>
            <w:tcBorders>
              <w:bottom w:val="nil"/>
            </w:tcBorders>
            <w:shd w:val="clear" w:color="auto" w:fill="CCFFCC"/>
          </w:tcPr>
          <w:p>
            <w:pPr>
              <w:pStyle w:val="TableParagraph"/>
              <w:spacing w:line="205" w:lineRule="exact"/>
              <w:ind w:left="109"/>
              <w:rPr>
                <w:i/>
                <w:sz w:val="20"/>
              </w:rPr>
            </w:pPr>
            <w:r>
              <w:rPr>
                <w:i/>
                <w:sz w:val="20"/>
              </w:rPr>
              <w:t>How does the contribution to</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spacing w:line="205" w:lineRule="exact"/>
              <w:ind w:left="110"/>
              <w:rPr>
                <w:sz w:val="20"/>
              </w:rPr>
            </w:pPr>
            <w:r>
              <w:rPr>
                <w:color w:val="0000FF"/>
                <w:sz w:val="20"/>
              </w:rPr>
              <w:t>Flood Action Groups</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tcBorders>
              <w:bottom w:val="nil"/>
            </w:tcBorders>
          </w:tcPr>
          <w:p>
            <w:pPr>
              <w:pStyle w:val="TableParagraph"/>
              <w:spacing w:line="205" w:lineRule="exact"/>
              <w:ind w:left="112"/>
              <w:rPr>
                <w:sz w:val="20"/>
              </w:rPr>
            </w:pPr>
            <w:r>
              <w:rPr>
                <w:color w:val="0000FF"/>
                <w:sz w:val="20"/>
              </w:rPr>
              <w:t>objective 4 to</w:t>
            </w:r>
          </w:p>
        </w:tc>
      </w:tr>
      <w:tr>
        <w:trPr>
          <w:trHeight w:val="219"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9" w:lineRule="exact"/>
              <w:ind w:left="108"/>
              <w:rPr>
                <w:i/>
                <w:sz w:val="20"/>
              </w:rPr>
            </w:pPr>
            <w:r>
              <w:rPr>
                <w:i/>
                <w:sz w:val="20"/>
              </w:rPr>
              <w:t>Education can increase</w:t>
            </w:r>
          </w:p>
        </w:tc>
        <w:tc>
          <w:tcPr>
            <w:tcW w:w="2918" w:type="dxa"/>
            <w:tcBorders>
              <w:top w:val="nil"/>
              <w:bottom w:val="nil"/>
            </w:tcBorders>
            <w:shd w:val="clear" w:color="auto" w:fill="CCFFCC"/>
          </w:tcPr>
          <w:p>
            <w:pPr>
              <w:pStyle w:val="TableParagraph"/>
              <w:spacing w:line="199" w:lineRule="exact"/>
              <w:ind w:left="109"/>
              <w:rPr>
                <w:i/>
                <w:sz w:val="20"/>
              </w:rPr>
            </w:pPr>
            <w:r>
              <w:rPr>
                <w:i/>
                <w:sz w:val="20"/>
              </w:rPr>
              <w:t>education affect social</w:t>
            </w:r>
          </w:p>
        </w:tc>
        <w:tc>
          <w:tcPr>
            <w:tcW w:w="801" w:type="dxa"/>
            <w:tcBorders>
              <w:top w:val="nil"/>
              <w:bottom w:val="nil"/>
            </w:tcBorders>
          </w:tcPr>
          <w:p>
            <w:pPr>
              <w:pStyle w:val="TableParagraph"/>
              <w:spacing w:line="199" w:lineRule="exact"/>
              <w:ind w:left="14"/>
              <w:jc w:val="center"/>
              <w:rPr>
                <w:sz w:val="20"/>
              </w:rPr>
            </w:pPr>
            <w:r>
              <w:rPr>
                <w:color w:val="0000FF"/>
                <w:w w:val="99"/>
                <w:sz w:val="20"/>
              </w:rPr>
              <w:t>+</w:t>
            </w:r>
          </w:p>
        </w:tc>
        <w:tc>
          <w:tcPr>
            <w:tcW w:w="2104" w:type="dxa"/>
            <w:tcBorders>
              <w:top w:val="nil"/>
              <w:bottom w:val="nil"/>
            </w:tcBorders>
          </w:tcPr>
          <w:p>
            <w:pPr>
              <w:pStyle w:val="TableParagraph"/>
              <w:spacing w:line="199" w:lineRule="exact"/>
              <w:ind w:left="110"/>
              <w:rPr>
                <w:sz w:val="20"/>
              </w:rPr>
            </w:pPr>
            <w:r>
              <w:rPr>
                <w:color w:val="0000FF"/>
                <w:sz w:val="20"/>
              </w:rPr>
              <w:t>promote social</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promote social</w:t>
            </w:r>
          </w:p>
        </w:tc>
      </w:tr>
      <w:tr>
        <w:trPr>
          <w:trHeight w:val="219"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9" w:lineRule="exact"/>
              <w:ind w:left="108"/>
              <w:rPr>
                <w:i/>
                <w:sz w:val="20"/>
              </w:rPr>
            </w:pPr>
            <w:r>
              <w:rPr>
                <w:i/>
                <w:sz w:val="20"/>
              </w:rPr>
              <w:t>community participation</w:t>
            </w:r>
          </w:p>
        </w:tc>
        <w:tc>
          <w:tcPr>
            <w:tcW w:w="2918" w:type="dxa"/>
            <w:tcBorders>
              <w:top w:val="nil"/>
              <w:bottom w:val="nil"/>
            </w:tcBorders>
            <w:shd w:val="clear" w:color="auto" w:fill="CCFFCC"/>
          </w:tcPr>
          <w:p>
            <w:pPr>
              <w:pStyle w:val="TableParagraph"/>
              <w:spacing w:line="199" w:lineRule="exact"/>
              <w:ind w:left="109"/>
              <w:rPr>
                <w:i/>
                <w:sz w:val="20"/>
              </w:rPr>
            </w:pPr>
            <w:r>
              <w:rPr>
                <w:i/>
                <w:sz w:val="20"/>
              </w:rPr>
              <w:t>inclusion and community</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inclusion</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inclusion as</w:t>
            </w:r>
          </w:p>
        </w:tc>
      </w:tr>
      <w:tr>
        <w:trPr>
          <w:trHeight w:val="220"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200" w:lineRule="exact"/>
              <w:ind w:left="108"/>
              <w:rPr>
                <w:i/>
                <w:sz w:val="20"/>
              </w:rPr>
            </w:pPr>
            <w:r>
              <w:rPr>
                <w:i/>
                <w:sz w:val="20"/>
              </w:rPr>
              <w:t>and integration among</w:t>
            </w:r>
          </w:p>
        </w:tc>
        <w:tc>
          <w:tcPr>
            <w:tcW w:w="2918" w:type="dxa"/>
            <w:tcBorders>
              <w:top w:val="nil"/>
              <w:bottom w:val="nil"/>
            </w:tcBorders>
            <w:shd w:val="clear" w:color="auto" w:fill="CCFFCC"/>
          </w:tcPr>
          <w:p>
            <w:pPr>
              <w:pStyle w:val="TableParagraph"/>
              <w:spacing w:line="200" w:lineRule="exact"/>
              <w:ind w:left="109"/>
              <w:rPr>
                <w:i/>
                <w:sz w:val="20"/>
              </w:rPr>
            </w:pPr>
            <w:r>
              <w:rPr>
                <w:i/>
                <w:sz w:val="20"/>
              </w:rPr>
              <w:t>empowerment?</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well as</w:t>
            </w:r>
          </w:p>
        </w:tc>
      </w:tr>
      <w:tr>
        <w:trPr>
          <w:trHeight w:val="220"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200" w:lineRule="exact"/>
              <w:ind w:left="108"/>
              <w:rPr>
                <w:i/>
                <w:sz w:val="20"/>
              </w:rPr>
            </w:pPr>
            <w:r>
              <w:rPr>
                <w:i/>
                <w:sz w:val="20"/>
              </w:rPr>
              <w:t>different sections of</w:t>
            </w:r>
          </w:p>
        </w:tc>
        <w:tc>
          <w:tcPr>
            <w:tcW w:w="2918" w:type="dxa"/>
            <w:tcBorders>
              <w:top w:val="nil"/>
              <w:bottom w:val="nil"/>
            </w:tcBorders>
            <w:shd w:val="clear" w:color="auto" w:fill="CCFFCC"/>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awareness</w:t>
            </w:r>
          </w:p>
        </w:tc>
      </w:tr>
      <w:tr>
        <w:trPr>
          <w:trHeight w:val="225" w:hRule="atLeast"/>
        </w:trPr>
        <w:tc>
          <w:tcPr>
            <w:tcW w:w="2846" w:type="dxa"/>
            <w:vMerge/>
            <w:tcBorders>
              <w:top w:val="nil"/>
            </w:tcBorders>
          </w:tcPr>
          <w:p>
            <w:pPr>
              <w:rPr>
                <w:sz w:val="2"/>
                <w:szCs w:val="2"/>
              </w:rPr>
            </w:pPr>
          </w:p>
        </w:tc>
        <w:tc>
          <w:tcPr>
            <w:tcW w:w="2416" w:type="dxa"/>
            <w:tcBorders>
              <w:top w:val="nil"/>
            </w:tcBorders>
          </w:tcPr>
          <w:p>
            <w:pPr>
              <w:pStyle w:val="TableParagraph"/>
              <w:spacing w:line="206" w:lineRule="exact"/>
              <w:ind w:left="108"/>
              <w:rPr>
                <w:i/>
                <w:sz w:val="20"/>
              </w:rPr>
            </w:pPr>
            <w:r>
              <w:rPr>
                <w:i/>
                <w:sz w:val="20"/>
              </w:rPr>
              <w:t>society</w:t>
            </w:r>
          </w:p>
        </w:tc>
        <w:tc>
          <w:tcPr>
            <w:tcW w:w="2918" w:type="dxa"/>
            <w:tcBorders>
              <w:top w:val="nil"/>
            </w:tcBorders>
            <w:shd w:val="clear" w:color="auto" w:fill="CCFFCC"/>
          </w:tcPr>
          <w:p>
            <w:pPr>
              <w:pStyle w:val="TableParagraph"/>
              <w:rPr>
                <w:rFonts w:ascii="Times New Roman"/>
                <w:sz w:val="16"/>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tcBorders>
          </w:tcPr>
          <w:p>
            <w:pPr>
              <w:pStyle w:val="TableParagraph"/>
              <w:spacing w:line="206" w:lineRule="exact"/>
              <w:ind w:left="112"/>
              <w:rPr>
                <w:sz w:val="20"/>
              </w:rPr>
            </w:pPr>
            <w:r>
              <w:rPr>
                <w:color w:val="0000FF"/>
                <w:sz w:val="20"/>
              </w:rPr>
              <w:t>raising</w:t>
            </w:r>
          </w:p>
        </w:tc>
      </w:tr>
      <w:tr>
        <w:trPr>
          <w:trHeight w:val="225" w:hRule="atLeast"/>
        </w:trPr>
        <w:tc>
          <w:tcPr>
            <w:tcW w:w="2846" w:type="dxa"/>
            <w:tcBorders>
              <w:bottom w:val="nil"/>
            </w:tcBorders>
          </w:tcPr>
          <w:p>
            <w:pPr>
              <w:pStyle w:val="TableParagraph"/>
              <w:spacing w:line="206" w:lineRule="exact"/>
              <w:ind w:right="101"/>
              <w:jc w:val="right"/>
              <w:rPr>
                <w:sz w:val="20"/>
              </w:rPr>
            </w:pPr>
            <w:r>
              <w:rPr>
                <w:w w:val="95"/>
                <w:sz w:val="20"/>
              </w:rPr>
              <w:t>Downstream</w:t>
            </w:r>
          </w:p>
        </w:tc>
        <w:tc>
          <w:tcPr>
            <w:tcW w:w="2416" w:type="dxa"/>
            <w:tcBorders>
              <w:bottom w:val="nil"/>
            </w:tcBorders>
          </w:tcPr>
          <w:p>
            <w:pPr>
              <w:pStyle w:val="TableParagraph"/>
              <w:spacing w:line="206" w:lineRule="exact"/>
              <w:ind w:left="108"/>
              <w:rPr>
                <w:sz w:val="20"/>
              </w:rPr>
            </w:pPr>
            <w:r>
              <w:rPr>
                <w:sz w:val="20"/>
              </w:rPr>
              <w:t>SA13: Employment</w:t>
            </w:r>
          </w:p>
        </w:tc>
        <w:tc>
          <w:tcPr>
            <w:tcW w:w="2918" w:type="dxa"/>
            <w:tcBorders>
              <w:bottom w:val="nil"/>
            </w:tcBorders>
            <w:shd w:val="clear" w:color="auto" w:fill="FFFF98"/>
          </w:tcPr>
          <w:p>
            <w:pPr>
              <w:pStyle w:val="TableParagraph"/>
              <w:spacing w:line="206" w:lineRule="exact"/>
              <w:ind w:left="109"/>
              <w:rPr>
                <w:sz w:val="20"/>
              </w:rPr>
            </w:pPr>
            <w:r>
              <w:rPr>
                <w:sz w:val="20"/>
              </w:rPr>
              <w:t>SA13: Employment</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sz w:val="20"/>
              </w:rPr>
            </w:pPr>
            <w:r>
              <w:rPr>
                <w:sz w:val="20"/>
              </w:rPr>
              <w:t>opportunities</w:t>
            </w:r>
          </w:p>
        </w:tc>
        <w:tc>
          <w:tcPr>
            <w:tcW w:w="2918" w:type="dxa"/>
            <w:tcBorders>
              <w:top w:val="nil"/>
              <w:bottom w:val="nil"/>
            </w:tcBorders>
            <w:shd w:val="clear" w:color="auto" w:fill="FFFF98"/>
          </w:tcPr>
          <w:p>
            <w:pPr>
              <w:pStyle w:val="TableParagraph"/>
              <w:spacing w:line="199" w:lineRule="exact"/>
              <w:ind w:left="109"/>
              <w:rPr>
                <w:sz w:val="20"/>
              </w:rPr>
            </w:pPr>
            <w:r>
              <w:rPr>
                <w:sz w:val="20"/>
              </w:rPr>
              <w:t>opportunities</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Leeds Flood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Education or training are</w:t>
            </w:r>
          </w:p>
        </w:tc>
        <w:tc>
          <w:tcPr>
            <w:tcW w:w="2918" w:type="dxa"/>
            <w:tcBorders>
              <w:top w:val="nil"/>
              <w:bottom w:val="nil"/>
            </w:tcBorders>
            <w:shd w:val="clear" w:color="auto" w:fill="FFFF98"/>
          </w:tcPr>
          <w:p>
            <w:pPr>
              <w:pStyle w:val="TableParagraph"/>
              <w:spacing w:line="199" w:lineRule="exact"/>
              <w:ind w:left="109"/>
              <w:rPr>
                <w:i/>
                <w:sz w:val="20"/>
              </w:rPr>
            </w:pPr>
            <w:r>
              <w:rPr>
                <w:i/>
                <w:sz w:val="20"/>
              </w:rPr>
              <w:t>How does the contribution to</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Alleviation Scheme</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pre-requisites for the</w:t>
            </w:r>
          </w:p>
        </w:tc>
        <w:tc>
          <w:tcPr>
            <w:tcW w:w="2918" w:type="dxa"/>
            <w:tcBorders>
              <w:top w:val="nil"/>
              <w:bottom w:val="nil"/>
            </w:tcBorders>
            <w:shd w:val="clear" w:color="auto" w:fill="FFFF98"/>
          </w:tcPr>
          <w:p>
            <w:pPr>
              <w:pStyle w:val="TableParagraph"/>
              <w:spacing w:line="199" w:lineRule="exact"/>
              <w:ind w:left="109"/>
              <w:rPr>
                <w:i/>
                <w:sz w:val="20"/>
              </w:rPr>
            </w:pPr>
            <w:r>
              <w:rPr>
                <w:i/>
                <w:sz w:val="20"/>
              </w:rPr>
              <w:t>education affect employment</w:t>
            </w:r>
          </w:p>
        </w:tc>
        <w:tc>
          <w:tcPr>
            <w:tcW w:w="801" w:type="dxa"/>
            <w:tcBorders>
              <w:top w:val="nil"/>
              <w:bottom w:val="nil"/>
            </w:tcBorders>
          </w:tcPr>
          <w:p>
            <w:pPr>
              <w:pStyle w:val="TableParagraph"/>
              <w:spacing w:line="199" w:lineRule="exact"/>
              <w:ind w:left="14"/>
              <w:jc w:val="center"/>
              <w:rPr>
                <w:sz w:val="20"/>
              </w:rPr>
            </w:pPr>
            <w:r>
              <w:rPr>
                <w:color w:val="0000FF"/>
                <w:w w:val="99"/>
                <w:sz w:val="20"/>
              </w:rPr>
              <w:t>+</w:t>
            </w:r>
          </w:p>
        </w:tc>
        <w:tc>
          <w:tcPr>
            <w:tcW w:w="2104" w:type="dxa"/>
            <w:tcBorders>
              <w:top w:val="nil"/>
              <w:bottom w:val="nil"/>
            </w:tcBorders>
          </w:tcPr>
          <w:p>
            <w:pPr>
              <w:pStyle w:val="TableParagraph"/>
              <w:spacing w:line="199" w:lineRule="exact"/>
              <w:ind w:left="110"/>
              <w:rPr>
                <w:sz w:val="20"/>
              </w:rPr>
            </w:pPr>
            <w:r>
              <w:rPr>
                <w:color w:val="0000FF"/>
                <w:sz w:val="20"/>
              </w:rPr>
              <w:t>may possibly provide</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majority of employment</w:t>
            </w:r>
          </w:p>
        </w:tc>
        <w:tc>
          <w:tcPr>
            <w:tcW w:w="2918" w:type="dxa"/>
            <w:tcBorders>
              <w:top w:val="nil"/>
              <w:bottom w:val="nil"/>
            </w:tcBorders>
            <w:shd w:val="clear" w:color="auto" w:fill="FFFF98"/>
          </w:tcPr>
          <w:p>
            <w:pPr>
              <w:pStyle w:val="TableParagraph"/>
              <w:spacing w:line="200" w:lineRule="exact"/>
              <w:ind w:left="109"/>
              <w:rPr>
                <w:i/>
                <w:sz w:val="20"/>
              </w:rPr>
            </w:pPr>
            <w:r>
              <w:rPr>
                <w:i/>
                <w:sz w:val="20"/>
              </w:rPr>
              <w:t>opportunities?</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training opportunities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5"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6" w:lineRule="exact"/>
              <w:ind w:left="108"/>
              <w:rPr>
                <w:i/>
                <w:sz w:val="20"/>
              </w:rPr>
            </w:pPr>
            <w:r>
              <w:rPr>
                <w:i/>
                <w:sz w:val="20"/>
              </w:rPr>
              <w:t>opportunities</w:t>
            </w:r>
          </w:p>
        </w:tc>
        <w:tc>
          <w:tcPr>
            <w:tcW w:w="2918" w:type="dxa"/>
            <w:tcBorders>
              <w:top w:val="nil"/>
            </w:tcBorders>
            <w:shd w:val="clear" w:color="auto" w:fill="FFFF98"/>
          </w:tcPr>
          <w:p>
            <w:pPr>
              <w:pStyle w:val="TableParagraph"/>
              <w:rPr>
                <w:rFonts w:ascii="Times New Roman"/>
                <w:sz w:val="16"/>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718" w:hRule="atLeast"/>
        </w:trPr>
        <w:tc>
          <w:tcPr>
            <w:tcW w:w="2846" w:type="dxa"/>
            <w:tcBorders>
              <w:bottom w:val="nil"/>
            </w:tcBorders>
          </w:tcPr>
          <w:p>
            <w:pPr>
              <w:pStyle w:val="TableParagraph"/>
              <w:spacing w:line="227" w:lineRule="exact"/>
              <w:ind w:right="101"/>
              <w:jc w:val="right"/>
              <w:rPr>
                <w:sz w:val="20"/>
              </w:rPr>
            </w:pPr>
            <w:r>
              <w:rPr>
                <w:w w:val="95"/>
                <w:sz w:val="20"/>
              </w:rPr>
              <w:t>Downstream</w:t>
            </w:r>
          </w:p>
        </w:tc>
        <w:tc>
          <w:tcPr>
            <w:tcW w:w="2416" w:type="dxa"/>
            <w:tcBorders>
              <w:bottom w:val="nil"/>
            </w:tcBorders>
          </w:tcPr>
          <w:p>
            <w:pPr>
              <w:pStyle w:val="TableParagraph"/>
              <w:spacing w:line="226" w:lineRule="exact"/>
              <w:ind w:left="108"/>
              <w:rPr>
                <w:sz w:val="20"/>
              </w:rPr>
            </w:pPr>
            <w:r>
              <w:rPr>
                <w:sz w:val="20"/>
              </w:rPr>
              <w:t>SA14: Health</w:t>
            </w:r>
          </w:p>
          <w:p>
            <w:pPr>
              <w:pStyle w:val="TableParagraph"/>
              <w:ind w:left="108" w:right="84"/>
              <w:rPr>
                <w:i/>
                <w:sz w:val="20"/>
              </w:rPr>
            </w:pPr>
            <w:r>
              <w:rPr>
                <w:i/>
                <w:sz w:val="20"/>
              </w:rPr>
              <w:t>Better education and understanding of personal health</w:t>
            </w:r>
          </w:p>
          <w:p>
            <w:pPr>
              <w:pStyle w:val="TableParagraph"/>
              <w:spacing w:before="9"/>
              <w:rPr>
                <w:rFonts w:ascii="Times New Roman"/>
                <w:sz w:val="19"/>
              </w:rPr>
            </w:pPr>
          </w:p>
          <w:p>
            <w:pPr>
              <w:pStyle w:val="TableParagraph"/>
              <w:ind w:left="108" w:right="732"/>
              <w:rPr>
                <w:i/>
                <w:sz w:val="20"/>
              </w:rPr>
            </w:pPr>
            <w:r>
              <w:rPr>
                <w:i/>
                <w:sz w:val="20"/>
              </w:rPr>
              <w:t>Training of health professionals</w:t>
            </w:r>
          </w:p>
        </w:tc>
        <w:tc>
          <w:tcPr>
            <w:tcW w:w="2918" w:type="dxa"/>
            <w:tcBorders>
              <w:bottom w:val="nil"/>
            </w:tcBorders>
            <w:shd w:val="clear" w:color="auto" w:fill="CCFFCC"/>
          </w:tcPr>
          <w:p>
            <w:pPr>
              <w:pStyle w:val="TableParagraph"/>
              <w:spacing w:line="242" w:lineRule="exact"/>
              <w:ind w:left="109"/>
              <w:rPr>
                <w:rFonts w:ascii="Symbol" w:hAnsi="Symbol"/>
                <w:sz w:val="20"/>
              </w:rPr>
            </w:pPr>
            <w:r>
              <w:rPr>
                <w:sz w:val="20"/>
              </w:rPr>
              <w:t>SA14: Health</w:t>
            </w:r>
            <w:r>
              <w:rPr>
                <w:rFonts w:ascii="Symbol" w:hAnsi="Symbol"/>
                <w:sz w:val="20"/>
                <w:vertAlign w:val="superscript"/>
              </w:rPr>
              <w:t></w:t>
            </w:r>
          </w:p>
          <w:p>
            <w:pPr>
              <w:pStyle w:val="TableParagraph"/>
              <w:ind w:left="109" w:right="244"/>
              <w:rPr>
                <w:i/>
                <w:sz w:val="20"/>
              </w:rPr>
            </w:pPr>
            <w:r>
              <w:rPr>
                <w:i/>
                <w:sz w:val="20"/>
              </w:rPr>
              <w:t>How does the contribution to education affect health and health inequalities?</w:t>
            </w:r>
          </w:p>
        </w:tc>
        <w:tc>
          <w:tcPr>
            <w:tcW w:w="801" w:type="dxa"/>
            <w:tcBorders>
              <w:bottom w:val="nil"/>
            </w:tcBorders>
          </w:tcPr>
          <w:p>
            <w:pPr>
              <w:pStyle w:val="TableParagraph"/>
              <w:rPr>
                <w:rFonts w:ascii="Times New Roman"/>
                <w:sz w:val="22"/>
              </w:rPr>
            </w:pPr>
          </w:p>
          <w:p>
            <w:pPr>
              <w:pStyle w:val="TableParagraph"/>
              <w:rPr>
                <w:rFonts w:ascii="Times New Roman"/>
                <w:sz w:val="22"/>
              </w:rPr>
            </w:pPr>
          </w:p>
          <w:p>
            <w:pPr>
              <w:pStyle w:val="TableParagraph"/>
              <w:spacing w:before="180"/>
              <w:ind w:left="14"/>
              <w:jc w:val="center"/>
              <w:rPr>
                <w:sz w:val="20"/>
              </w:rPr>
            </w:pPr>
            <w:r>
              <w:rPr>
                <w:color w:val="0000FF"/>
                <w:w w:val="99"/>
                <w:sz w:val="20"/>
              </w:rPr>
              <w:t>+</w:t>
            </w:r>
          </w:p>
        </w:tc>
        <w:tc>
          <w:tcPr>
            <w:tcW w:w="2104" w:type="dxa"/>
            <w:tcBorders>
              <w:bottom w:val="nil"/>
            </w:tcBorders>
          </w:tcPr>
          <w:p>
            <w:pPr>
              <w:pStyle w:val="TableParagraph"/>
              <w:spacing w:before="8"/>
              <w:rPr>
                <w:rFonts w:ascii="Times New Roman"/>
                <w:sz w:val="19"/>
              </w:rPr>
            </w:pPr>
          </w:p>
          <w:p>
            <w:pPr>
              <w:pStyle w:val="TableParagraph"/>
              <w:spacing w:before="1"/>
              <w:ind w:left="110" w:right="140"/>
              <w:rPr>
                <w:sz w:val="20"/>
              </w:rPr>
            </w:pPr>
            <w:r>
              <w:rPr>
                <w:color w:val="0000FF"/>
                <w:sz w:val="20"/>
              </w:rPr>
              <w:t>Ensures people know what to do in a flood. Community are aware – less stress</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1950" w:hRule="atLeast"/>
        </w:trPr>
        <w:tc>
          <w:tcPr>
            <w:tcW w:w="2846" w:type="dxa"/>
            <w:tcBorders>
              <w:top w:val="nil"/>
            </w:tcBorders>
          </w:tcPr>
          <w:p>
            <w:pPr>
              <w:pStyle w:val="TableParagraph"/>
              <w:rPr>
                <w:rFonts w:ascii="Times New Roman"/>
                <w:sz w:val="18"/>
              </w:rPr>
            </w:pPr>
          </w:p>
        </w:tc>
        <w:tc>
          <w:tcPr>
            <w:tcW w:w="2416" w:type="dxa"/>
            <w:tcBorders>
              <w:top w:val="nil"/>
            </w:tcBorders>
          </w:tcPr>
          <w:p>
            <w:pPr>
              <w:pStyle w:val="TableParagraph"/>
              <w:spacing w:before="107"/>
              <w:ind w:left="108" w:right="130"/>
              <w:rPr>
                <w:i/>
                <w:sz w:val="20"/>
              </w:rPr>
            </w:pPr>
            <w:r>
              <w:rPr>
                <w:i/>
                <w:sz w:val="20"/>
              </w:rPr>
              <w:t>Better access to education leads to higher levels of employment and</w:t>
            </w:r>
            <w:r>
              <w:rPr>
                <w:i/>
                <w:spacing w:val="-19"/>
                <w:sz w:val="20"/>
              </w:rPr>
              <w:t> </w:t>
            </w:r>
            <w:r>
              <w:rPr>
                <w:i/>
                <w:sz w:val="20"/>
              </w:rPr>
              <w:t>greater personal wealth, which is known to be associated wealth</w:t>
            </w:r>
            <w:r>
              <w:rPr>
                <w:i/>
                <w:spacing w:val="-19"/>
                <w:sz w:val="20"/>
              </w:rPr>
              <w:t> </w:t>
            </w:r>
            <w:r>
              <w:rPr>
                <w:i/>
                <w:sz w:val="20"/>
              </w:rPr>
              <w:t>better</w:t>
            </w:r>
          </w:p>
          <w:p>
            <w:pPr>
              <w:pStyle w:val="TableParagraph"/>
              <w:spacing w:line="214" w:lineRule="exact"/>
              <w:ind w:left="108"/>
              <w:rPr>
                <w:i/>
                <w:sz w:val="20"/>
              </w:rPr>
            </w:pPr>
            <w:r>
              <w:rPr>
                <w:i/>
                <w:sz w:val="20"/>
              </w:rPr>
              <w:t>health</w:t>
            </w:r>
          </w:p>
        </w:tc>
        <w:tc>
          <w:tcPr>
            <w:tcW w:w="2918" w:type="dxa"/>
            <w:tcBorders>
              <w:top w:val="nil"/>
            </w:tcBorders>
            <w:shd w:val="clear" w:color="auto" w:fill="CCFFCC"/>
          </w:tcPr>
          <w:p>
            <w:pPr>
              <w:pStyle w:val="TableParagraph"/>
              <w:rPr>
                <w:rFonts w:ascii="Times New Roman"/>
                <w:sz w:val="18"/>
              </w:rPr>
            </w:pPr>
          </w:p>
        </w:tc>
        <w:tc>
          <w:tcPr>
            <w:tcW w:w="801" w:type="dxa"/>
            <w:tcBorders>
              <w:top w:val="nil"/>
            </w:tcBorders>
          </w:tcPr>
          <w:p>
            <w:pPr>
              <w:pStyle w:val="TableParagraph"/>
              <w:rPr>
                <w:rFonts w:ascii="Times New Roman"/>
                <w:sz w:val="18"/>
              </w:rPr>
            </w:pP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477"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ind w:left="108" w:hanging="1"/>
              <w:rPr>
                <w:sz w:val="20"/>
              </w:rPr>
            </w:pPr>
            <w:r>
              <w:rPr>
                <w:sz w:val="20"/>
              </w:rPr>
              <w:t>SA18: Climate change mitigation</w:t>
            </w:r>
          </w:p>
        </w:tc>
        <w:tc>
          <w:tcPr>
            <w:tcW w:w="2918" w:type="dxa"/>
            <w:shd w:val="clear" w:color="auto" w:fill="FFFF98"/>
          </w:tcPr>
          <w:p>
            <w:pPr>
              <w:pStyle w:val="TableParagraph"/>
              <w:spacing w:line="227" w:lineRule="exact"/>
              <w:ind w:left="109"/>
              <w:rPr>
                <w:sz w:val="20"/>
              </w:rPr>
            </w:pPr>
            <w:r>
              <w:rPr>
                <w:sz w:val="20"/>
              </w:rPr>
              <w:t>SA18: Climate change</w:t>
            </w:r>
          </w:p>
          <w:p>
            <w:pPr>
              <w:pStyle w:val="TableParagraph"/>
              <w:spacing w:line="226" w:lineRule="exact" w:before="3"/>
              <w:ind w:left="109"/>
              <w:rPr>
                <w:rFonts w:ascii="Symbol" w:hAnsi="Symbol"/>
                <w:sz w:val="20"/>
              </w:rPr>
            </w:pPr>
            <w:r>
              <w:rPr>
                <w:sz w:val="20"/>
              </w:rPr>
              <w:t>mitigation</w:t>
            </w:r>
            <w:r>
              <w:rPr>
                <w:rFonts w:ascii="Symbol" w:hAnsi="Symbol"/>
                <w:sz w:val="20"/>
                <w:vertAlign w:val="superscript"/>
              </w:rPr>
              <w:t></w:t>
            </w:r>
          </w:p>
        </w:tc>
        <w:tc>
          <w:tcPr>
            <w:tcW w:w="801" w:type="dxa"/>
          </w:tcPr>
          <w:p>
            <w:pPr>
              <w:pStyle w:val="TableParagraph"/>
              <w:rPr>
                <w:rFonts w:ascii="Times New Roman"/>
                <w:sz w:val="18"/>
              </w:rPr>
            </w:pPr>
          </w:p>
        </w:tc>
        <w:tc>
          <w:tcPr>
            <w:tcW w:w="2104" w:type="dxa"/>
          </w:tcPr>
          <w:p>
            <w:pPr>
              <w:pStyle w:val="TableParagraph"/>
              <w:spacing w:before="8"/>
              <w:rPr>
                <w:rFonts w:ascii="Times New Roman"/>
                <w:sz w:val="19"/>
              </w:rPr>
            </w:pPr>
          </w:p>
          <w:p>
            <w:pPr>
              <w:pStyle w:val="TableParagraph"/>
              <w:spacing w:before="1"/>
              <w:ind w:left="110"/>
              <w:rPr>
                <w:sz w:val="20"/>
              </w:rPr>
            </w:pPr>
            <w:r>
              <w:rPr>
                <w:color w:val="0000FF"/>
                <w:sz w:val="20"/>
              </w:rPr>
              <w:t>Marginal positive</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bl>
    <w:p>
      <w:pPr>
        <w:pStyle w:val="BodyText"/>
        <w:spacing w:before="4"/>
        <w:rPr>
          <w:rFonts w:ascii="Times New Roman"/>
          <w:sz w:val="24"/>
        </w:rPr>
      </w:pPr>
      <w:r>
        <w:rPr/>
        <w:pict>
          <v:line style="position:absolute;mso-position-horizontal-relative:page;mso-position-vertical-relative:paragraph;z-index:1520;mso-wrap-distance-left:0;mso-wrap-distance-right:0" from="72pt,16.260000pt" to="216.000005pt,16.260000pt" stroked="true" strokeweight=".6pt" strokecolor="#000000">
            <v:stroke dashstyle="solid"/>
            <w10:wrap type="topAndBottom"/>
          </v:line>
        </w:pict>
      </w:r>
    </w:p>
    <w:p>
      <w:pPr>
        <w:spacing w:after="0"/>
        <w:rPr>
          <w:rFonts w:ascii="Times New Roman"/>
          <w:sz w:val="24"/>
        </w:rPr>
        <w:sectPr>
          <w:footerReference w:type="default" r:id="rId72"/>
          <w:footerReference w:type="even" r:id="rId73"/>
          <w:pgSz w:w="16840" w:h="11910" w:orient="landscape"/>
          <w:pgMar w:footer="1085" w:header="0" w:top="1100" w:bottom="128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1488" w:hRule="atLeast"/>
        </w:trPr>
        <w:tc>
          <w:tcPr>
            <w:tcW w:w="2846" w:type="dxa"/>
            <w:vMerge w:val="restart"/>
          </w:tcPr>
          <w:p>
            <w:pPr>
              <w:pStyle w:val="TableParagraph"/>
              <w:rPr>
                <w:rFonts w:ascii="Times New Roman"/>
                <w:sz w:val="18"/>
              </w:rPr>
            </w:pPr>
          </w:p>
        </w:tc>
        <w:tc>
          <w:tcPr>
            <w:tcW w:w="2416" w:type="dxa"/>
            <w:tcBorders>
              <w:bottom w:val="nil"/>
            </w:tcBorders>
          </w:tcPr>
          <w:p>
            <w:pPr>
              <w:pStyle w:val="TableParagraph"/>
              <w:ind w:left="108" w:right="84"/>
              <w:rPr>
                <w:i/>
                <w:sz w:val="20"/>
              </w:rPr>
            </w:pPr>
            <w:r>
              <w:rPr>
                <w:i/>
                <w:sz w:val="20"/>
              </w:rPr>
              <w:t>Higher levels of knowledge and awareness of climate impacts may change public attitudes and behaviours.</w:t>
            </w:r>
          </w:p>
        </w:tc>
        <w:tc>
          <w:tcPr>
            <w:tcW w:w="2918" w:type="dxa"/>
            <w:tcBorders>
              <w:bottom w:val="nil"/>
            </w:tcBorders>
            <w:shd w:val="clear" w:color="auto" w:fill="FFFF98"/>
          </w:tcPr>
          <w:p>
            <w:pPr>
              <w:pStyle w:val="TableParagraph"/>
              <w:ind w:left="109" w:right="244"/>
              <w:rPr>
                <w:i/>
                <w:sz w:val="20"/>
              </w:rPr>
            </w:pPr>
            <w:r>
              <w:rPr>
                <w:i/>
                <w:sz w:val="20"/>
              </w:rPr>
              <w:t>How does the contribution to education affect climate change mitigation?</w:t>
            </w:r>
          </w:p>
        </w:tc>
        <w:tc>
          <w:tcPr>
            <w:tcW w:w="801" w:type="dxa"/>
            <w:tcBorders>
              <w:bottom w:val="nil"/>
            </w:tcBorders>
          </w:tcPr>
          <w:p>
            <w:pPr>
              <w:pStyle w:val="TableParagraph"/>
              <w:spacing w:line="227" w:lineRule="exact"/>
              <w:ind w:left="14"/>
              <w:jc w:val="center"/>
              <w:rPr>
                <w:sz w:val="20"/>
              </w:rPr>
            </w:pPr>
            <w:r>
              <w:rPr>
                <w:color w:val="0000FF"/>
                <w:w w:val="99"/>
                <w:sz w:val="20"/>
              </w:rPr>
              <w:t>+</w:t>
            </w:r>
          </w:p>
        </w:tc>
        <w:tc>
          <w:tcPr>
            <w:tcW w:w="2104" w:type="dxa"/>
            <w:tcBorders>
              <w:bottom w:val="nil"/>
            </w:tcBorders>
          </w:tcPr>
          <w:p>
            <w:pPr>
              <w:pStyle w:val="TableParagraph"/>
              <w:ind w:left="110" w:right="252"/>
              <w:rPr>
                <w:sz w:val="20"/>
              </w:rPr>
            </w:pPr>
            <w:r>
              <w:rPr>
                <w:color w:val="0000FF"/>
                <w:sz w:val="20"/>
              </w:rPr>
              <w:t>impact through increased community awareness and knowledge</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1031" w:hRule="atLeast"/>
        </w:trPr>
        <w:tc>
          <w:tcPr>
            <w:tcW w:w="2846" w:type="dxa"/>
            <w:vMerge/>
            <w:tcBorders>
              <w:top w:val="nil"/>
            </w:tcBorders>
          </w:tcPr>
          <w:p>
            <w:pPr>
              <w:rPr>
                <w:sz w:val="2"/>
                <w:szCs w:val="2"/>
              </w:rPr>
            </w:pPr>
          </w:p>
        </w:tc>
        <w:tc>
          <w:tcPr>
            <w:tcW w:w="2416" w:type="dxa"/>
            <w:tcBorders>
              <w:top w:val="nil"/>
            </w:tcBorders>
          </w:tcPr>
          <w:p>
            <w:pPr>
              <w:pStyle w:val="TableParagraph"/>
              <w:spacing w:before="107"/>
              <w:ind w:left="108" w:right="84"/>
              <w:rPr>
                <w:i/>
                <w:sz w:val="20"/>
              </w:rPr>
            </w:pPr>
            <w:r>
              <w:rPr>
                <w:i/>
                <w:sz w:val="20"/>
              </w:rPr>
              <w:t>Better education may lead to development of better mitigation</w:t>
            </w:r>
          </w:p>
          <w:p>
            <w:pPr>
              <w:pStyle w:val="TableParagraph"/>
              <w:spacing w:line="214" w:lineRule="exact"/>
              <w:ind w:left="108"/>
              <w:rPr>
                <w:i/>
                <w:sz w:val="20"/>
              </w:rPr>
            </w:pPr>
            <w:r>
              <w:rPr>
                <w:i/>
                <w:sz w:val="20"/>
              </w:rPr>
              <w:t>strategies</w:t>
            </w:r>
          </w:p>
        </w:tc>
        <w:tc>
          <w:tcPr>
            <w:tcW w:w="2918" w:type="dxa"/>
            <w:tcBorders>
              <w:top w:val="nil"/>
            </w:tcBorders>
            <w:shd w:val="clear" w:color="auto" w:fill="FFFF98"/>
          </w:tcPr>
          <w:p>
            <w:pPr>
              <w:pStyle w:val="TableParagraph"/>
              <w:rPr>
                <w:rFonts w:ascii="Times New Roman"/>
                <w:sz w:val="18"/>
              </w:rPr>
            </w:pPr>
          </w:p>
        </w:tc>
        <w:tc>
          <w:tcPr>
            <w:tcW w:w="801" w:type="dxa"/>
            <w:tcBorders>
              <w:top w:val="nil"/>
            </w:tcBorders>
          </w:tcPr>
          <w:p>
            <w:pPr>
              <w:pStyle w:val="TableParagraph"/>
              <w:rPr>
                <w:rFonts w:ascii="Times New Roman"/>
                <w:sz w:val="18"/>
              </w:rPr>
            </w:pP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394" w:hRule="atLeast"/>
        </w:trPr>
        <w:tc>
          <w:tcPr>
            <w:tcW w:w="2846" w:type="dxa"/>
          </w:tcPr>
          <w:p>
            <w:pPr>
              <w:pStyle w:val="TableParagraph"/>
              <w:spacing w:line="227" w:lineRule="exact"/>
              <w:ind w:left="1615"/>
              <w:rPr>
                <w:sz w:val="20"/>
              </w:rPr>
            </w:pPr>
            <w:r>
              <w:rPr>
                <w:sz w:val="20"/>
              </w:rPr>
              <w:t>Downstream</w:t>
            </w:r>
          </w:p>
        </w:tc>
        <w:tc>
          <w:tcPr>
            <w:tcW w:w="2416" w:type="dxa"/>
          </w:tcPr>
          <w:p>
            <w:pPr>
              <w:pStyle w:val="TableParagraph"/>
              <w:spacing w:line="226" w:lineRule="exact"/>
              <w:ind w:left="108"/>
              <w:rPr>
                <w:sz w:val="20"/>
              </w:rPr>
            </w:pPr>
            <w:r>
              <w:rPr>
                <w:sz w:val="20"/>
              </w:rPr>
              <w:t>SA20: Waste</w:t>
            </w:r>
          </w:p>
          <w:p>
            <w:pPr>
              <w:pStyle w:val="TableParagraph"/>
              <w:ind w:left="108" w:right="84"/>
              <w:rPr>
                <w:i/>
                <w:sz w:val="20"/>
              </w:rPr>
            </w:pPr>
            <w:r>
              <w:rPr>
                <w:i/>
                <w:sz w:val="20"/>
              </w:rPr>
              <w:t>Education could play an important role in changing peoples’</w:t>
            </w:r>
          </w:p>
          <w:p>
            <w:pPr>
              <w:pStyle w:val="TableParagraph"/>
              <w:ind w:left="108"/>
              <w:rPr>
                <w:i/>
                <w:sz w:val="20"/>
              </w:rPr>
            </w:pPr>
            <w:r>
              <w:rPr>
                <w:i/>
                <w:sz w:val="20"/>
              </w:rPr>
              <w:t>attitudes and behaviour towards reducing waste.</w:t>
            </w:r>
          </w:p>
        </w:tc>
        <w:tc>
          <w:tcPr>
            <w:tcW w:w="2918" w:type="dxa"/>
          </w:tcPr>
          <w:p>
            <w:pPr>
              <w:pStyle w:val="TableParagraph"/>
              <w:spacing w:line="242" w:lineRule="exact"/>
              <w:ind w:left="109"/>
              <w:rPr>
                <w:rFonts w:ascii="Symbol" w:hAnsi="Symbol"/>
                <w:sz w:val="20"/>
              </w:rPr>
            </w:pPr>
            <w:r>
              <w:rPr>
                <w:sz w:val="20"/>
              </w:rPr>
              <w:t>SA20: Waste</w:t>
            </w:r>
            <w:r>
              <w:rPr>
                <w:rFonts w:ascii="Symbol" w:hAnsi="Symbol"/>
                <w:sz w:val="20"/>
                <w:vertAlign w:val="superscript"/>
              </w:rPr>
              <w:t></w:t>
            </w:r>
          </w:p>
          <w:p>
            <w:pPr>
              <w:pStyle w:val="TableParagraph"/>
              <w:ind w:left="109" w:right="244"/>
              <w:rPr>
                <w:i/>
                <w:sz w:val="20"/>
              </w:rPr>
            </w:pPr>
            <w:r>
              <w:rPr>
                <w:i/>
                <w:sz w:val="20"/>
              </w:rPr>
              <w:t>How does the contribution to education affect waste generation and waste management?</w:t>
            </w:r>
          </w:p>
        </w:tc>
        <w:tc>
          <w:tcPr>
            <w:tcW w:w="801" w:type="dxa"/>
          </w:tcPr>
          <w:p>
            <w:pPr>
              <w:pStyle w:val="TableParagraph"/>
              <w:rPr>
                <w:rFonts w:ascii="Times New Roman"/>
                <w:sz w:val="22"/>
              </w:rPr>
            </w:pPr>
          </w:p>
          <w:p>
            <w:pPr>
              <w:pStyle w:val="TableParagraph"/>
              <w:spacing w:before="9"/>
              <w:rPr>
                <w:rFonts w:ascii="Times New Roman"/>
                <w:sz w:val="17"/>
              </w:rPr>
            </w:pPr>
          </w:p>
          <w:p>
            <w:pPr>
              <w:pStyle w:val="TableParagraph"/>
              <w:ind w:left="13"/>
              <w:jc w:val="center"/>
              <w:rPr>
                <w:sz w:val="20"/>
              </w:rPr>
            </w:pPr>
            <w:r>
              <w:rPr>
                <w:color w:val="0000FF"/>
                <w:w w:val="99"/>
                <w:sz w:val="20"/>
              </w:rPr>
              <w:t>0</w:t>
            </w:r>
          </w:p>
        </w:tc>
        <w:tc>
          <w:tcPr>
            <w:tcW w:w="2104" w:type="dxa"/>
          </w:tcPr>
          <w:p>
            <w:pPr>
              <w:pStyle w:val="TableParagraph"/>
              <w:rPr>
                <w:rFonts w:ascii="Times New Roman"/>
                <w:sz w:val="22"/>
              </w:rPr>
            </w:pPr>
          </w:p>
          <w:p>
            <w:pPr>
              <w:pStyle w:val="TableParagraph"/>
              <w:spacing w:before="9"/>
              <w:rPr>
                <w:rFonts w:ascii="Times New Roman"/>
                <w:sz w:val="17"/>
              </w:rPr>
            </w:pPr>
          </w:p>
          <w:p>
            <w:pPr>
              <w:pStyle w:val="TableParagraph"/>
              <w:ind w:left="110" w:right="529"/>
              <w:rPr>
                <w:sz w:val="20"/>
              </w:rPr>
            </w:pPr>
            <w:r>
              <w:rPr>
                <w:color w:val="0000FF"/>
                <w:sz w:val="20"/>
              </w:rPr>
              <w:t>Marginal/neutral impact</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1610" w:hRule="atLeast"/>
        </w:trPr>
        <w:tc>
          <w:tcPr>
            <w:tcW w:w="2846" w:type="dxa"/>
            <w:vMerge w:val="restart"/>
          </w:tcPr>
          <w:p>
            <w:pPr>
              <w:pStyle w:val="TableParagraph"/>
              <w:ind w:left="107" w:right="108"/>
              <w:rPr>
                <w:b/>
                <w:sz w:val="20"/>
              </w:rPr>
            </w:pPr>
            <w:r>
              <w:rPr>
                <w:b/>
                <w:sz w:val="20"/>
              </w:rPr>
              <w:t>UPSTREAM SA3: CULTURE, LEISURE AND RECREATION</w:t>
            </w:r>
          </w:p>
          <w:p>
            <w:pPr>
              <w:pStyle w:val="TableParagraph"/>
              <w:ind w:left="107" w:right="108"/>
              <w:rPr>
                <w:i/>
                <w:sz w:val="20"/>
              </w:rPr>
            </w:pPr>
            <w:r>
              <w:rPr>
                <w:i/>
                <w:sz w:val="20"/>
              </w:rPr>
              <w:t>PROVIDE, MAINTAIN AND IMPROVE CULTURE, LEISURE AND RECREATIONAL ACTIVITIES THAT ARE AVAILABLE TO ALL</w:t>
            </w:r>
          </w:p>
        </w:tc>
        <w:tc>
          <w:tcPr>
            <w:tcW w:w="2416" w:type="dxa"/>
            <w:vMerge w:val="restart"/>
          </w:tcPr>
          <w:p>
            <w:pPr>
              <w:pStyle w:val="TableParagraph"/>
              <w:rPr>
                <w:rFonts w:ascii="Times New Roman"/>
                <w:sz w:val="18"/>
              </w:rPr>
            </w:pPr>
          </w:p>
        </w:tc>
        <w:tc>
          <w:tcPr>
            <w:tcW w:w="2918" w:type="dxa"/>
          </w:tcPr>
          <w:p>
            <w:pPr>
              <w:pStyle w:val="TableParagraph"/>
              <w:ind w:left="109"/>
              <w:rPr>
                <w:b/>
                <w:sz w:val="20"/>
              </w:rPr>
            </w:pPr>
            <w:r>
              <w:rPr>
                <w:b/>
                <w:sz w:val="20"/>
              </w:rPr>
              <w:t>SA3: CULTURE, LEISURE AND RECREATION</w:t>
            </w:r>
          </w:p>
          <w:p>
            <w:pPr>
              <w:pStyle w:val="TableParagraph"/>
              <w:ind w:left="109" w:right="92"/>
              <w:rPr>
                <w:i/>
                <w:sz w:val="20"/>
              </w:rPr>
            </w:pPr>
            <w:r>
              <w:rPr>
                <w:i/>
                <w:sz w:val="20"/>
              </w:rPr>
              <w:t>HOW DOES IT PROVIDE, MAINTAIN AND IMPROVE ACCESS (NON CAR BASED) TO:-</w:t>
            </w:r>
          </w:p>
        </w:tc>
        <w:tc>
          <w:tcPr>
            <w:tcW w:w="801"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9"/>
              </w:rPr>
            </w:pPr>
          </w:p>
          <w:p>
            <w:pPr>
              <w:pStyle w:val="TableParagraph"/>
              <w:ind w:left="13"/>
              <w:jc w:val="center"/>
              <w:rPr>
                <w:sz w:val="20"/>
              </w:rPr>
            </w:pPr>
            <w:r>
              <w:rPr>
                <w:color w:val="0000FF"/>
                <w:w w:val="99"/>
                <w:sz w:val="20"/>
              </w:rPr>
              <w:t>0</w:t>
            </w:r>
          </w:p>
          <w:p>
            <w:pPr>
              <w:pStyle w:val="TableParagraph"/>
              <w:rPr>
                <w:rFonts w:ascii="Times New Roman"/>
                <w:sz w:val="22"/>
              </w:rPr>
            </w:pPr>
          </w:p>
          <w:p>
            <w:pPr>
              <w:pStyle w:val="TableParagraph"/>
              <w:spacing w:before="1"/>
              <w:rPr>
                <w:rFonts w:ascii="Times New Roman"/>
                <w:sz w:val="18"/>
              </w:rPr>
            </w:pPr>
          </w:p>
          <w:p>
            <w:pPr>
              <w:pStyle w:val="TableParagraph"/>
              <w:ind w:left="14"/>
              <w:jc w:val="center"/>
              <w:rPr>
                <w:sz w:val="20"/>
              </w:rPr>
            </w:pPr>
            <w:r>
              <w:rPr>
                <w:color w:val="0000FF"/>
                <w:w w:val="99"/>
                <w:sz w:val="20"/>
              </w:rPr>
              <w:t>+</w:t>
            </w:r>
          </w:p>
        </w:tc>
        <w:tc>
          <w:tcPr>
            <w:tcW w:w="2104"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9"/>
              </w:rPr>
            </w:pPr>
          </w:p>
          <w:p>
            <w:pPr>
              <w:pStyle w:val="TableParagraph"/>
              <w:ind w:left="110"/>
              <w:rPr>
                <w:sz w:val="20"/>
              </w:rPr>
            </w:pPr>
            <w:r>
              <w:rPr>
                <w:color w:val="0000FF"/>
                <w:sz w:val="20"/>
              </w:rPr>
              <w:t>Neutral impact</w:t>
            </w:r>
          </w:p>
          <w:p>
            <w:pPr>
              <w:pStyle w:val="TableParagraph"/>
              <w:rPr>
                <w:rFonts w:ascii="Times New Roman"/>
                <w:sz w:val="20"/>
              </w:rPr>
            </w:pPr>
          </w:p>
          <w:p>
            <w:pPr>
              <w:pStyle w:val="TableParagraph"/>
              <w:spacing w:before="1"/>
              <w:ind w:left="110"/>
              <w:rPr>
                <w:sz w:val="20"/>
              </w:rPr>
            </w:pPr>
            <w:r>
              <w:rPr>
                <w:color w:val="0000FF"/>
                <w:sz w:val="20"/>
              </w:rPr>
              <w:t>Increases amenity</w:t>
            </w:r>
          </w:p>
          <w:p>
            <w:pPr>
              <w:pStyle w:val="TableParagraph"/>
              <w:spacing w:line="237" w:lineRule="auto" w:before="2"/>
              <w:ind w:left="110"/>
              <w:rPr>
                <w:sz w:val="20"/>
              </w:rPr>
            </w:pPr>
            <w:r>
              <w:rPr>
                <w:color w:val="0000FF"/>
                <w:sz w:val="20"/>
              </w:rPr>
              <w:t>value e.g. SuDS schemes, fish</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7"/>
              </w:rPr>
            </w:pPr>
          </w:p>
          <w:p>
            <w:pPr>
              <w:pStyle w:val="TableParagraph"/>
              <w:ind w:left="112" w:right="122"/>
              <w:rPr>
                <w:sz w:val="20"/>
              </w:rPr>
            </w:pPr>
            <w:r>
              <w:rPr>
                <w:color w:val="0000FF"/>
                <w:sz w:val="20"/>
              </w:rPr>
              <w:t>Recreation areas</w:t>
            </w:r>
            <w:r>
              <w:rPr>
                <w:color w:val="0000FF"/>
                <w:spacing w:val="-5"/>
                <w:sz w:val="20"/>
              </w:rPr>
              <w:t> </w:t>
            </w:r>
            <w:r>
              <w:rPr>
                <w:color w:val="0000FF"/>
                <w:sz w:val="20"/>
              </w:rPr>
              <w:t>may</w:t>
            </w:r>
          </w:p>
          <w:p>
            <w:pPr>
              <w:pStyle w:val="TableParagraph"/>
              <w:spacing w:line="237" w:lineRule="auto" w:before="3"/>
              <w:ind w:left="112" w:right="222"/>
              <w:rPr>
                <w:sz w:val="20"/>
              </w:rPr>
            </w:pPr>
            <w:r>
              <w:rPr>
                <w:color w:val="0000FF"/>
                <w:sz w:val="20"/>
              </w:rPr>
              <w:t>used for flood storage</w:t>
            </w:r>
            <w:r>
              <w:rPr>
                <w:color w:val="0000FF"/>
                <w:spacing w:val="-2"/>
                <w:sz w:val="20"/>
              </w:rPr>
              <w:t> </w:t>
            </w:r>
            <w:r>
              <w:rPr>
                <w:color w:val="0000FF"/>
                <w:sz w:val="20"/>
              </w:rPr>
              <w:t>on</w:t>
            </w:r>
          </w:p>
        </w:tc>
      </w:tr>
      <w:tr>
        <w:trPr>
          <w:trHeight w:val="573"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shd w:val="clear" w:color="auto" w:fill="CCFFCC"/>
          </w:tcPr>
          <w:p>
            <w:pPr>
              <w:pStyle w:val="TableParagraph"/>
              <w:spacing w:line="225" w:lineRule="exact"/>
              <w:ind w:left="109"/>
              <w:rPr>
                <w:i/>
                <w:sz w:val="20"/>
              </w:rPr>
            </w:pPr>
            <w:r>
              <w:rPr>
                <w:i/>
                <w:sz w:val="20"/>
              </w:rPr>
              <w:t>A) CULTURE FOR ALL?</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573"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shd w:val="clear" w:color="auto" w:fill="CCFFCC"/>
          </w:tcPr>
          <w:p>
            <w:pPr>
              <w:pStyle w:val="TableParagraph"/>
              <w:spacing w:line="225" w:lineRule="exact"/>
              <w:ind w:left="109"/>
              <w:rPr>
                <w:i/>
                <w:sz w:val="20"/>
              </w:rPr>
            </w:pPr>
            <w:r>
              <w:rPr>
                <w:i/>
                <w:sz w:val="20"/>
              </w:rPr>
              <w:t>B) LEISURE FOR ALL?</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bl>
    <w:p>
      <w:pPr>
        <w:pStyle w:val="BodyText"/>
        <w:spacing w:before="8"/>
        <w:rPr>
          <w:rFonts w:ascii="Times New Roman"/>
          <w:sz w:val="22"/>
        </w:rPr>
      </w:pPr>
      <w:r>
        <w:rPr/>
        <w:pict>
          <v:line style="position:absolute;mso-position-horizontal-relative:page;mso-position-vertical-relative:paragraph;z-index:1544;mso-wrap-distance-left:0;mso-wrap-distance-right:0" from="72pt,15.3pt" to="778.920022pt,15.3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 Climatic</w:t>
      </w:r>
      <w:r>
        <w:rPr>
          <w:spacing w:val="-19"/>
          <w:sz w:val="20"/>
        </w:rPr>
        <w:t> </w:t>
      </w:r>
      <w:r>
        <w:rPr>
          <w:sz w:val="20"/>
        </w:rPr>
        <w:t>factors</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Material</w:t>
      </w:r>
      <w:r>
        <w:rPr>
          <w:spacing w:val="-14"/>
          <w:sz w:val="20"/>
        </w:rPr>
        <w:t> </w:t>
      </w:r>
      <w:r>
        <w:rPr>
          <w:sz w:val="20"/>
        </w:rPr>
        <w:t>assets</w:t>
      </w:r>
    </w:p>
    <w:p>
      <w:pPr>
        <w:spacing w:after="0" w:line="254" w:lineRule="exact"/>
        <w:jc w:val="left"/>
        <w:rPr>
          <w:sz w:val="20"/>
        </w:rPr>
        <w:sectPr>
          <w:pgSz w:w="16840" w:h="11910" w:orient="landscape"/>
          <w:pgMar w:header="0" w:footer="814" w:top="1100" w:bottom="100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tcBorders>
              <w:bottom w:val="nil"/>
            </w:tcBorders>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tcBorders>
              <w:bottom w:val="nil"/>
            </w:tcBorders>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bottom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bottom w:val="nil"/>
            </w:tcBorders>
            <w:shd w:val="clear" w:color="auto" w:fill="FF0000"/>
          </w:tcPr>
          <w:p>
            <w:pPr>
              <w:rPr>
                <w:sz w:val="2"/>
                <w:szCs w:val="2"/>
              </w:rPr>
            </w:pPr>
          </w:p>
        </w:tc>
      </w:tr>
      <w:tr>
        <w:trPr>
          <w:trHeight w:val="688" w:hRule="atLeast"/>
        </w:trPr>
        <w:tc>
          <w:tcPr>
            <w:tcW w:w="2846" w:type="dxa"/>
          </w:tcPr>
          <w:p>
            <w:pPr>
              <w:pStyle w:val="TableParagraph"/>
              <w:rPr>
                <w:rFonts w:ascii="Times New Roman"/>
                <w:sz w:val="18"/>
              </w:rPr>
            </w:pPr>
          </w:p>
        </w:tc>
        <w:tc>
          <w:tcPr>
            <w:tcW w:w="2416" w:type="dxa"/>
            <w:tcBorders>
              <w:top w:val="nil"/>
            </w:tcBorders>
          </w:tcPr>
          <w:p>
            <w:pPr>
              <w:pStyle w:val="TableParagraph"/>
              <w:rPr>
                <w:rFonts w:ascii="Times New Roman"/>
                <w:sz w:val="18"/>
              </w:rPr>
            </w:pPr>
          </w:p>
        </w:tc>
        <w:tc>
          <w:tcPr>
            <w:tcW w:w="2918" w:type="dxa"/>
            <w:shd w:val="clear" w:color="auto" w:fill="CCFFCC"/>
          </w:tcPr>
          <w:p>
            <w:pPr>
              <w:pStyle w:val="TableParagraph"/>
              <w:ind w:left="109" w:right="689"/>
              <w:rPr>
                <w:i/>
                <w:sz w:val="20"/>
              </w:rPr>
            </w:pPr>
            <w:r>
              <w:rPr>
                <w:i/>
                <w:sz w:val="20"/>
              </w:rPr>
              <w:t>C) RECREATIONAL ACTIVITIES FOR ALL?</w:t>
            </w:r>
          </w:p>
        </w:tc>
        <w:tc>
          <w:tcPr>
            <w:tcW w:w="801" w:type="dxa"/>
          </w:tcPr>
          <w:p>
            <w:pPr>
              <w:pStyle w:val="TableParagraph"/>
              <w:spacing w:before="8"/>
              <w:rPr>
                <w:rFonts w:ascii="Times New Roman"/>
                <w:sz w:val="19"/>
              </w:rPr>
            </w:pPr>
          </w:p>
          <w:p>
            <w:pPr>
              <w:pStyle w:val="TableParagraph"/>
              <w:spacing w:before="1"/>
              <w:ind w:left="14"/>
              <w:jc w:val="center"/>
              <w:rPr>
                <w:sz w:val="20"/>
              </w:rPr>
            </w:pPr>
            <w:r>
              <w:rPr>
                <w:color w:val="0000FF"/>
                <w:w w:val="99"/>
                <w:sz w:val="20"/>
              </w:rPr>
              <w:t>+</w:t>
            </w:r>
          </w:p>
        </w:tc>
        <w:tc>
          <w:tcPr>
            <w:tcW w:w="2104" w:type="dxa"/>
          </w:tcPr>
          <w:p>
            <w:pPr>
              <w:pStyle w:val="TableParagraph"/>
              <w:ind w:left="110" w:right="407"/>
              <w:rPr>
                <w:sz w:val="20"/>
              </w:rPr>
            </w:pPr>
            <w:r>
              <w:rPr>
                <w:color w:val="0000FF"/>
                <w:sz w:val="20"/>
              </w:rPr>
              <w:t>passes and upstream storage</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Borders>
              <w:top w:val="nil"/>
            </w:tcBorders>
          </w:tcPr>
          <w:p>
            <w:pPr>
              <w:pStyle w:val="TableParagraph"/>
              <w:spacing w:line="227" w:lineRule="exact"/>
              <w:ind w:left="112"/>
              <w:rPr>
                <w:sz w:val="20"/>
              </w:rPr>
            </w:pPr>
            <w:r>
              <w:rPr>
                <w:color w:val="0000FF"/>
                <w:sz w:val="20"/>
              </w:rPr>
              <w:t>some</w:t>
            </w:r>
          </w:p>
          <w:p>
            <w:pPr>
              <w:pStyle w:val="TableParagraph"/>
              <w:spacing w:line="228" w:lineRule="exact" w:before="5"/>
              <w:ind w:left="112" w:right="122"/>
              <w:rPr>
                <w:sz w:val="20"/>
              </w:rPr>
            </w:pPr>
            <w:r>
              <w:rPr>
                <w:color w:val="0000FF"/>
                <w:sz w:val="20"/>
              </w:rPr>
              <w:t>occasions – last resort</w:t>
            </w:r>
          </w:p>
        </w:tc>
      </w:tr>
      <w:tr>
        <w:trPr>
          <w:trHeight w:val="224" w:hRule="atLeast"/>
        </w:trPr>
        <w:tc>
          <w:tcPr>
            <w:tcW w:w="2846" w:type="dxa"/>
            <w:tcBorders>
              <w:bottom w:val="nil"/>
            </w:tcBorders>
          </w:tcPr>
          <w:p>
            <w:pPr>
              <w:pStyle w:val="TableParagraph"/>
              <w:spacing w:line="205" w:lineRule="exact"/>
              <w:ind w:right="101"/>
              <w:jc w:val="right"/>
              <w:rPr>
                <w:sz w:val="20"/>
              </w:rPr>
            </w:pPr>
            <w:r>
              <w:rPr>
                <w:w w:val="95"/>
                <w:sz w:val="20"/>
              </w:rPr>
              <w:t>Midstream</w:t>
            </w:r>
          </w:p>
        </w:tc>
        <w:tc>
          <w:tcPr>
            <w:tcW w:w="2416" w:type="dxa"/>
            <w:tcBorders>
              <w:bottom w:val="nil"/>
            </w:tcBorders>
          </w:tcPr>
          <w:p>
            <w:pPr>
              <w:pStyle w:val="TableParagraph"/>
              <w:spacing w:line="205" w:lineRule="exact"/>
              <w:ind w:left="108"/>
              <w:rPr>
                <w:sz w:val="20"/>
              </w:rPr>
            </w:pPr>
            <w:r>
              <w:rPr>
                <w:sz w:val="20"/>
              </w:rPr>
              <w:t>SA9: Mixed</w:t>
            </w:r>
          </w:p>
        </w:tc>
        <w:tc>
          <w:tcPr>
            <w:tcW w:w="2918" w:type="dxa"/>
            <w:tcBorders>
              <w:bottom w:val="nil"/>
            </w:tcBorders>
            <w:shd w:val="clear" w:color="auto" w:fill="98CCFF"/>
          </w:tcPr>
          <w:p>
            <w:pPr>
              <w:pStyle w:val="TableParagraph"/>
              <w:spacing w:line="205" w:lineRule="exact"/>
              <w:ind w:left="109"/>
              <w:rPr>
                <w:sz w:val="20"/>
              </w:rPr>
            </w:pPr>
            <w:r>
              <w:rPr>
                <w:sz w:val="20"/>
              </w:rPr>
              <w:t>SA9: Mixed neighbourhoods</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sz w:val="20"/>
              </w:rPr>
            </w:pPr>
            <w:r>
              <w:rPr>
                <w:sz w:val="20"/>
              </w:rPr>
              <w:t>neighbourhoods</w:t>
            </w:r>
          </w:p>
        </w:tc>
        <w:tc>
          <w:tcPr>
            <w:tcW w:w="2918" w:type="dxa"/>
            <w:tcBorders>
              <w:top w:val="nil"/>
              <w:bottom w:val="nil"/>
            </w:tcBorders>
            <w:shd w:val="clear" w:color="auto" w:fill="98CCFF"/>
          </w:tcPr>
          <w:p>
            <w:pPr>
              <w:pStyle w:val="TableParagraph"/>
              <w:spacing w:line="200" w:lineRule="exact"/>
              <w:ind w:left="109"/>
              <w:rPr>
                <w:i/>
                <w:sz w:val="20"/>
              </w:rPr>
            </w:pPr>
            <w:r>
              <w:rPr>
                <w:i/>
                <w:sz w:val="20"/>
              </w:rPr>
              <w:t>How does the contribution to</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A range of cultural</w:t>
            </w:r>
          </w:p>
        </w:tc>
        <w:tc>
          <w:tcPr>
            <w:tcW w:w="2918" w:type="dxa"/>
            <w:tcBorders>
              <w:top w:val="nil"/>
              <w:bottom w:val="nil"/>
            </w:tcBorders>
            <w:shd w:val="clear" w:color="auto" w:fill="98CCFF"/>
          </w:tcPr>
          <w:p>
            <w:pPr>
              <w:pStyle w:val="TableParagraph"/>
              <w:spacing w:line="199" w:lineRule="exact"/>
              <w:ind w:left="109"/>
              <w:rPr>
                <w:i/>
                <w:sz w:val="20"/>
              </w:rPr>
            </w:pPr>
            <w:r>
              <w:rPr>
                <w:i/>
                <w:sz w:val="20"/>
              </w:rPr>
              <w:t>culture, leisure and recreation</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1"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2" w:lineRule="exact"/>
              <w:ind w:left="108"/>
              <w:rPr>
                <w:i/>
                <w:sz w:val="20"/>
              </w:rPr>
            </w:pPr>
            <w:r>
              <w:rPr>
                <w:i/>
                <w:sz w:val="20"/>
              </w:rPr>
              <w:t>opportunities provide</w:t>
            </w:r>
          </w:p>
        </w:tc>
        <w:tc>
          <w:tcPr>
            <w:tcW w:w="2918" w:type="dxa"/>
            <w:tcBorders>
              <w:top w:val="nil"/>
              <w:bottom w:val="nil"/>
            </w:tcBorders>
            <w:shd w:val="clear" w:color="auto" w:fill="98CCFF"/>
          </w:tcPr>
          <w:p>
            <w:pPr>
              <w:pStyle w:val="TableParagraph"/>
              <w:spacing w:line="202" w:lineRule="exact"/>
              <w:ind w:left="109"/>
              <w:rPr>
                <w:i/>
                <w:sz w:val="20"/>
              </w:rPr>
            </w:pPr>
            <w:r>
              <w:rPr>
                <w:i/>
                <w:sz w:val="20"/>
              </w:rPr>
              <w:t>affect neighbourhood</w:t>
            </w:r>
          </w:p>
        </w:tc>
        <w:tc>
          <w:tcPr>
            <w:tcW w:w="801" w:type="dxa"/>
            <w:tcBorders>
              <w:top w:val="nil"/>
              <w:bottom w:val="nil"/>
            </w:tcBorders>
          </w:tcPr>
          <w:p>
            <w:pPr>
              <w:pStyle w:val="TableParagraph"/>
              <w:spacing w:line="202" w:lineRule="exact"/>
              <w:ind w:left="13"/>
              <w:jc w:val="center"/>
              <w:rPr>
                <w:sz w:val="20"/>
              </w:rPr>
            </w:pPr>
            <w:r>
              <w:rPr>
                <w:color w:val="0000FF"/>
                <w:w w:val="99"/>
                <w:sz w:val="20"/>
              </w:rPr>
              <w:t>0</w:t>
            </w:r>
          </w:p>
        </w:tc>
        <w:tc>
          <w:tcPr>
            <w:tcW w:w="2104" w:type="dxa"/>
            <w:tcBorders>
              <w:top w:val="nil"/>
              <w:bottom w:val="nil"/>
            </w:tcBorders>
          </w:tcPr>
          <w:p>
            <w:pPr>
              <w:pStyle w:val="TableParagraph"/>
              <w:spacing w:line="202" w:lineRule="exact"/>
              <w:ind w:left="110"/>
              <w:rPr>
                <w:sz w:val="20"/>
              </w:rPr>
            </w:pPr>
            <w:r>
              <w:rPr>
                <w:color w:val="0000FF"/>
                <w:sz w:val="20"/>
              </w:rPr>
              <w:t>Neutral impact</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more opportunities for</w:t>
            </w:r>
          </w:p>
        </w:tc>
        <w:tc>
          <w:tcPr>
            <w:tcW w:w="2918" w:type="dxa"/>
            <w:tcBorders>
              <w:top w:val="nil"/>
              <w:bottom w:val="nil"/>
            </w:tcBorders>
            <w:shd w:val="clear" w:color="auto" w:fill="98CCFF"/>
          </w:tcPr>
          <w:p>
            <w:pPr>
              <w:pStyle w:val="TableParagraph"/>
              <w:spacing w:line="199" w:lineRule="exact"/>
              <w:ind w:left="109"/>
              <w:rPr>
                <w:i/>
                <w:sz w:val="20"/>
              </w:rPr>
            </w:pPr>
            <w:r>
              <w:rPr>
                <w:i/>
                <w:sz w:val="20"/>
              </w:rPr>
              <w:t>relations?</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mixing between different</w:t>
            </w:r>
          </w:p>
        </w:tc>
        <w:tc>
          <w:tcPr>
            <w:tcW w:w="2918" w:type="dxa"/>
            <w:tcBorders>
              <w:top w:val="nil"/>
              <w:bottom w:val="nil"/>
            </w:tcBorders>
            <w:shd w:val="clear" w:color="auto" w:fill="98CCFF"/>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sectors of the</w:t>
            </w:r>
          </w:p>
        </w:tc>
        <w:tc>
          <w:tcPr>
            <w:tcW w:w="2918" w:type="dxa"/>
            <w:tcBorders>
              <w:top w:val="nil"/>
              <w:bottom w:val="nil"/>
            </w:tcBorders>
            <w:shd w:val="clear" w:color="auto" w:fill="98CCFF"/>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7"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7" w:lineRule="exact"/>
              <w:ind w:left="108"/>
              <w:rPr>
                <w:i/>
                <w:sz w:val="20"/>
              </w:rPr>
            </w:pPr>
            <w:r>
              <w:rPr>
                <w:i/>
                <w:sz w:val="20"/>
              </w:rPr>
              <w:t>community.</w:t>
            </w:r>
          </w:p>
        </w:tc>
        <w:tc>
          <w:tcPr>
            <w:tcW w:w="2918" w:type="dxa"/>
            <w:tcBorders>
              <w:top w:val="nil"/>
            </w:tcBorders>
            <w:shd w:val="clear" w:color="auto" w:fill="98CCFF"/>
          </w:tcPr>
          <w:p>
            <w:pPr>
              <w:pStyle w:val="TableParagraph"/>
              <w:rPr>
                <w:rFonts w:ascii="Times New Roman"/>
                <w:sz w:val="16"/>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948" w:hRule="atLeast"/>
        </w:trPr>
        <w:tc>
          <w:tcPr>
            <w:tcW w:w="2846" w:type="dxa"/>
            <w:tcBorders>
              <w:bottom w:val="nil"/>
            </w:tcBorders>
          </w:tcPr>
          <w:p>
            <w:pPr>
              <w:pStyle w:val="TableParagraph"/>
              <w:spacing w:line="227" w:lineRule="exact"/>
              <w:ind w:right="101"/>
              <w:jc w:val="right"/>
              <w:rPr>
                <w:sz w:val="20"/>
              </w:rPr>
            </w:pPr>
            <w:r>
              <w:rPr>
                <w:w w:val="95"/>
                <w:sz w:val="20"/>
              </w:rPr>
              <w:t>Midstream</w:t>
            </w:r>
          </w:p>
        </w:tc>
        <w:tc>
          <w:tcPr>
            <w:tcW w:w="2416" w:type="dxa"/>
            <w:tcBorders>
              <w:bottom w:val="nil"/>
            </w:tcBorders>
          </w:tcPr>
          <w:p>
            <w:pPr>
              <w:pStyle w:val="TableParagraph"/>
              <w:ind w:left="108" w:right="299"/>
              <w:rPr>
                <w:i/>
                <w:sz w:val="20"/>
              </w:rPr>
            </w:pPr>
            <w:r>
              <w:rPr>
                <w:sz w:val="20"/>
              </w:rPr>
              <w:t>SA10: Social inclusion and community empowerment </w:t>
            </w:r>
            <w:r>
              <w:rPr>
                <w:i/>
                <w:sz w:val="20"/>
              </w:rPr>
              <w:t>Provision of free or</w:t>
            </w:r>
          </w:p>
          <w:p>
            <w:pPr>
              <w:pStyle w:val="TableParagraph"/>
              <w:ind w:left="108" w:right="110"/>
              <w:rPr>
                <w:i/>
                <w:sz w:val="20"/>
              </w:rPr>
            </w:pPr>
            <w:r>
              <w:rPr>
                <w:i/>
                <w:sz w:val="20"/>
              </w:rPr>
              <w:t>subsidised CLR facilities would improve access for more people in the community.</w:t>
            </w:r>
          </w:p>
        </w:tc>
        <w:tc>
          <w:tcPr>
            <w:tcW w:w="2918" w:type="dxa"/>
            <w:tcBorders>
              <w:bottom w:val="nil"/>
            </w:tcBorders>
            <w:shd w:val="clear" w:color="auto" w:fill="98CCFF"/>
          </w:tcPr>
          <w:p>
            <w:pPr>
              <w:pStyle w:val="TableParagraph"/>
              <w:ind w:left="109" w:right="144"/>
              <w:rPr>
                <w:i/>
                <w:sz w:val="20"/>
              </w:rPr>
            </w:pPr>
            <w:r>
              <w:rPr>
                <w:sz w:val="20"/>
              </w:rPr>
              <w:t>SA10: Social inclusion and community empowerment </w:t>
            </w:r>
            <w:r>
              <w:rPr>
                <w:i/>
                <w:sz w:val="20"/>
              </w:rPr>
              <w:t>How does the contribution to culture, leisure and recreation affect social inclusion and community empowerment?</w:t>
            </w:r>
          </w:p>
        </w:tc>
        <w:tc>
          <w:tcPr>
            <w:tcW w:w="801" w:type="dxa"/>
            <w:tcBorders>
              <w:bottom w:val="nil"/>
            </w:tcBorders>
          </w:tcPr>
          <w:p>
            <w:pPr>
              <w:pStyle w:val="TableParagraph"/>
              <w:rPr>
                <w:rFonts w:ascii="Times New Roman"/>
                <w:sz w:val="22"/>
              </w:rPr>
            </w:pPr>
          </w:p>
          <w:p>
            <w:pPr>
              <w:pStyle w:val="TableParagraph"/>
              <w:rPr>
                <w:rFonts w:ascii="Times New Roman"/>
                <w:sz w:val="22"/>
              </w:rPr>
            </w:pPr>
          </w:p>
          <w:p>
            <w:pPr>
              <w:pStyle w:val="TableParagraph"/>
              <w:spacing w:before="182"/>
              <w:ind w:left="13"/>
              <w:jc w:val="center"/>
              <w:rPr>
                <w:sz w:val="20"/>
              </w:rPr>
            </w:pPr>
            <w:r>
              <w:rPr>
                <w:color w:val="0000FF"/>
                <w:w w:val="99"/>
                <w:sz w:val="20"/>
              </w:rPr>
              <w:t>0</w:t>
            </w:r>
          </w:p>
        </w:tc>
        <w:tc>
          <w:tcPr>
            <w:tcW w:w="2104" w:type="dxa"/>
            <w:tcBorders>
              <w:bottom w:val="nil"/>
            </w:tcBorders>
          </w:tcPr>
          <w:p>
            <w:pPr>
              <w:pStyle w:val="TableParagraph"/>
              <w:rPr>
                <w:rFonts w:ascii="Times New Roman"/>
                <w:sz w:val="22"/>
              </w:rPr>
            </w:pPr>
          </w:p>
          <w:p>
            <w:pPr>
              <w:pStyle w:val="TableParagraph"/>
              <w:rPr>
                <w:rFonts w:ascii="Times New Roman"/>
                <w:sz w:val="22"/>
              </w:rPr>
            </w:pPr>
          </w:p>
          <w:p>
            <w:pPr>
              <w:pStyle w:val="TableParagraph"/>
              <w:spacing w:before="182"/>
              <w:ind w:left="110" w:right="529"/>
              <w:rPr>
                <w:sz w:val="20"/>
              </w:rPr>
            </w:pPr>
            <w:r>
              <w:rPr>
                <w:color w:val="0000FF"/>
                <w:sz w:val="20"/>
              </w:rPr>
              <w:t>Marginal/neutral impact</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1491" w:hRule="atLeast"/>
        </w:trPr>
        <w:tc>
          <w:tcPr>
            <w:tcW w:w="2846" w:type="dxa"/>
            <w:tcBorders>
              <w:top w:val="nil"/>
            </w:tcBorders>
          </w:tcPr>
          <w:p>
            <w:pPr>
              <w:pStyle w:val="TableParagraph"/>
              <w:rPr>
                <w:rFonts w:ascii="Times New Roman"/>
                <w:sz w:val="18"/>
              </w:rPr>
            </w:pPr>
          </w:p>
        </w:tc>
        <w:tc>
          <w:tcPr>
            <w:tcW w:w="2416" w:type="dxa"/>
            <w:tcBorders>
              <w:top w:val="nil"/>
            </w:tcBorders>
          </w:tcPr>
          <w:p>
            <w:pPr>
              <w:pStyle w:val="TableParagraph"/>
              <w:spacing w:before="107"/>
              <w:ind w:left="108" w:right="332"/>
              <w:rPr>
                <w:i/>
                <w:sz w:val="20"/>
              </w:rPr>
            </w:pPr>
            <w:r>
              <w:rPr>
                <w:i/>
                <w:sz w:val="20"/>
              </w:rPr>
              <w:t>Culture, leisure and recreational</w:t>
            </w:r>
            <w:r>
              <w:rPr>
                <w:i/>
                <w:spacing w:val="-11"/>
                <w:sz w:val="20"/>
              </w:rPr>
              <w:t> </w:t>
            </w:r>
            <w:r>
              <w:rPr>
                <w:i/>
                <w:sz w:val="20"/>
              </w:rPr>
              <w:t>amenities will aid cohesive communities by provided a</w:t>
            </w:r>
            <w:r>
              <w:rPr>
                <w:i/>
                <w:spacing w:val="-4"/>
                <w:sz w:val="20"/>
              </w:rPr>
              <w:t> </w:t>
            </w:r>
            <w:r>
              <w:rPr>
                <w:i/>
                <w:sz w:val="20"/>
              </w:rPr>
              <w:t>shared</w:t>
            </w:r>
          </w:p>
          <w:p>
            <w:pPr>
              <w:pStyle w:val="TableParagraph"/>
              <w:spacing w:line="215" w:lineRule="exact"/>
              <w:ind w:left="108"/>
              <w:rPr>
                <w:i/>
                <w:sz w:val="20"/>
              </w:rPr>
            </w:pPr>
            <w:r>
              <w:rPr>
                <w:i/>
                <w:sz w:val="20"/>
              </w:rPr>
              <w:t>community</w:t>
            </w:r>
            <w:r>
              <w:rPr>
                <w:i/>
                <w:spacing w:val="-6"/>
                <w:sz w:val="20"/>
              </w:rPr>
              <w:t> </w:t>
            </w:r>
            <w:r>
              <w:rPr>
                <w:i/>
                <w:sz w:val="20"/>
              </w:rPr>
              <w:t>focus.</w:t>
            </w:r>
          </w:p>
        </w:tc>
        <w:tc>
          <w:tcPr>
            <w:tcW w:w="2918" w:type="dxa"/>
            <w:tcBorders>
              <w:top w:val="nil"/>
            </w:tcBorders>
            <w:shd w:val="clear" w:color="auto" w:fill="98CCFF"/>
          </w:tcPr>
          <w:p>
            <w:pPr>
              <w:pStyle w:val="TableParagraph"/>
              <w:rPr>
                <w:rFonts w:ascii="Times New Roman"/>
                <w:sz w:val="18"/>
              </w:rPr>
            </w:pPr>
          </w:p>
        </w:tc>
        <w:tc>
          <w:tcPr>
            <w:tcW w:w="801" w:type="dxa"/>
            <w:tcBorders>
              <w:top w:val="nil"/>
            </w:tcBorders>
          </w:tcPr>
          <w:p>
            <w:pPr>
              <w:pStyle w:val="TableParagraph"/>
              <w:rPr>
                <w:rFonts w:ascii="Times New Roman"/>
                <w:sz w:val="18"/>
              </w:rPr>
            </w:pP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935"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spacing w:line="229" w:lineRule="exact" w:before="4"/>
              <w:ind w:left="108"/>
              <w:rPr>
                <w:sz w:val="20"/>
              </w:rPr>
            </w:pPr>
            <w:r>
              <w:rPr>
                <w:sz w:val="20"/>
              </w:rPr>
              <w:t>SA14: Health</w:t>
            </w:r>
          </w:p>
          <w:p>
            <w:pPr>
              <w:pStyle w:val="TableParagraph"/>
              <w:ind w:left="108"/>
              <w:rPr>
                <w:i/>
                <w:sz w:val="20"/>
              </w:rPr>
            </w:pPr>
            <w:r>
              <w:rPr>
                <w:i/>
                <w:sz w:val="20"/>
              </w:rPr>
              <w:t>Access to more/better cultural, recreational and</w:t>
            </w:r>
          </w:p>
          <w:p>
            <w:pPr>
              <w:pStyle w:val="TableParagraph"/>
              <w:spacing w:line="223" w:lineRule="exact"/>
              <w:ind w:left="108"/>
              <w:rPr>
                <w:i/>
                <w:sz w:val="20"/>
              </w:rPr>
            </w:pPr>
            <w:r>
              <w:rPr>
                <w:i/>
                <w:sz w:val="20"/>
              </w:rPr>
              <w:t>particularly leisure</w:t>
            </w:r>
          </w:p>
        </w:tc>
        <w:tc>
          <w:tcPr>
            <w:tcW w:w="2918" w:type="dxa"/>
            <w:shd w:val="clear" w:color="auto" w:fill="CCFFCC"/>
          </w:tcPr>
          <w:p>
            <w:pPr>
              <w:pStyle w:val="TableParagraph"/>
              <w:spacing w:line="242" w:lineRule="exact"/>
              <w:ind w:left="109"/>
              <w:rPr>
                <w:rFonts w:ascii="Symbol" w:hAnsi="Symbol"/>
                <w:sz w:val="20"/>
              </w:rPr>
            </w:pPr>
            <w:r>
              <w:rPr>
                <w:sz w:val="20"/>
              </w:rPr>
              <w:t>SA14: Health</w:t>
            </w:r>
            <w:r>
              <w:rPr>
                <w:rFonts w:ascii="Symbol" w:hAnsi="Symbol"/>
                <w:sz w:val="20"/>
                <w:vertAlign w:val="superscript"/>
              </w:rPr>
              <w:t></w:t>
            </w:r>
          </w:p>
          <w:p>
            <w:pPr>
              <w:pStyle w:val="TableParagraph"/>
              <w:spacing w:line="227" w:lineRule="exact"/>
              <w:ind w:left="109"/>
              <w:rPr>
                <w:i/>
                <w:sz w:val="20"/>
              </w:rPr>
            </w:pPr>
            <w:r>
              <w:rPr>
                <w:i/>
                <w:sz w:val="20"/>
              </w:rPr>
              <w:t>How does the contribution to</w:t>
            </w:r>
          </w:p>
          <w:p>
            <w:pPr>
              <w:pStyle w:val="TableParagraph"/>
              <w:spacing w:line="228" w:lineRule="exact" w:before="6"/>
              <w:ind w:left="109" w:right="144"/>
              <w:rPr>
                <w:i/>
                <w:sz w:val="20"/>
              </w:rPr>
            </w:pPr>
            <w:r>
              <w:rPr>
                <w:i/>
                <w:sz w:val="20"/>
              </w:rPr>
              <w:t>culture, leisure and recreation affect health and health</w:t>
            </w:r>
          </w:p>
        </w:tc>
        <w:tc>
          <w:tcPr>
            <w:tcW w:w="801" w:type="dxa"/>
          </w:tcPr>
          <w:p>
            <w:pPr>
              <w:pStyle w:val="TableParagraph"/>
              <w:rPr>
                <w:rFonts w:ascii="Times New Roman"/>
                <w:sz w:val="22"/>
              </w:rPr>
            </w:pPr>
          </w:p>
          <w:p>
            <w:pPr>
              <w:pStyle w:val="TableParagraph"/>
              <w:rPr>
                <w:rFonts w:ascii="Times New Roman"/>
                <w:sz w:val="22"/>
              </w:rPr>
            </w:pPr>
          </w:p>
          <w:p>
            <w:pPr>
              <w:pStyle w:val="TableParagraph"/>
              <w:spacing w:before="180"/>
              <w:ind w:left="14"/>
              <w:jc w:val="center"/>
              <w:rPr>
                <w:sz w:val="20"/>
              </w:rPr>
            </w:pPr>
            <w:r>
              <w:rPr>
                <w:color w:val="0000FF"/>
                <w:w w:val="99"/>
                <w:sz w:val="20"/>
              </w:rPr>
              <w:t>+</w:t>
            </w:r>
          </w:p>
        </w:tc>
        <w:tc>
          <w:tcPr>
            <w:tcW w:w="2104" w:type="dxa"/>
          </w:tcPr>
          <w:p>
            <w:pPr>
              <w:pStyle w:val="TableParagraph"/>
              <w:spacing w:before="8"/>
              <w:rPr>
                <w:rFonts w:ascii="Times New Roman"/>
                <w:sz w:val="19"/>
              </w:rPr>
            </w:pPr>
          </w:p>
          <w:p>
            <w:pPr>
              <w:pStyle w:val="TableParagraph"/>
              <w:spacing w:before="1"/>
              <w:ind w:left="110" w:right="152"/>
              <w:rPr>
                <w:sz w:val="20"/>
              </w:rPr>
            </w:pPr>
            <w:r>
              <w:rPr>
                <w:color w:val="0000FF"/>
                <w:sz w:val="20"/>
              </w:rPr>
              <w:t>Some schemes may provide improved</w:t>
            </w:r>
          </w:p>
          <w:p>
            <w:pPr>
              <w:pStyle w:val="TableParagraph"/>
              <w:spacing w:line="228" w:lineRule="exact"/>
              <w:ind w:left="110"/>
              <w:rPr>
                <w:sz w:val="20"/>
              </w:rPr>
            </w:pPr>
            <w:r>
              <w:rPr>
                <w:color w:val="0000FF"/>
                <w:sz w:val="20"/>
              </w:rPr>
              <w:t>amenity value and</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bl>
    <w:p>
      <w:pPr>
        <w:spacing w:after="0"/>
        <w:rPr>
          <w:rFonts w:ascii="Times New Roman"/>
          <w:sz w:val="18"/>
        </w:rPr>
        <w:sectPr>
          <w:footerReference w:type="default" r:id="rId74"/>
          <w:footerReference w:type="even" r:id="rId75"/>
          <w:pgSz w:w="16840" w:h="11910" w:orient="landscape"/>
          <w:pgMar w:footer="1085" w:header="0" w:top="1100" w:bottom="128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688" w:hRule="atLeast"/>
        </w:trPr>
        <w:tc>
          <w:tcPr>
            <w:tcW w:w="2846" w:type="dxa"/>
          </w:tcPr>
          <w:p>
            <w:pPr>
              <w:pStyle w:val="TableParagraph"/>
              <w:rPr>
                <w:rFonts w:ascii="Times New Roman"/>
                <w:sz w:val="18"/>
              </w:rPr>
            </w:pPr>
          </w:p>
        </w:tc>
        <w:tc>
          <w:tcPr>
            <w:tcW w:w="2416" w:type="dxa"/>
          </w:tcPr>
          <w:p>
            <w:pPr>
              <w:pStyle w:val="TableParagraph"/>
              <w:spacing w:line="225" w:lineRule="exact"/>
              <w:ind w:left="108"/>
              <w:rPr>
                <w:i/>
                <w:sz w:val="20"/>
              </w:rPr>
            </w:pPr>
            <w:r>
              <w:rPr>
                <w:i/>
                <w:sz w:val="20"/>
              </w:rPr>
              <w:t>facilities may improve</w:t>
            </w:r>
          </w:p>
          <w:p>
            <w:pPr>
              <w:pStyle w:val="TableParagraph"/>
              <w:spacing w:line="228" w:lineRule="exact" w:before="5"/>
              <w:ind w:left="108" w:right="532"/>
              <w:rPr>
                <w:i/>
                <w:sz w:val="20"/>
              </w:rPr>
            </w:pPr>
            <w:r>
              <w:rPr>
                <w:i/>
                <w:sz w:val="20"/>
              </w:rPr>
              <w:t>physical fitness and mental wellbeing.</w:t>
            </w:r>
          </w:p>
        </w:tc>
        <w:tc>
          <w:tcPr>
            <w:tcW w:w="2918" w:type="dxa"/>
            <w:shd w:val="clear" w:color="auto" w:fill="CCFFCC"/>
          </w:tcPr>
          <w:p>
            <w:pPr>
              <w:pStyle w:val="TableParagraph"/>
              <w:spacing w:line="225" w:lineRule="exact"/>
              <w:ind w:left="109"/>
              <w:rPr>
                <w:i/>
                <w:sz w:val="20"/>
              </w:rPr>
            </w:pPr>
            <w:r>
              <w:rPr>
                <w:i/>
                <w:sz w:val="20"/>
              </w:rPr>
              <w:t>inequalities?</w:t>
            </w:r>
          </w:p>
        </w:tc>
        <w:tc>
          <w:tcPr>
            <w:tcW w:w="801" w:type="dxa"/>
          </w:tcPr>
          <w:p>
            <w:pPr>
              <w:pStyle w:val="TableParagraph"/>
              <w:rPr>
                <w:rFonts w:ascii="Times New Roman"/>
                <w:sz w:val="18"/>
              </w:rPr>
            </w:pPr>
          </w:p>
        </w:tc>
        <w:tc>
          <w:tcPr>
            <w:tcW w:w="2104" w:type="dxa"/>
          </w:tcPr>
          <w:p>
            <w:pPr>
              <w:pStyle w:val="TableParagraph"/>
              <w:spacing w:line="227" w:lineRule="exact"/>
              <w:ind w:left="110"/>
              <w:rPr>
                <w:sz w:val="20"/>
              </w:rPr>
            </w:pPr>
            <w:r>
              <w:rPr>
                <w:color w:val="0000FF"/>
                <w:sz w:val="20"/>
              </w:rPr>
              <w:t>health benefits</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224" w:hRule="atLeast"/>
        </w:trPr>
        <w:tc>
          <w:tcPr>
            <w:tcW w:w="2846" w:type="dxa"/>
            <w:tcBorders>
              <w:bottom w:val="nil"/>
            </w:tcBorders>
          </w:tcPr>
          <w:p>
            <w:pPr>
              <w:pStyle w:val="TableParagraph"/>
              <w:spacing w:line="205" w:lineRule="exact"/>
              <w:ind w:left="1615"/>
              <w:rPr>
                <w:sz w:val="20"/>
              </w:rPr>
            </w:pPr>
            <w:r>
              <w:rPr>
                <w:sz w:val="20"/>
              </w:rPr>
              <w:t>Downstream</w:t>
            </w:r>
          </w:p>
        </w:tc>
        <w:tc>
          <w:tcPr>
            <w:tcW w:w="2416" w:type="dxa"/>
            <w:tcBorders>
              <w:bottom w:val="nil"/>
            </w:tcBorders>
          </w:tcPr>
          <w:p>
            <w:pPr>
              <w:pStyle w:val="TableParagraph"/>
              <w:spacing w:line="205" w:lineRule="exact"/>
              <w:ind w:left="108"/>
              <w:rPr>
                <w:sz w:val="20"/>
              </w:rPr>
            </w:pPr>
            <w:r>
              <w:rPr>
                <w:sz w:val="20"/>
              </w:rPr>
              <w:t>SA15: Crime</w:t>
            </w:r>
          </w:p>
        </w:tc>
        <w:tc>
          <w:tcPr>
            <w:tcW w:w="2918" w:type="dxa"/>
            <w:tcBorders>
              <w:bottom w:val="nil"/>
            </w:tcBorders>
            <w:shd w:val="clear" w:color="auto" w:fill="FFFF98"/>
          </w:tcPr>
          <w:p>
            <w:pPr>
              <w:pStyle w:val="TableParagraph"/>
              <w:spacing w:line="205" w:lineRule="exact"/>
              <w:ind w:left="109"/>
              <w:rPr>
                <w:sz w:val="20"/>
              </w:rPr>
            </w:pPr>
            <w:r>
              <w:rPr>
                <w:sz w:val="20"/>
              </w:rPr>
              <w:t>SA15: Crime</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tcBorders>
              <w:bottom w:val="nil"/>
            </w:tcBorders>
          </w:tcPr>
          <w:p>
            <w:pPr>
              <w:pStyle w:val="TableParagraph"/>
              <w:rPr>
                <w:rFonts w:ascii="Times New Roman"/>
                <w:sz w:val="16"/>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Participation in sports</w:t>
            </w:r>
          </w:p>
        </w:tc>
        <w:tc>
          <w:tcPr>
            <w:tcW w:w="2918" w:type="dxa"/>
            <w:tcBorders>
              <w:top w:val="nil"/>
              <w:bottom w:val="nil"/>
            </w:tcBorders>
            <w:shd w:val="clear" w:color="auto" w:fill="FFFF98"/>
          </w:tcPr>
          <w:p>
            <w:pPr>
              <w:pStyle w:val="TableParagraph"/>
              <w:spacing w:line="200" w:lineRule="exact"/>
              <w:ind w:left="109"/>
              <w:rPr>
                <w:i/>
                <w:sz w:val="20"/>
              </w:rPr>
            </w:pPr>
            <w:r>
              <w:rPr>
                <w:i/>
                <w:sz w:val="20"/>
              </w:rPr>
              <w:t>How does the contribution to</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Marginal negative</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Maintain</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and other recreational</w:t>
            </w:r>
          </w:p>
        </w:tc>
        <w:tc>
          <w:tcPr>
            <w:tcW w:w="2918" w:type="dxa"/>
            <w:tcBorders>
              <w:top w:val="nil"/>
              <w:bottom w:val="nil"/>
            </w:tcBorders>
            <w:shd w:val="clear" w:color="auto" w:fill="FFFF98"/>
          </w:tcPr>
          <w:p>
            <w:pPr>
              <w:pStyle w:val="TableParagraph"/>
              <w:spacing w:line="200" w:lineRule="exact"/>
              <w:ind w:left="109"/>
              <w:rPr>
                <w:i/>
                <w:sz w:val="20"/>
              </w:rPr>
            </w:pPr>
            <w:r>
              <w:rPr>
                <w:i/>
                <w:sz w:val="20"/>
              </w:rPr>
              <w:t>culture, leisure and recreation</w:t>
            </w:r>
          </w:p>
        </w:tc>
        <w:tc>
          <w:tcPr>
            <w:tcW w:w="801" w:type="dxa"/>
            <w:tcBorders>
              <w:top w:val="nil"/>
              <w:bottom w:val="nil"/>
            </w:tcBorders>
          </w:tcPr>
          <w:p>
            <w:pPr>
              <w:pStyle w:val="TableParagraph"/>
              <w:spacing w:line="200" w:lineRule="exact"/>
              <w:ind w:left="12"/>
              <w:jc w:val="center"/>
              <w:rPr>
                <w:sz w:val="20"/>
              </w:rPr>
            </w:pPr>
            <w:r>
              <w:rPr>
                <w:color w:val="0000FF"/>
                <w:w w:val="99"/>
                <w:sz w:val="20"/>
              </w:rPr>
              <w:t>-</w:t>
            </w:r>
          </w:p>
        </w:tc>
        <w:tc>
          <w:tcPr>
            <w:tcW w:w="2104" w:type="dxa"/>
            <w:tcBorders>
              <w:top w:val="nil"/>
              <w:bottom w:val="nil"/>
            </w:tcBorders>
          </w:tcPr>
          <w:p>
            <w:pPr>
              <w:pStyle w:val="TableParagraph"/>
              <w:spacing w:line="200" w:lineRule="exact"/>
              <w:ind w:left="110"/>
              <w:rPr>
                <w:sz w:val="20"/>
              </w:rPr>
            </w:pPr>
            <w:r>
              <w:rPr>
                <w:color w:val="0000FF"/>
                <w:sz w:val="20"/>
              </w:rPr>
              <w:t>impact if recreational</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services e.g.</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activities may reduce</w:t>
            </w:r>
          </w:p>
        </w:tc>
        <w:tc>
          <w:tcPr>
            <w:tcW w:w="2918" w:type="dxa"/>
            <w:tcBorders>
              <w:top w:val="nil"/>
              <w:bottom w:val="nil"/>
            </w:tcBorders>
            <w:shd w:val="clear" w:color="auto" w:fill="FFFF98"/>
          </w:tcPr>
          <w:p>
            <w:pPr>
              <w:pStyle w:val="TableParagraph"/>
              <w:spacing w:line="200" w:lineRule="exact"/>
              <w:ind w:left="109"/>
              <w:rPr>
                <w:i/>
                <w:sz w:val="20"/>
              </w:rPr>
            </w:pPr>
            <w:r>
              <w:rPr>
                <w:i/>
                <w:sz w:val="20"/>
              </w:rPr>
              <w:t>affect crime?</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services e.g parks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Youth Service</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levels of certain crimes</w:t>
            </w:r>
          </w:p>
        </w:tc>
        <w:tc>
          <w:tcPr>
            <w:tcW w:w="2918" w:type="dxa"/>
            <w:tcBorders>
              <w:top w:val="nil"/>
              <w:bottom w:val="nil"/>
            </w:tcBorders>
            <w:shd w:val="clear" w:color="auto" w:fill="FFFF98"/>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used for flood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by providing alternative</w:t>
            </w:r>
          </w:p>
        </w:tc>
        <w:tc>
          <w:tcPr>
            <w:tcW w:w="2918" w:type="dxa"/>
            <w:tcBorders>
              <w:top w:val="nil"/>
              <w:bottom w:val="nil"/>
            </w:tcBorders>
            <w:shd w:val="clear" w:color="auto" w:fill="FFFF98"/>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storage</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17"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8" w:lineRule="exact"/>
              <w:ind w:left="108"/>
              <w:rPr>
                <w:i/>
                <w:sz w:val="20"/>
              </w:rPr>
            </w:pPr>
            <w:r>
              <w:rPr>
                <w:i/>
                <w:sz w:val="20"/>
              </w:rPr>
              <w:t>activities, particularly for</w:t>
            </w:r>
          </w:p>
        </w:tc>
        <w:tc>
          <w:tcPr>
            <w:tcW w:w="2918" w:type="dxa"/>
            <w:tcBorders>
              <w:top w:val="nil"/>
              <w:bottom w:val="nil"/>
            </w:tcBorders>
            <w:shd w:val="clear" w:color="auto" w:fill="FFFF98"/>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27"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7" w:lineRule="exact"/>
              <w:ind w:left="108"/>
              <w:rPr>
                <w:i/>
                <w:sz w:val="20"/>
              </w:rPr>
            </w:pPr>
            <w:r>
              <w:rPr>
                <w:i/>
                <w:sz w:val="20"/>
              </w:rPr>
              <w:t>young people?</w:t>
            </w:r>
          </w:p>
        </w:tc>
        <w:tc>
          <w:tcPr>
            <w:tcW w:w="2918" w:type="dxa"/>
            <w:tcBorders>
              <w:top w:val="nil"/>
            </w:tcBorders>
            <w:shd w:val="clear" w:color="auto" w:fill="FFFF98"/>
          </w:tcPr>
          <w:p>
            <w:pPr>
              <w:pStyle w:val="TableParagraph"/>
              <w:rPr>
                <w:rFonts w:ascii="Times New Roman"/>
                <w:sz w:val="16"/>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tcBorders>
          </w:tcPr>
          <w:p>
            <w:pPr>
              <w:pStyle w:val="TableParagraph"/>
              <w:rPr>
                <w:rFonts w:ascii="Times New Roman"/>
                <w:sz w:val="16"/>
              </w:rPr>
            </w:pPr>
          </w:p>
        </w:tc>
      </w:tr>
      <w:tr>
        <w:trPr>
          <w:trHeight w:val="1036" w:hRule="atLeast"/>
        </w:trPr>
        <w:tc>
          <w:tcPr>
            <w:tcW w:w="2846" w:type="dxa"/>
            <w:tcBorders>
              <w:bottom w:val="nil"/>
            </w:tcBorders>
          </w:tcPr>
          <w:p>
            <w:pPr>
              <w:pStyle w:val="TableParagraph"/>
              <w:ind w:left="107" w:right="486"/>
              <w:rPr>
                <w:b/>
                <w:sz w:val="20"/>
              </w:rPr>
            </w:pPr>
            <w:r>
              <w:rPr>
                <w:b/>
                <w:sz w:val="20"/>
              </w:rPr>
              <w:t>UPSTREAM SA4: BEST USE OF LAND</w:t>
            </w:r>
          </w:p>
          <w:p>
            <w:pPr>
              <w:pStyle w:val="TableParagraph"/>
              <w:ind w:left="107"/>
              <w:rPr>
                <w:i/>
                <w:sz w:val="20"/>
              </w:rPr>
            </w:pPr>
            <w:r>
              <w:rPr>
                <w:i/>
                <w:sz w:val="20"/>
              </w:rPr>
              <w:t>MAKE THE BEST USE OF LAND AS A RESOURCE</w:t>
            </w:r>
          </w:p>
        </w:tc>
        <w:tc>
          <w:tcPr>
            <w:tcW w:w="2416" w:type="dxa"/>
            <w:vMerge w:val="restart"/>
          </w:tcPr>
          <w:p>
            <w:pPr>
              <w:pStyle w:val="TableParagraph"/>
              <w:rPr>
                <w:rFonts w:ascii="Times New Roman"/>
                <w:sz w:val="18"/>
              </w:rPr>
            </w:pPr>
          </w:p>
        </w:tc>
        <w:tc>
          <w:tcPr>
            <w:tcW w:w="2918" w:type="dxa"/>
            <w:tcBorders>
              <w:bottom w:val="nil"/>
            </w:tcBorders>
          </w:tcPr>
          <w:p>
            <w:pPr>
              <w:pStyle w:val="TableParagraph"/>
              <w:ind w:left="109" w:right="230"/>
              <w:rPr>
                <w:i/>
                <w:sz w:val="20"/>
              </w:rPr>
            </w:pPr>
            <w:r>
              <w:rPr>
                <w:b/>
                <w:sz w:val="20"/>
              </w:rPr>
              <w:t>SA4: BEST USE OF LAND</w:t>
            </w:r>
            <w:r>
              <w:rPr>
                <w:rFonts w:ascii="Symbol" w:hAnsi="Symbol"/>
                <w:b/>
                <w:sz w:val="20"/>
                <w:vertAlign w:val="superscript"/>
              </w:rPr>
              <w:t></w:t>
            </w:r>
            <w:r>
              <w:rPr>
                <w:rFonts w:ascii="Times New Roman" w:hAnsi="Times New Roman"/>
                <w:b/>
                <w:sz w:val="20"/>
                <w:vertAlign w:val="baseline"/>
              </w:rPr>
              <w:t> </w:t>
            </w:r>
            <w:r>
              <w:rPr>
                <w:i/>
                <w:sz w:val="20"/>
                <w:vertAlign w:val="baseline"/>
              </w:rPr>
              <w:t>DOES IT MAKE BEST USE OF LAND AS A RESOURCE BY:-</w:t>
            </w:r>
          </w:p>
        </w:tc>
        <w:tc>
          <w:tcPr>
            <w:tcW w:w="801" w:type="dxa"/>
            <w:tcBorders>
              <w:bottom w:val="nil"/>
            </w:tcBorders>
          </w:tcPr>
          <w:p>
            <w:pPr>
              <w:pStyle w:val="TableParagraph"/>
              <w:rPr>
                <w:rFonts w:ascii="Times New Roman"/>
                <w:sz w:val="18"/>
              </w:rPr>
            </w:pPr>
          </w:p>
        </w:tc>
        <w:tc>
          <w:tcPr>
            <w:tcW w:w="2104" w:type="dxa"/>
            <w:tcBorders>
              <w:bottom w:val="nil"/>
            </w:tcBorders>
          </w:tcPr>
          <w:p>
            <w:pPr>
              <w:pStyle w:val="TableParagraph"/>
              <w:rPr>
                <w:rFonts w:ascii="Times New Roman"/>
                <w:sz w:val="18"/>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tcBorders>
              <w:bottom w:val="nil"/>
            </w:tcBorders>
          </w:tcPr>
          <w:p>
            <w:pPr>
              <w:pStyle w:val="TableParagraph"/>
              <w:rPr>
                <w:rFonts w:ascii="Times New Roman"/>
                <w:sz w:val="18"/>
              </w:rPr>
            </w:pPr>
          </w:p>
        </w:tc>
      </w:tr>
      <w:tr>
        <w:trPr>
          <w:trHeight w:val="119" w:hRule="atLeast"/>
        </w:trPr>
        <w:tc>
          <w:tcPr>
            <w:tcW w:w="2846" w:type="dxa"/>
            <w:vMerge w:val="restart"/>
            <w:tcBorders>
              <w:top w:val="nil"/>
              <w:bottom w:val="nil"/>
            </w:tcBorders>
          </w:tcPr>
          <w:p>
            <w:pPr>
              <w:pStyle w:val="TableParagraph"/>
              <w:rPr>
                <w:rFonts w:ascii="Times New Roman"/>
                <w:sz w:val="18"/>
              </w:rPr>
            </w:pPr>
          </w:p>
        </w:tc>
        <w:tc>
          <w:tcPr>
            <w:tcW w:w="2416" w:type="dxa"/>
            <w:vMerge/>
            <w:tcBorders>
              <w:top w:val="nil"/>
            </w:tcBorders>
          </w:tcPr>
          <w:p>
            <w:pPr>
              <w:rPr>
                <w:sz w:val="2"/>
                <w:szCs w:val="2"/>
              </w:rPr>
            </w:pPr>
          </w:p>
        </w:tc>
        <w:tc>
          <w:tcPr>
            <w:tcW w:w="2918" w:type="dxa"/>
            <w:tcBorders>
              <w:top w:val="nil"/>
            </w:tcBorders>
          </w:tcPr>
          <w:p>
            <w:pPr>
              <w:pStyle w:val="TableParagraph"/>
              <w:rPr>
                <w:rFonts w:ascii="Times New Roman"/>
                <w:sz w:val="6"/>
              </w:rPr>
            </w:pPr>
          </w:p>
        </w:tc>
        <w:tc>
          <w:tcPr>
            <w:tcW w:w="801" w:type="dxa"/>
            <w:vMerge w:val="restart"/>
            <w:tcBorders>
              <w:top w:val="nil"/>
              <w:bottom w:val="nil"/>
            </w:tcBorders>
          </w:tcPr>
          <w:p>
            <w:pPr>
              <w:pStyle w:val="TableParagraph"/>
              <w:rPr>
                <w:rFonts w:ascii="Times New Roman"/>
                <w:sz w:val="22"/>
              </w:rPr>
            </w:pPr>
          </w:p>
          <w:p>
            <w:pPr>
              <w:pStyle w:val="TableParagraph"/>
              <w:spacing w:before="8"/>
              <w:rPr>
                <w:rFonts w:ascii="Times New Roman"/>
                <w:sz w:val="26"/>
              </w:rPr>
            </w:pPr>
          </w:p>
          <w:p>
            <w:pPr>
              <w:pStyle w:val="TableParagraph"/>
              <w:ind w:left="14"/>
              <w:jc w:val="center"/>
              <w:rPr>
                <w:sz w:val="20"/>
              </w:rPr>
            </w:pPr>
            <w:r>
              <w:rPr>
                <w:color w:val="0000FF"/>
                <w:w w:val="99"/>
                <w:sz w:val="20"/>
              </w:rPr>
              <w:t>+</w:t>
            </w:r>
          </w:p>
        </w:tc>
        <w:tc>
          <w:tcPr>
            <w:tcW w:w="2104" w:type="dxa"/>
            <w:vMerge w:val="restart"/>
            <w:tcBorders>
              <w:top w:val="nil"/>
              <w:bottom w:val="nil"/>
            </w:tcBorders>
          </w:tcPr>
          <w:p>
            <w:pPr>
              <w:pStyle w:val="TableParagraph"/>
              <w:spacing w:before="99"/>
              <w:ind w:left="110" w:right="129"/>
              <w:rPr>
                <w:sz w:val="20"/>
              </w:rPr>
            </w:pPr>
            <w:r>
              <w:rPr>
                <w:color w:val="0000FF"/>
                <w:sz w:val="20"/>
              </w:rPr>
              <w:t>Sustainable development, use of SuDS, making most of open spaces/ green spaces.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val="restart"/>
            <w:tcBorders>
              <w:top w:val="nil"/>
              <w:bottom w:val="nil"/>
            </w:tcBorders>
          </w:tcPr>
          <w:p>
            <w:pPr>
              <w:pStyle w:val="TableParagraph"/>
              <w:rPr>
                <w:rFonts w:ascii="Times New Roman"/>
                <w:sz w:val="18"/>
              </w:rPr>
            </w:pPr>
          </w:p>
        </w:tc>
      </w:tr>
      <w:tr>
        <w:trPr>
          <w:trHeight w:val="1149" w:hRule="atLeast"/>
        </w:trPr>
        <w:tc>
          <w:tcPr>
            <w:tcW w:w="2846" w:type="dxa"/>
            <w:vMerge/>
            <w:tcBorders>
              <w:top w:val="nil"/>
              <w:bottom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ind w:left="109" w:right="320"/>
              <w:rPr>
                <w:i/>
                <w:sz w:val="20"/>
              </w:rPr>
            </w:pPr>
            <w:r>
              <w:rPr>
                <w:i/>
                <w:sz w:val="20"/>
              </w:rPr>
              <w:t>A) PROMOTING THE USE OF PREVIOUSLY DEVELOPED LAND?</w:t>
            </w:r>
          </w:p>
          <w:p>
            <w:pPr>
              <w:pStyle w:val="TableParagraph"/>
              <w:spacing w:before="5"/>
              <w:rPr>
                <w:rFonts w:ascii="Times New Roman"/>
                <w:sz w:val="19"/>
              </w:rPr>
            </w:pPr>
          </w:p>
          <w:p>
            <w:pPr>
              <w:pStyle w:val="TableParagraph"/>
              <w:spacing w:line="215" w:lineRule="exact"/>
              <w:ind w:left="109"/>
              <w:rPr>
                <w:i/>
                <w:sz w:val="20"/>
              </w:rPr>
            </w:pPr>
            <w:r>
              <w:rPr>
                <w:i/>
                <w:sz w:val="20"/>
              </w:rPr>
              <w:t>SEA (MATERIAL ASSET)</w:t>
            </w:r>
          </w:p>
        </w:tc>
        <w:tc>
          <w:tcPr>
            <w:tcW w:w="801" w:type="dxa"/>
            <w:vMerge/>
            <w:tcBorders>
              <w:top w:val="nil"/>
              <w:bottom w:val="nil"/>
            </w:tcBorders>
          </w:tcPr>
          <w:p>
            <w:pPr>
              <w:rPr>
                <w:sz w:val="2"/>
                <w:szCs w:val="2"/>
              </w:rPr>
            </w:pPr>
          </w:p>
        </w:tc>
        <w:tc>
          <w:tcPr>
            <w:tcW w:w="2104" w:type="dxa"/>
            <w:vMerge/>
            <w:tcBorders>
              <w:top w:val="nil"/>
              <w:bottom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bottom w:val="nil"/>
            </w:tcBorders>
          </w:tcPr>
          <w:p>
            <w:pPr>
              <w:rPr>
                <w:sz w:val="2"/>
                <w:szCs w:val="2"/>
              </w:rPr>
            </w:pPr>
          </w:p>
        </w:tc>
      </w:tr>
      <w:tr>
        <w:trPr>
          <w:trHeight w:val="1379" w:hRule="atLeast"/>
        </w:trPr>
        <w:tc>
          <w:tcPr>
            <w:tcW w:w="2846" w:type="dxa"/>
            <w:tcBorders>
              <w:top w:val="nil"/>
            </w:tcBorders>
          </w:tcPr>
          <w:p>
            <w:pPr>
              <w:pStyle w:val="TableParagraph"/>
              <w:rPr>
                <w:rFonts w:ascii="Times New Roman"/>
                <w:sz w:val="18"/>
              </w:rPr>
            </w:pPr>
          </w:p>
        </w:tc>
        <w:tc>
          <w:tcPr>
            <w:tcW w:w="2416" w:type="dxa"/>
            <w:vMerge/>
            <w:tcBorders>
              <w:top w:val="nil"/>
            </w:tcBorders>
          </w:tcPr>
          <w:p>
            <w:pPr>
              <w:rPr>
                <w:sz w:val="2"/>
                <w:szCs w:val="2"/>
              </w:rPr>
            </w:pPr>
          </w:p>
        </w:tc>
        <w:tc>
          <w:tcPr>
            <w:tcW w:w="2918" w:type="dxa"/>
            <w:shd w:val="clear" w:color="auto" w:fill="FFFF98"/>
          </w:tcPr>
          <w:p>
            <w:pPr>
              <w:pStyle w:val="TableParagraph"/>
              <w:ind w:left="109" w:right="145"/>
              <w:rPr>
                <w:i/>
                <w:sz w:val="20"/>
              </w:rPr>
            </w:pPr>
            <w:r>
              <w:rPr>
                <w:i/>
                <w:sz w:val="20"/>
              </w:rPr>
              <w:t>B) DEVELOPING AT AN APPROPRIATE DENSITY FOR THE AREA TO PROMOTE SUSTAINABLE DEVELOPMENT?</w:t>
            </w:r>
          </w:p>
        </w:tc>
        <w:tc>
          <w:tcPr>
            <w:tcW w:w="801"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146"/>
              <w:ind w:left="14"/>
              <w:jc w:val="center"/>
              <w:rPr>
                <w:sz w:val="20"/>
              </w:rPr>
            </w:pPr>
            <w:r>
              <w:rPr>
                <w:color w:val="0000FF"/>
                <w:w w:val="99"/>
                <w:sz w:val="20"/>
              </w:rPr>
              <w:t>+</w:t>
            </w: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tcBorders>
          </w:tcPr>
          <w:p>
            <w:pPr>
              <w:pStyle w:val="TableParagraph"/>
              <w:spacing w:before="191"/>
              <w:ind w:left="112" w:right="166"/>
              <w:rPr>
                <w:sz w:val="20"/>
              </w:rPr>
            </w:pPr>
            <w:r>
              <w:rPr>
                <w:color w:val="0000FF"/>
                <w:sz w:val="20"/>
              </w:rPr>
              <w:t>Strengthen objective 2 in the strategy to cover this</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rPr>
      </w:pPr>
      <w:r>
        <w:rPr/>
        <w:pict>
          <v:line style="position:absolute;mso-position-horizontal-relative:page;mso-position-vertical-relative:paragraph;z-index:1568;mso-wrap-distance-left:0;mso-wrap-distance-right:0" from="72pt,15.842932pt" to="216.000005pt,15.842932pt" stroked="true" strokeweight=".6pt" strokecolor="#000000">
            <v:stroke dashstyle="solid"/>
            <w10:wrap type="topAndBottom"/>
          </v:line>
        </w:pict>
      </w:r>
    </w:p>
    <w:p>
      <w:pPr>
        <w:pStyle w:val="ListParagraph"/>
        <w:numPr>
          <w:ilvl w:val="0"/>
          <w:numId w:val="55"/>
        </w:numPr>
        <w:tabs>
          <w:tab w:pos="341" w:val="left" w:leader="none"/>
        </w:tabs>
        <w:spacing w:line="240" w:lineRule="auto" w:before="62" w:after="0"/>
        <w:ind w:left="340" w:right="0" w:hanging="120"/>
        <w:jc w:val="left"/>
        <w:rPr>
          <w:sz w:val="20"/>
        </w:rPr>
      </w:pPr>
      <w:r>
        <w:rPr>
          <w:sz w:val="20"/>
        </w:rPr>
        <w:t>SEA Directive: Material</w:t>
      </w:r>
      <w:r>
        <w:rPr>
          <w:spacing w:val="2"/>
          <w:sz w:val="20"/>
        </w:rPr>
        <w:t> </w:t>
      </w:r>
      <w:r>
        <w:rPr>
          <w:sz w:val="20"/>
        </w:rPr>
        <w:t>asset</w:t>
      </w:r>
    </w:p>
    <w:p>
      <w:pPr>
        <w:spacing w:after="0" w:line="240" w:lineRule="auto"/>
        <w:jc w:val="left"/>
        <w:rPr>
          <w:sz w:val="20"/>
        </w:rPr>
        <w:sectPr>
          <w:pgSz w:w="16840" w:h="11910" w:orient="landscape"/>
          <w:pgMar w:header="0" w:footer="894" w:top="1100" w:bottom="108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tcBorders>
              <w:bottom w:val="nil"/>
            </w:tcBorders>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tcBorders>
              <w:bottom w:val="nil"/>
            </w:tcBorders>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bottom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bottom w:val="nil"/>
            </w:tcBorders>
            <w:shd w:val="clear" w:color="auto" w:fill="FF0000"/>
          </w:tcPr>
          <w:p>
            <w:pPr>
              <w:rPr>
                <w:sz w:val="2"/>
                <w:szCs w:val="2"/>
              </w:rPr>
            </w:pPr>
          </w:p>
        </w:tc>
      </w:tr>
      <w:tr>
        <w:trPr>
          <w:trHeight w:val="1610" w:hRule="atLeast"/>
        </w:trPr>
        <w:tc>
          <w:tcPr>
            <w:tcW w:w="2846" w:type="dxa"/>
            <w:vMerge w:val="restart"/>
          </w:tcPr>
          <w:p>
            <w:pPr>
              <w:pStyle w:val="TableParagraph"/>
              <w:rPr>
                <w:rFonts w:ascii="Times New Roman"/>
                <w:sz w:val="18"/>
              </w:rPr>
            </w:pPr>
          </w:p>
        </w:tc>
        <w:tc>
          <w:tcPr>
            <w:tcW w:w="2416" w:type="dxa"/>
            <w:vMerge w:val="restart"/>
            <w:tcBorders>
              <w:top w:val="nil"/>
            </w:tcBorders>
          </w:tcPr>
          <w:p>
            <w:pPr>
              <w:pStyle w:val="TableParagraph"/>
              <w:rPr>
                <w:rFonts w:ascii="Times New Roman"/>
                <w:sz w:val="18"/>
              </w:rPr>
            </w:pPr>
          </w:p>
        </w:tc>
        <w:tc>
          <w:tcPr>
            <w:tcW w:w="2918" w:type="dxa"/>
            <w:shd w:val="clear" w:color="auto" w:fill="FFFF98"/>
          </w:tcPr>
          <w:p>
            <w:pPr>
              <w:pStyle w:val="TableParagraph"/>
              <w:ind w:left="109"/>
              <w:rPr>
                <w:i/>
                <w:sz w:val="20"/>
              </w:rPr>
            </w:pPr>
            <w:r>
              <w:rPr>
                <w:i/>
                <w:sz w:val="20"/>
              </w:rPr>
              <w:t>C) PROVIDING FOR MULTIPLE FUNCTIONS OF LAND USE (I.E. GREEN INFRASTRUCTURE, MIXED USE ETC), WHERE APPROPRIATE?</w:t>
            </w:r>
          </w:p>
        </w:tc>
        <w:tc>
          <w:tcPr>
            <w:tcW w:w="801"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7"/>
              <w:ind w:left="14"/>
              <w:jc w:val="center"/>
              <w:rPr>
                <w:sz w:val="20"/>
              </w:rPr>
            </w:pPr>
            <w:r>
              <w:rPr>
                <w:color w:val="0000FF"/>
                <w:w w:val="99"/>
                <w:sz w:val="20"/>
              </w:rPr>
              <w:t>+</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8"/>
              <w:ind w:left="14"/>
              <w:jc w:val="center"/>
              <w:rPr>
                <w:sz w:val="20"/>
              </w:rPr>
            </w:pPr>
            <w:r>
              <w:rPr>
                <w:color w:val="0000FF"/>
                <w:w w:val="99"/>
                <w:sz w:val="20"/>
              </w:rPr>
              <w:t>+</w:t>
            </w:r>
          </w:p>
        </w:tc>
        <w:tc>
          <w:tcPr>
            <w:tcW w:w="2104" w:type="dxa"/>
            <w:vMerge w:val="restart"/>
          </w:tcPr>
          <w:p>
            <w:pPr>
              <w:pStyle w:val="TableParagraph"/>
              <w:rPr>
                <w:rFonts w:ascii="Times New Roman"/>
                <w:sz w:val="22"/>
              </w:rPr>
            </w:pPr>
          </w:p>
          <w:p>
            <w:pPr>
              <w:pStyle w:val="TableParagraph"/>
              <w:spacing w:before="6"/>
              <w:rPr>
                <w:rFonts w:ascii="Times New Roman"/>
                <w:sz w:val="17"/>
              </w:rPr>
            </w:pPr>
          </w:p>
          <w:p>
            <w:pPr>
              <w:pStyle w:val="TableParagraph"/>
              <w:spacing w:before="1"/>
              <w:ind w:left="110" w:right="105"/>
              <w:rPr>
                <w:sz w:val="20"/>
              </w:rPr>
            </w:pPr>
            <w:r>
              <w:rPr>
                <w:color w:val="0000FF"/>
                <w:sz w:val="20"/>
              </w:rPr>
              <w:t>Flood storage in</w:t>
            </w:r>
            <w:r>
              <w:rPr>
                <w:color w:val="0000FF"/>
                <w:spacing w:val="-9"/>
                <w:sz w:val="20"/>
              </w:rPr>
              <w:t> </w:t>
            </w:r>
            <w:r>
              <w:rPr>
                <w:color w:val="0000FF"/>
                <w:sz w:val="20"/>
              </w:rPr>
              <w:t>park areas and open space, energy generation e.g. hydro</w:t>
            </w:r>
            <w:r>
              <w:rPr>
                <w:color w:val="0000FF"/>
                <w:spacing w:val="-2"/>
                <w:sz w:val="20"/>
              </w:rPr>
              <w:t> </w:t>
            </w:r>
            <w:r>
              <w:rPr>
                <w:color w:val="0000FF"/>
                <w:sz w:val="20"/>
              </w:rPr>
              <w:t>electric</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Borders>
              <w:top w:val="nil"/>
            </w:tcBorders>
          </w:tcPr>
          <w:p>
            <w:pPr>
              <w:pStyle w:val="TableParagraph"/>
              <w:rPr>
                <w:rFonts w:ascii="Times New Roman"/>
                <w:sz w:val="18"/>
              </w:rPr>
            </w:pPr>
          </w:p>
        </w:tc>
      </w:tr>
      <w:tr>
        <w:trPr>
          <w:trHeight w:val="1149"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ind w:left="109" w:right="320"/>
              <w:rPr>
                <w:i/>
                <w:sz w:val="20"/>
              </w:rPr>
            </w:pPr>
            <w:r>
              <w:rPr>
                <w:i/>
                <w:sz w:val="20"/>
              </w:rPr>
              <w:t>D) MAKE APPROPRIATE USE OF LAND, GIVEN CONSTRAINTS AND</w:t>
            </w:r>
          </w:p>
          <w:p>
            <w:pPr>
              <w:pStyle w:val="TableParagraph"/>
              <w:spacing w:line="230" w:lineRule="exact"/>
              <w:ind w:left="109" w:right="320"/>
              <w:rPr>
                <w:i/>
                <w:sz w:val="20"/>
              </w:rPr>
            </w:pPr>
            <w:r>
              <w:rPr>
                <w:i/>
                <w:sz w:val="20"/>
              </w:rPr>
              <w:t>OPPORTUNITIES (I.E. FLOOD RISK ETC)</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528" w:hRule="atLeast"/>
        </w:trPr>
        <w:tc>
          <w:tcPr>
            <w:tcW w:w="2846" w:type="dxa"/>
          </w:tcPr>
          <w:p>
            <w:pPr>
              <w:pStyle w:val="TableParagraph"/>
              <w:spacing w:line="226" w:lineRule="exact"/>
              <w:ind w:right="101"/>
              <w:jc w:val="right"/>
              <w:rPr>
                <w:sz w:val="20"/>
              </w:rPr>
            </w:pPr>
            <w:r>
              <w:rPr>
                <w:w w:val="95"/>
                <w:sz w:val="20"/>
              </w:rPr>
              <w:t>Midstream</w:t>
            </w:r>
          </w:p>
        </w:tc>
        <w:tc>
          <w:tcPr>
            <w:tcW w:w="2416" w:type="dxa"/>
          </w:tcPr>
          <w:p>
            <w:pPr>
              <w:pStyle w:val="TableParagraph"/>
              <w:ind w:left="108"/>
              <w:rPr>
                <w:sz w:val="20"/>
              </w:rPr>
            </w:pPr>
            <w:r>
              <w:rPr>
                <w:sz w:val="20"/>
              </w:rPr>
              <w:t>SA9: Mixed neighbourhoods</w:t>
            </w:r>
          </w:p>
          <w:p>
            <w:pPr>
              <w:pStyle w:val="TableParagraph"/>
              <w:spacing w:before="6"/>
              <w:rPr>
                <w:rFonts w:ascii="Times New Roman"/>
                <w:sz w:val="19"/>
              </w:rPr>
            </w:pPr>
          </w:p>
          <w:p>
            <w:pPr>
              <w:pStyle w:val="TableParagraph"/>
              <w:ind w:left="108" w:right="299"/>
              <w:rPr>
                <w:sz w:val="20"/>
              </w:rPr>
            </w:pPr>
            <w:r>
              <w:rPr>
                <w:sz w:val="20"/>
              </w:rPr>
              <w:t>SA10: Social inclusion and community empowerment</w:t>
            </w:r>
          </w:p>
          <w:p>
            <w:pPr>
              <w:pStyle w:val="TableParagraph"/>
              <w:ind w:left="108"/>
              <w:rPr>
                <w:i/>
                <w:sz w:val="20"/>
              </w:rPr>
            </w:pPr>
            <w:r>
              <w:rPr>
                <w:i/>
                <w:sz w:val="20"/>
              </w:rPr>
              <w:t>Making best use of existing land for the benefit of mixed neighbourhoods and</w:t>
            </w:r>
          </w:p>
          <w:p>
            <w:pPr>
              <w:pStyle w:val="TableParagraph"/>
              <w:spacing w:line="215" w:lineRule="exact"/>
              <w:ind w:left="108"/>
              <w:rPr>
                <w:i/>
                <w:sz w:val="20"/>
              </w:rPr>
            </w:pPr>
            <w:r>
              <w:rPr>
                <w:i/>
                <w:sz w:val="20"/>
              </w:rPr>
              <w:t>communities.</w:t>
            </w:r>
          </w:p>
        </w:tc>
        <w:tc>
          <w:tcPr>
            <w:tcW w:w="2918" w:type="dxa"/>
          </w:tcPr>
          <w:p>
            <w:pPr>
              <w:pStyle w:val="TableParagraph"/>
              <w:spacing w:line="237" w:lineRule="auto"/>
              <w:ind w:left="109" w:right="145"/>
              <w:rPr>
                <w:i/>
                <w:sz w:val="20"/>
              </w:rPr>
            </w:pPr>
            <w:r>
              <w:rPr>
                <w:sz w:val="20"/>
              </w:rPr>
              <w:t>SA9: Mixed neighbourhoods </w:t>
            </w:r>
            <w:r>
              <w:rPr>
                <w:i/>
                <w:sz w:val="20"/>
              </w:rPr>
              <w:t>How does the use of land affect neighbourhood relations?</w:t>
            </w:r>
          </w:p>
        </w:tc>
        <w:tc>
          <w:tcPr>
            <w:tcW w:w="801" w:type="dxa"/>
          </w:tcPr>
          <w:p>
            <w:pPr>
              <w:pStyle w:val="TableParagraph"/>
              <w:rPr>
                <w:rFonts w:ascii="Times New Roman"/>
                <w:sz w:val="22"/>
              </w:rPr>
            </w:pPr>
          </w:p>
          <w:p>
            <w:pPr>
              <w:pStyle w:val="TableParagraph"/>
              <w:spacing w:before="8"/>
              <w:rPr>
                <w:rFonts w:ascii="Times New Roman"/>
                <w:sz w:val="17"/>
              </w:rPr>
            </w:pPr>
          </w:p>
          <w:p>
            <w:pPr>
              <w:pStyle w:val="TableParagraph"/>
              <w:ind w:left="13"/>
              <w:jc w:val="center"/>
              <w:rPr>
                <w:sz w:val="20"/>
              </w:rPr>
            </w:pPr>
            <w:r>
              <w:rPr>
                <w:color w:val="0000FF"/>
                <w:w w:val="99"/>
                <w:sz w:val="20"/>
              </w:rPr>
              <w:t>0</w:t>
            </w:r>
          </w:p>
        </w:tc>
        <w:tc>
          <w:tcPr>
            <w:tcW w:w="2104" w:type="dxa"/>
          </w:tcPr>
          <w:p>
            <w:pPr>
              <w:pStyle w:val="TableParagraph"/>
              <w:rPr>
                <w:rFonts w:ascii="Times New Roman"/>
                <w:sz w:val="22"/>
              </w:rPr>
            </w:pPr>
          </w:p>
          <w:p>
            <w:pPr>
              <w:pStyle w:val="TableParagraph"/>
              <w:spacing w:before="8"/>
              <w:rPr>
                <w:rFonts w:ascii="Times New Roman"/>
                <w:sz w:val="17"/>
              </w:rPr>
            </w:pPr>
          </w:p>
          <w:p>
            <w:pPr>
              <w:pStyle w:val="TableParagraph"/>
              <w:ind w:left="110"/>
              <w:rPr>
                <w:sz w:val="20"/>
              </w:rPr>
            </w:pPr>
            <w:r>
              <w:rPr>
                <w:color w:val="0000FF"/>
                <w:sz w:val="20"/>
              </w:rPr>
              <w:t>Neutral impact</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1840" w:hRule="atLeast"/>
        </w:trPr>
        <w:tc>
          <w:tcPr>
            <w:tcW w:w="2846" w:type="dxa"/>
          </w:tcPr>
          <w:p>
            <w:pPr>
              <w:pStyle w:val="TableParagraph"/>
              <w:spacing w:line="227" w:lineRule="exact"/>
              <w:ind w:right="101"/>
              <w:jc w:val="right"/>
              <w:rPr>
                <w:sz w:val="20"/>
              </w:rPr>
            </w:pPr>
            <w:r>
              <w:rPr>
                <w:w w:val="95"/>
                <w:sz w:val="20"/>
              </w:rPr>
              <w:t>Midstream</w:t>
            </w:r>
          </w:p>
        </w:tc>
        <w:tc>
          <w:tcPr>
            <w:tcW w:w="2416" w:type="dxa"/>
          </w:tcPr>
          <w:p>
            <w:pPr>
              <w:pStyle w:val="TableParagraph"/>
              <w:ind w:left="108" w:right="299"/>
              <w:rPr>
                <w:sz w:val="20"/>
              </w:rPr>
            </w:pPr>
            <w:r>
              <w:rPr>
                <w:sz w:val="20"/>
              </w:rPr>
              <w:t>SA10: Social inclusion and community empowerment</w:t>
            </w:r>
          </w:p>
          <w:p>
            <w:pPr>
              <w:pStyle w:val="TableParagraph"/>
              <w:ind w:left="108" w:right="475"/>
              <w:jc w:val="both"/>
              <w:rPr>
                <w:i/>
                <w:sz w:val="20"/>
              </w:rPr>
            </w:pPr>
            <w:r>
              <w:rPr>
                <w:i/>
                <w:sz w:val="20"/>
              </w:rPr>
              <w:t>Making best use of existing land for the benefit of mixed</w:t>
            </w:r>
          </w:p>
          <w:p>
            <w:pPr>
              <w:pStyle w:val="TableParagraph"/>
              <w:spacing w:line="230" w:lineRule="exact"/>
              <w:ind w:left="108"/>
              <w:rPr>
                <w:i/>
                <w:sz w:val="20"/>
              </w:rPr>
            </w:pPr>
            <w:r>
              <w:rPr>
                <w:i/>
                <w:sz w:val="20"/>
              </w:rPr>
              <w:t>neighbourhoods and communities</w:t>
            </w:r>
          </w:p>
        </w:tc>
        <w:tc>
          <w:tcPr>
            <w:tcW w:w="2918" w:type="dxa"/>
          </w:tcPr>
          <w:p>
            <w:pPr>
              <w:pStyle w:val="TableParagraph"/>
              <w:ind w:left="109" w:right="320"/>
              <w:rPr>
                <w:i/>
                <w:sz w:val="20"/>
              </w:rPr>
            </w:pPr>
            <w:r>
              <w:rPr>
                <w:sz w:val="20"/>
              </w:rPr>
              <w:t>SA10: Social inclusion and community empowerment </w:t>
            </w:r>
            <w:r>
              <w:rPr>
                <w:i/>
                <w:sz w:val="20"/>
              </w:rPr>
              <w:t>How does the use of land affect social inclusion and community empowerment?</w:t>
            </w:r>
          </w:p>
        </w:tc>
        <w:tc>
          <w:tcPr>
            <w:tcW w:w="801" w:type="dxa"/>
          </w:tcPr>
          <w:p>
            <w:pPr>
              <w:pStyle w:val="TableParagraph"/>
              <w:rPr>
                <w:rFonts w:ascii="Times New Roman"/>
                <w:sz w:val="22"/>
              </w:rPr>
            </w:pPr>
          </w:p>
          <w:p>
            <w:pPr>
              <w:pStyle w:val="TableParagraph"/>
              <w:spacing w:before="9"/>
              <w:rPr>
                <w:rFonts w:ascii="Times New Roman"/>
                <w:sz w:val="17"/>
              </w:rPr>
            </w:pPr>
          </w:p>
          <w:p>
            <w:pPr>
              <w:pStyle w:val="TableParagraph"/>
              <w:ind w:left="13"/>
              <w:jc w:val="center"/>
              <w:rPr>
                <w:sz w:val="20"/>
              </w:rPr>
            </w:pPr>
            <w:r>
              <w:rPr>
                <w:color w:val="0000FF"/>
                <w:w w:val="99"/>
                <w:sz w:val="20"/>
              </w:rPr>
              <w:t>0</w:t>
            </w:r>
          </w:p>
        </w:tc>
        <w:tc>
          <w:tcPr>
            <w:tcW w:w="2104" w:type="dxa"/>
          </w:tcPr>
          <w:p>
            <w:pPr>
              <w:pStyle w:val="TableParagraph"/>
              <w:rPr>
                <w:rFonts w:ascii="Times New Roman"/>
                <w:sz w:val="22"/>
              </w:rPr>
            </w:pPr>
          </w:p>
          <w:p>
            <w:pPr>
              <w:pStyle w:val="TableParagraph"/>
              <w:spacing w:before="9"/>
              <w:rPr>
                <w:rFonts w:ascii="Times New Roman"/>
                <w:sz w:val="17"/>
              </w:rPr>
            </w:pPr>
          </w:p>
          <w:p>
            <w:pPr>
              <w:pStyle w:val="TableParagraph"/>
              <w:ind w:left="110"/>
              <w:rPr>
                <w:sz w:val="20"/>
              </w:rPr>
            </w:pPr>
            <w:r>
              <w:rPr>
                <w:color w:val="0000FF"/>
                <w:sz w:val="20"/>
              </w:rPr>
              <w:t>Neutral impact</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bl>
    <w:p>
      <w:pPr>
        <w:spacing w:after="0"/>
        <w:rPr>
          <w:rFonts w:ascii="Times New Roman"/>
          <w:sz w:val="18"/>
        </w:rPr>
        <w:sectPr>
          <w:footerReference w:type="even" r:id="rId76"/>
          <w:footerReference w:type="default" r:id="rId77"/>
          <w:pgSz w:w="16840" w:h="11910" w:orient="landscape"/>
          <w:pgMar w:footer="814" w:header="0" w:top="1100" w:bottom="1000" w:left="1220" w:right="740"/>
          <w:pgNumType w:start="3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225" w:hRule="atLeast"/>
        </w:trPr>
        <w:tc>
          <w:tcPr>
            <w:tcW w:w="2846" w:type="dxa"/>
            <w:tcBorders>
              <w:bottom w:val="nil"/>
            </w:tcBorders>
          </w:tcPr>
          <w:p>
            <w:pPr>
              <w:pStyle w:val="TableParagraph"/>
              <w:spacing w:line="206" w:lineRule="exact"/>
              <w:ind w:right="101"/>
              <w:jc w:val="right"/>
              <w:rPr>
                <w:sz w:val="20"/>
              </w:rPr>
            </w:pPr>
            <w:r>
              <w:rPr>
                <w:w w:val="95"/>
                <w:sz w:val="20"/>
              </w:rPr>
              <w:t>Downstream</w:t>
            </w:r>
          </w:p>
        </w:tc>
        <w:tc>
          <w:tcPr>
            <w:tcW w:w="2416" w:type="dxa"/>
            <w:tcBorders>
              <w:bottom w:val="nil"/>
            </w:tcBorders>
          </w:tcPr>
          <w:p>
            <w:pPr>
              <w:pStyle w:val="TableParagraph"/>
              <w:spacing w:line="206" w:lineRule="exact"/>
              <w:ind w:left="108"/>
              <w:rPr>
                <w:sz w:val="20"/>
              </w:rPr>
            </w:pPr>
            <w:r>
              <w:rPr>
                <w:sz w:val="20"/>
              </w:rPr>
              <w:t>SA17: Biodiversity /</w:t>
            </w:r>
          </w:p>
        </w:tc>
        <w:tc>
          <w:tcPr>
            <w:tcW w:w="2918" w:type="dxa"/>
            <w:vMerge w:val="restart"/>
            <w:shd w:val="clear" w:color="auto" w:fill="FFFF98"/>
          </w:tcPr>
          <w:p>
            <w:pPr>
              <w:pStyle w:val="TableParagraph"/>
              <w:spacing w:line="237" w:lineRule="auto" w:before="2"/>
              <w:ind w:left="109" w:right="355"/>
              <w:rPr>
                <w:i/>
                <w:sz w:val="20"/>
              </w:rPr>
            </w:pPr>
            <w:r>
              <w:rPr>
                <w:sz w:val="20"/>
              </w:rPr>
              <w:t>SA17: Biodiversity</w:t>
            </w:r>
            <w:r>
              <w:rPr>
                <w:rFonts w:ascii="Symbol" w:hAnsi="Symbol"/>
                <w:sz w:val="20"/>
                <w:vertAlign w:val="superscript"/>
              </w:rPr>
              <w:t></w:t>
            </w:r>
            <w:r>
              <w:rPr>
                <w:rFonts w:ascii="Times New Roman" w:hAnsi="Times New Roman"/>
                <w:sz w:val="20"/>
                <w:vertAlign w:val="baseline"/>
              </w:rPr>
              <w:t> </w:t>
            </w:r>
            <w:r>
              <w:rPr>
                <w:sz w:val="20"/>
                <w:vertAlign w:val="baseline"/>
              </w:rPr>
              <w:t>/ geological conservation </w:t>
            </w:r>
            <w:r>
              <w:rPr>
                <w:i/>
                <w:sz w:val="20"/>
                <w:vertAlign w:val="baseline"/>
              </w:rPr>
              <w:t>How does the use of land affect biodiversity?</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tcBorders>
              <w:bottom w:val="nil"/>
            </w:tcBorders>
          </w:tcPr>
          <w:p>
            <w:pPr>
              <w:pStyle w:val="TableParagraph"/>
              <w:rPr>
                <w:rFonts w:ascii="Times New Roman"/>
                <w:sz w:val="16"/>
              </w:rPr>
            </w:pPr>
          </w:p>
        </w:tc>
      </w:tr>
      <w:tr>
        <w:trPr>
          <w:trHeight w:val="218"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8" w:lineRule="exact"/>
              <w:ind w:left="108"/>
              <w:rPr>
                <w:sz w:val="20"/>
              </w:rPr>
            </w:pPr>
            <w:r>
              <w:rPr>
                <w:sz w:val="20"/>
              </w:rPr>
              <w:t>geological conservation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8" w:lineRule="exact"/>
              <w:ind w:left="110"/>
              <w:rPr>
                <w:sz w:val="20"/>
              </w:rPr>
            </w:pPr>
            <w:r>
              <w:rPr>
                <w:color w:val="0000FF"/>
                <w:sz w:val="20"/>
              </w:rPr>
              <w:t>Potential for habitat</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Greenfield land is likely</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spacing w:line="199" w:lineRule="exact"/>
              <w:ind w:left="14"/>
              <w:jc w:val="center"/>
              <w:rPr>
                <w:sz w:val="20"/>
              </w:rPr>
            </w:pPr>
            <w:r>
              <w:rPr>
                <w:color w:val="0000FF"/>
                <w:w w:val="99"/>
                <w:sz w:val="20"/>
              </w:rPr>
              <w:t>+</w:t>
            </w:r>
          </w:p>
        </w:tc>
        <w:tc>
          <w:tcPr>
            <w:tcW w:w="2104" w:type="dxa"/>
            <w:tcBorders>
              <w:top w:val="nil"/>
              <w:bottom w:val="nil"/>
            </w:tcBorders>
          </w:tcPr>
          <w:p>
            <w:pPr>
              <w:pStyle w:val="TableParagraph"/>
              <w:spacing w:line="199" w:lineRule="exact"/>
              <w:ind w:left="110"/>
              <w:rPr>
                <w:sz w:val="20"/>
              </w:rPr>
            </w:pPr>
            <w:r>
              <w:rPr>
                <w:color w:val="0000FF"/>
                <w:sz w:val="20"/>
              </w:rPr>
              <w:t>creation and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Strengthen</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to support higher levels</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development of</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objective 5 to</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of biodiversity</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green corridors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cover this –</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High quality green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Water</w:t>
            </w: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infrastructure can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0" w:lineRule="exact"/>
              <w:ind w:left="112"/>
              <w:rPr>
                <w:sz w:val="20"/>
              </w:rPr>
            </w:pPr>
            <w:r>
              <w:rPr>
                <w:color w:val="0000FF"/>
                <w:sz w:val="20"/>
              </w:rPr>
              <w:t>Framework</w:t>
            </w: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provide valuable</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Directive</w:t>
            </w: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habitats and aid</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(WFD)</w:t>
            </w: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movement/migration of</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rPr>
                <w:rFonts w:ascii="Times New Roman"/>
                <w:sz w:val="14"/>
              </w:rPr>
            </w:pPr>
          </w:p>
        </w:tc>
      </w:tr>
      <w:tr>
        <w:trPr>
          <w:trHeight w:val="457" w:hRule="atLeast"/>
        </w:trPr>
        <w:tc>
          <w:tcPr>
            <w:tcW w:w="2846" w:type="dxa"/>
            <w:tcBorders>
              <w:top w:val="nil"/>
            </w:tcBorders>
          </w:tcPr>
          <w:p>
            <w:pPr>
              <w:pStyle w:val="TableParagraph"/>
              <w:rPr>
                <w:rFonts w:ascii="Times New Roman"/>
                <w:sz w:val="18"/>
              </w:rPr>
            </w:pPr>
          </w:p>
        </w:tc>
        <w:tc>
          <w:tcPr>
            <w:tcW w:w="2416" w:type="dxa"/>
            <w:tcBorders>
              <w:top w:val="nil"/>
            </w:tcBorders>
          </w:tcPr>
          <w:p>
            <w:pPr>
              <w:pStyle w:val="TableParagraph"/>
              <w:spacing w:line="222" w:lineRule="exact"/>
              <w:ind w:left="108"/>
              <w:rPr>
                <w:i/>
                <w:sz w:val="20"/>
              </w:rPr>
            </w:pPr>
            <w:r>
              <w:rPr>
                <w:i/>
                <w:sz w:val="20"/>
              </w:rPr>
              <w:t>wildlife.</w:t>
            </w:r>
          </w:p>
        </w:tc>
        <w:tc>
          <w:tcPr>
            <w:tcW w:w="2918" w:type="dxa"/>
            <w:vMerge/>
            <w:tcBorders>
              <w:top w:val="nil"/>
            </w:tcBorders>
            <w:shd w:val="clear" w:color="auto" w:fill="FFFF98"/>
          </w:tcPr>
          <w:p>
            <w:pPr>
              <w:rPr>
                <w:sz w:val="2"/>
                <w:szCs w:val="2"/>
              </w:rPr>
            </w:pPr>
          </w:p>
        </w:tc>
        <w:tc>
          <w:tcPr>
            <w:tcW w:w="801" w:type="dxa"/>
            <w:tcBorders>
              <w:top w:val="nil"/>
            </w:tcBorders>
          </w:tcPr>
          <w:p>
            <w:pPr>
              <w:pStyle w:val="TableParagraph"/>
              <w:rPr>
                <w:rFonts w:ascii="Times New Roman"/>
                <w:sz w:val="18"/>
              </w:rPr>
            </w:pP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tcBorders>
          </w:tcPr>
          <w:p>
            <w:pPr>
              <w:pStyle w:val="TableParagraph"/>
              <w:rPr>
                <w:rFonts w:ascii="Times New Roman"/>
                <w:sz w:val="18"/>
              </w:rPr>
            </w:pPr>
          </w:p>
        </w:tc>
      </w:tr>
      <w:tr>
        <w:trPr>
          <w:trHeight w:val="225" w:hRule="atLeast"/>
        </w:trPr>
        <w:tc>
          <w:tcPr>
            <w:tcW w:w="2846" w:type="dxa"/>
            <w:tcBorders>
              <w:bottom w:val="nil"/>
            </w:tcBorders>
          </w:tcPr>
          <w:p>
            <w:pPr>
              <w:pStyle w:val="TableParagraph"/>
              <w:spacing w:line="206" w:lineRule="exact"/>
              <w:ind w:right="101"/>
              <w:jc w:val="right"/>
              <w:rPr>
                <w:sz w:val="20"/>
              </w:rPr>
            </w:pPr>
            <w:r>
              <w:rPr>
                <w:w w:val="95"/>
                <w:sz w:val="20"/>
              </w:rPr>
              <w:t>Downstream</w:t>
            </w:r>
          </w:p>
        </w:tc>
        <w:tc>
          <w:tcPr>
            <w:tcW w:w="2416" w:type="dxa"/>
            <w:tcBorders>
              <w:bottom w:val="nil"/>
            </w:tcBorders>
          </w:tcPr>
          <w:p>
            <w:pPr>
              <w:pStyle w:val="TableParagraph"/>
              <w:spacing w:line="206" w:lineRule="exact"/>
              <w:ind w:left="108"/>
              <w:rPr>
                <w:sz w:val="20"/>
              </w:rPr>
            </w:pPr>
            <w:r>
              <w:rPr>
                <w:sz w:val="20"/>
              </w:rPr>
              <w:t>SA18: Climate change</w:t>
            </w:r>
          </w:p>
        </w:tc>
        <w:tc>
          <w:tcPr>
            <w:tcW w:w="2918" w:type="dxa"/>
            <w:vMerge w:val="restart"/>
            <w:shd w:val="clear" w:color="auto" w:fill="FFFF98"/>
          </w:tcPr>
          <w:p>
            <w:pPr>
              <w:pStyle w:val="TableParagraph"/>
              <w:spacing w:line="244" w:lineRule="auto"/>
              <w:ind w:left="109"/>
              <w:rPr>
                <w:rFonts w:ascii="Symbol" w:hAnsi="Symbol"/>
                <w:sz w:val="20"/>
              </w:rPr>
            </w:pPr>
            <w:r>
              <w:rPr>
                <w:sz w:val="20"/>
              </w:rPr>
              <w:t>SA18: Climate change mitigation</w:t>
            </w:r>
            <w:r>
              <w:rPr>
                <w:rFonts w:ascii="Symbol" w:hAnsi="Symbol"/>
                <w:sz w:val="20"/>
                <w:vertAlign w:val="superscript"/>
              </w:rPr>
              <w:t></w:t>
            </w:r>
          </w:p>
          <w:p>
            <w:pPr>
              <w:pStyle w:val="TableParagraph"/>
              <w:ind w:left="109" w:right="320"/>
              <w:rPr>
                <w:i/>
                <w:sz w:val="20"/>
              </w:rPr>
            </w:pPr>
            <w:r>
              <w:rPr>
                <w:i/>
                <w:sz w:val="20"/>
              </w:rPr>
              <w:t>How does the use of land affect climate change mitigation?</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18"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8" w:lineRule="exact"/>
              <w:ind w:left="108"/>
              <w:rPr>
                <w:sz w:val="20"/>
              </w:rPr>
            </w:pPr>
            <w:r>
              <w:rPr>
                <w:sz w:val="20"/>
              </w:rPr>
              <w:t>mitigation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8" w:lineRule="exact"/>
              <w:ind w:left="110"/>
              <w:rPr>
                <w:sz w:val="20"/>
              </w:rPr>
            </w:pPr>
            <w:r>
              <w:rPr>
                <w:color w:val="0000FF"/>
                <w:sz w:val="20"/>
              </w:rPr>
              <w:t>Use of land for flood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Reusing existing</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spacing w:line="199" w:lineRule="exact"/>
              <w:ind w:left="14"/>
              <w:jc w:val="center"/>
              <w:rPr>
                <w:sz w:val="20"/>
              </w:rPr>
            </w:pPr>
            <w:r>
              <w:rPr>
                <w:color w:val="0000FF"/>
                <w:w w:val="99"/>
                <w:sz w:val="20"/>
              </w:rPr>
              <w:t>+</w:t>
            </w:r>
          </w:p>
        </w:tc>
        <w:tc>
          <w:tcPr>
            <w:tcW w:w="2104" w:type="dxa"/>
            <w:tcBorders>
              <w:top w:val="nil"/>
              <w:bottom w:val="nil"/>
            </w:tcBorders>
          </w:tcPr>
          <w:p>
            <w:pPr>
              <w:pStyle w:val="TableParagraph"/>
              <w:spacing w:line="199" w:lineRule="exact"/>
              <w:ind w:left="110"/>
              <w:rPr>
                <w:sz w:val="20"/>
              </w:rPr>
            </w:pPr>
            <w:r>
              <w:rPr>
                <w:color w:val="0000FF"/>
                <w:sz w:val="20"/>
              </w:rPr>
              <w:t>mitigation schemes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buildings reduces the</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and storage reduces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need to construct new</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flood risk</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ones, and avoids the</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energy and resource</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use associated with</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wholly new</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7"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7" w:lineRule="exact"/>
              <w:ind w:left="108"/>
              <w:rPr>
                <w:i/>
                <w:sz w:val="20"/>
              </w:rPr>
            </w:pPr>
            <w:r>
              <w:rPr>
                <w:i/>
                <w:sz w:val="20"/>
              </w:rPr>
              <w:t>developments?</w:t>
            </w:r>
          </w:p>
        </w:tc>
        <w:tc>
          <w:tcPr>
            <w:tcW w:w="2918" w:type="dxa"/>
            <w:vMerge/>
            <w:tcBorders>
              <w:top w:val="nil"/>
            </w:tcBorders>
            <w:shd w:val="clear" w:color="auto" w:fill="FFFF98"/>
          </w:tcPr>
          <w:p>
            <w:pPr>
              <w:rPr>
                <w:sz w:val="2"/>
                <w:szCs w:val="2"/>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4" w:hRule="atLeast"/>
        </w:trPr>
        <w:tc>
          <w:tcPr>
            <w:tcW w:w="2846" w:type="dxa"/>
            <w:tcBorders>
              <w:bottom w:val="nil"/>
            </w:tcBorders>
          </w:tcPr>
          <w:p>
            <w:pPr>
              <w:pStyle w:val="TableParagraph"/>
              <w:spacing w:line="205" w:lineRule="exact"/>
              <w:ind w:right="101"/>
              <w:jc w:val="right"/>
              <w:rPr>
                <w:sz w:val="20"/>
              </w:rPr>
            </w:pPr>
            <w:r>
              <w:rPr>
                <w:w w:val="95"/>
                <w:sz w:val="20"/>
              </w:rPr>
              <w:t>Downstream</w:t>
            </w:r>
          </w:p>
        </w:tc>
        <w:tc>
          <w:tcPr>
            <w:tcW w:w="2416" w:type="dxa"/>
            <w:tcBorders>
              <w:bottom w:val="nil"/>
            </w:tcBorders>
          </w:tcPr>
          <w:p>
            <w:pPr>
              <w:pStyle w:val="TableParagraph"/>
              <w:spacing w:line="205" w:lineRule="exact"/>
              <w:ind w:left="108"/>
              <w:rPr>
                <w:sz w:val="20"/>
              </w:rPr>
            </w:pPr>
            <w:r>
              <w:rPr>
                <w:sz w:val="20"/>
              </w:rPr>
              <w:t>SA19: Flood risk</w:t>
            </w:r>
          </w:p>
        </w:tc>
        <w:tc>
          <w:tcPr>
            <w:tcW w:w="2918" w:type="dxa"/>
            <w:vMerge w:val="restart"/>
          </w:tcPr>
          <w:p>
            <w:pPr>
              <w:pStyle w:val="TableParagraph"/>
              <w:spacing w:line="242" w:lineRule="exact"/>
              <w:ind w:left="109"/>
              <w:rPr>
                <w:rFonts w:ascii="Symbol" w:hAnsi="Symbol"/>
                <w:sz w:val="20"/>
              </w:rPr>
            </w:pPr>
            <w:r>
              <w:rPr>
                <w:sz w:val="20"/>
              </w:rPr>
              <w:t>SA19: Flood risk</w:t>
            </w:r>
            <w:r>
              <w:rPr>
                <w:rFonts w:ascii="Symbol" w:hAnsi="Symbol"/>
                <w:sz w:val="20"/>
                <w:vertAlign w:val="superscript"/>
              </w:rPr>
              <w:t></w:t>
            </w:r>
          </w:p>
          <w:p>
            <w:pPr>
              <w:pStyle w:val="TableParagraph"/>
              <w:ind w:left="109" w:right="320"/>
              <w:rPr>
                <w:i/>
                <w:sz w:val="20"/>
              </w:rPr>
            </w:pPr>
            <w:r>
              <w:rPr>
                <w:i/>
                <w:sz w:val="20"/>
              </w:rPr>
              <w:t>How does the use of land affect flood risk?</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Developments on</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Use of land for flood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previously undeveloped,</w:t>
            </w:r>
          </w:p>
        </w:tc>
        <w:tc>
          <w:tcPr>
            <w:tcW w:w="2918" w:type="dxa"/>
            <w:vMerge/>
            <w:tcBorders>
              <w:top w:val="nil"/>
            </w:tcBorders>
          </w:tcPr>
          <w:p>
            <w:pPr>
              <w:rPr>
                <w:sz w:val="2"/>
                <w:szCs w:val="2"/>
              </w:rPr>
            </w:pPr>
          </w:p>
        </w:tc>
        <w:tc>
          <w:tcPr>
            <w:tcW w:w="801" w:type="dxa"/>
            <w:tcBorders>
              <w:top w:val="nil"/>
              <w:bottom w:val="nil"/>
            </w:tcBorders>
          </w:tcPr>
          <w:p>
            <w:pPr>
              <w:pStyle w:val="TableParagraph"/>
              <w:spacing w:line="200" w:lineRule="exact"/>
              <w:ind w:left="14"/>
              <w:jc w:val="center"/>
              <w:rPr>
                <w:sz w:val="20"/>
              </w:rPr>
            </w:pPr>
            <w:r>
              <w:rPr>
                <w:color w:val="0000FF"/>
                <w:w w:val="99"/>
                <w:sz w:val="20"/>
              </w:rPr>
              <w:t>+</w:t>
            </w:r>
          </w:p>
        </w:tc>
        <w:tc>
          <w:tcPr>
            <w:tcW w:w="2104" w:type="dxa"/>
            <w:tcBorders>
              <w:top w:val="nil"/>
              <w:bottom w:val="nil"/>
            </w:tcBorders>
          </w:tcPr>
          <w:p>
            <w:pPr>
              <w:pStyle w:val="TableParagraph"/>
              <w:spacing w:line="200" w:lineRule="exact"/>
              <w:ind w:left="110"/>
              <w:rPr>
                <w:sz w:val="20"/>
              </w:rPr>
            </w:pPr>
            <w:r>
              <w:rPr>
                <w:color w:val="0000FF"/>
                <w:sz w:val="20"/>
              </w:rPr>
              <w:t>mitigation schemes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vegetated ground will</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and storage reduces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increase runoff and</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flood risk</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7"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7" w:lineRule="exact"/>
              <w:ind w:left="108"/>
              <w:rPr>
                <w:i/>
                <w:sz w:val="20"/>
              </w:rPr>
            </w:pPr>
            <w:r>
              <w:rPr>
                <w:i/>
                <w:sz w:val="20"/>
              </w:rPr>
              <w:t>decrease the lag time</w:t>
            </w:r>
          </w:p>
        </w:tc>
        <w:tc>
          <w:tcPr>
            <w:tcW w:w="2918" w:type="dxa"/>
            <w:vMerge/>
            <w:tcBorders>
              <w:top w:val="nil"/>
            </w:tcBorders>
          </w:tcPr>
          <w:p>
            <w:pPr>
              <w:rPr>
                <w:sz w:val="2"/>
                <w:szCs w:val="2"/>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bl>
    <w:p>
      <w:pPr>
        <w:pStyle w:val="BodyText"/>
        <w:spacing w:before="10"/>
        <w:rPr>
          <w:rFonts w:ascii="Times New Roman"/>
        </w:rPr>
      </w:pPr>
      <w:r>
        <w:rPr/>
        <w:pict>
          <v:line style="position:absolute;mso-position-horizontal-relative:page;mso-position-vertical-relative:paragraph;z-index:1592;mso-wrap-distance-left:0;mso-wrap-distance-right:0" from="72pt,16.02pt" to="216.000005pt,16.02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 Biodiversity, fauna,</w:t>
      </w:r>
      <w:r>
        <w:rPr>
          <w:spacing w:val="1"/>
          <w:sz w:val="20"/>
        </w:rPr>
        <w:t> </w:t>
      </w:r>
      <w:r>
        <w:rPr>
          <w:sz w:val="20"/>
        </w:rPr>
        <w:t>flora</w:t>
      </w:r>
    </w:p>
    <w:p>
      <w:pPr>
        <w:pStyle w:val="ListParagraph"/>
        <w:numPr>
          <w:ilvl w:val="0"/>
          <w:numId w:val="55"/>
        </w:numPr>
        <w:tabs>
          <w:tab w:pos="341" w:val="left" w:leader="none"/>
        </w:tabs>
        <w:spacing w:line="245" w:lineRule="exact" w:before="0" w:after="0"/>
        <w:ind w:left="340" w:right="0" w:hanging="120"/>
        <w:jc w:val="left"/>
        <w:rPr>
          <w:sz w:val="20"/>
        </w:rPr>
      </w:pPr>
      <w:r>
        <w:rPr>
          <w:sz w:val="20"/>
        </w:rPr>
        <w:t>SEA Directive: Climatic</w:t>
      </w:r>
      <w:r>
        <w:rPr>
          <w:spacing w:val="-19"/>
          <w:sz w:val="20"/>
        </w:rPr>
        <w:t> </w:t>
      </w:r>
      <w:r>
        <w:rPr>
          <w:sz w:val="20"/>
        </w:rPr>
        <w:t>factors</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Material</w:t>
      </w:r>
      <w:r>
        <w:rPr>
          <w:spacing w:val="-14"/>
          <w:sz w:val="20"/>
        </w:rPr>
        <w:t> </w:t>
      </w:r>
      <w:r>
        <w:rPr>
          <w:sz w:val="20"/>
        </w:rPr>
        <w:t>assets</w:t>
      </w:r>
    </w:p>
    <w:p>
      <w:pPr>
        <w:spacing w:after="0" w:line="254" w:lineRule="exact"/>
        <w:jc w:val="left"/>
        <w:rPr>
          <w:sz w:val="20"/>
        </w:rPr>
        <w:sectPr>
          <w:pgSz w:w="16840" w:h="11910" w:orient="landscape"/>
          <w:pgMar w:header="0" w:footer="894" w:top="1100" w:bottom="1080" w:left="1220" w:right="740"/>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2068" w:hRule="atLeast"/>
        </w:trPr>
        <w:tc>
          <w:tcPr>
            <w:tcW w:w="2846" w:type="dxa"/>
          </w:tcPr>
          <w:p>
            <w:pPr>
              <w:pStyle w:val="TableParagraph"/>
              <w:rPr>
                <w:rFonts w:ascii="Times New Roman"/>
                <w:sz w:val="18"/>
              </w:rPr>
            </w:pPr>
          </w:p>
        </w:tc>
        <w:tc>
          <w:tcPr>
            <w:tcW w:w="2416" w:type="dxa"/>
          </w:tcPr>
          <w:p>
            <w:pPr>
              <w:pStyle w:val="TableParagraph"/>
              <w:ind w:left="108" w:right="109"/>
              <w:rPr>
                <w:i/>
                <w:sz w:val="20"/>
              </w:rPr>
            </w:pPr>
            <w:r>
              <w:rPr>
                <w:i/>
                <w:sz w:val="20"/>
              </w:rPr>
              <w:t>for this extra water to find it’s way to the</w:t>
            </w:r>
            <w:r>
              <w:rPr>
                <w:i/>
                <w:spacing w:val="-10"/>
                <w:sz w:val="20"/>
              </w:rPr>
              <w:t> </w:t>
            </w:r>
            <w:r>
              <w:rPr>
                <w:i/>
                <w:sz w:val="20"/>
              </w:rPr>
              <w:t>rivers. This enhances the risk of</w:t>
            </w:r>
            <w:r>
              <w:rPr>
                <w:i/>
                <w:spacing w:val="-1"/>
                <w:sz w:val="20"/>
              </w:rPr>
              <w:t> </w:t>
            </w:r>
            <w:r>
              <w:rPr>
                <w:i/>
                <w:sz w:val="20"/>
              </w:rPr>
              <w:t>flooding.</w:t>
            </w:r>
          </w:p>
          <w:p>
            <w:pPr>
              <w:pStyle w:val="TableParagraph"/>
              <w:spacing w:before="5"/>
              <w:rPr>
                <w:sz w:val="19"/>
              </w:rPr>
            </w:pPr>
          </w:p>
          <w:p>
            <w:pPr>
              <w:pStyle w:val="TableParagraph"/>
              <w:spacing w:before="1"/>
              <w:ind w:left="108"/>
              <w:rPr>
                <w:i/>
                <w:sz w:val="20"/>
              </w:rPr>
            </w:pPr>
            <w:r>
              <w:rPr>
                <w:i/>
                <w:sz w:val="20"/>
              </w:rPr>
              <w:t>Developments in greenfield floodplains</w:t>
            </w:r>
          </w:p>
          <w:p>
            <w:pPr>
              <w:pStyle w:val="TableParagraph"/>
              <w:spacing w:line="228" w:lineRule="exact" w:before="6"/>
              <w:ind w:left="108"/>
              <w:rPr>
                <w:i/>
                <w:sz w:val="20"/>
              </w:rPr>
            </w:pPr>
            <w:r>
              <w:rPr>
                <w:i/>
                <w:sz w:val="20"/>
              </w:rPr>
              <w:t>are at risk from flooding events.</w:t>
            </w:r>
          </w:p>
        </w:tc>
        <w:tc>
          <w:tcPr>
            <w:tcW w:w="2918" w:type="dxa"/>
          </w:tcPr>
          <w:p>
            <w:pPr>
              <w:pStyle w:val="TableParagraph"/>
              <w:rPr>
                <w:rFonts w:ascii="Times New Roman"/>
                <w:sz w:val="18"/>
              </w:rPr>
            </w:pPr>
          </w:p>
        </w:tc>
        <w:tc>
          <w:tcPr>
            <w:tcW w:w="801" w:type="dxa"/>
          </w:tcPr>
          <w:p>
            <w:pPr>
              <w:pStyle w:val="TableParagraph"/>
              <w:rPr>
                <w:rFonts w:ascii="Times New Roman"/>
                <w:sz w:val="18"/>
              </w:rPr>
            </w:pPr>
          </w:p>
        </w:tc>
        <w:tc>
          <w:tcPr>
            <w:tcW w:w="2104" w:type="dxa"/>
          </w:tcPr>
          <w:p>
            <w:pPr>
              <w:pStyle w:val="TableParagraph"/>
              <w:rPr>
                <w:rFonts w:ascii="Times New Roman"/>
                <w:sz w:val="18"/>
              </w:rPr>
            </w:pP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2759" w:hRule="atLeast"/>
        </w:trPr>
        <w:tc>
          <w:tcPr>
            <w:tcW w:w="2846" w:type="dxa"/>
          </w:tcPr>
          <w:p>
            <w:pPr>
              <w:pStyle w:val="TableParagraph"/>
              <w:spacing w:line="227" w:lineRule="exact"/>
              <w:ind w:left="1615"/>
              <w:rPr>
                <w:sz w:val="20"/>
              </w:rPr>
            </w:pPr>
            <w:r>
              <w:rPr>
                <w:sz w:val="20"/>
              </w:rPr>
              <w:t>Downstream</w:t>
            </w:r>
          </w:p>
        </w:tc>
        <w:tc>
          <w:tcPr>
            <w:tcW w:w="2416" w:type="dxa"/>
          </w:tcPr>
          <w:p>
            <w:pPr>
              <w:pStyle w:val="TableParagraph"/>
              <w:ind w:left="108" w:right="433" w:hanging="1"/>
              <w:rPr>
                <w:sz w:val="20"/>
              </w:rPr>
            </w:pPr>
            <w:r>
              <w:rPr>
                <w:sz w:val="20"/>
              </w:rPr>
              <w:t>SA21: Contaminated land</w:t>
            </w:r>
          </w:p>
          <w:p>
            <w:pPr>
              <w:pStyle w:val="TableParagraph"/>
              <w:ind w:left="108" w:right="84"/>
              <w:rPr>
                <w:i/>
                <w:sz w:val="20"/>
              </w:rPr>
            </w:pPr>
            <w:r>
              <w:rPr>
                <w:i/>
                <w:sz w:val="20"/>
              </w:rPr>
              <w:t>Contaminated land usually only exists in previously developed land. Restricting development to brownfield sites will necessitate the remediation of this land</w:t>
            </w:r>
          </w:p>
          <w:p>
            <w:pPr>
              <w:pStyle w:val="TableParagraph"/>
              <w:spacing w:line="228" w:lineRule="exact" w:before="1"/>
              <w:ind w:left="108" w:right="288"/>
              <w:rPr>
                <w:i/>
                <w:sz w:val="20"/>
              </w:rPr>
            </w:pPr>
            <w:r>
              <w:rPr>
                <w:i/>
                <w:sz w:val="20"/>
              </w:rPr>
              <w:t>as site as prepared for construction</w:t>
            </w:r>
          </w:p>
        </w:tc>
        <w:tc>
          <w:tcPr>
            <w:tcW w:w="2918" w:type="dxa"/>
            <w:shd w:val="clear" w:color="auto" w:fill="FFFF98"/>
          </w:tcPr>
          <w:p>
            <w:pPr>
              <w:pStyle w:val="TableParagraph"/>
              <w:spacing w:line="237" w:lineRule="auto" w:before="2"/>
              <w:ind w:left="109" w:right="434"/>
              <w:rPr>
                <w:i/>
                <w:sz w:val="20"/>
              </w:rPr>
            </w:pPr>
            <w:r>
              <w:rPr>
                <w:sz w:val="20"/>
              </w:rPr>
              <w:t>SA21: Contaminated land</w:t>
            </w:r>
            <w:r>
              <w:rPr>
                <w:rFonts w:ascii="Symbol" w:hAnsi="Symbol"/>
                <w:sz w:val="20"/>
                <w:vertAlign w:val="superscript"/>
              </w:rPr>
              <w:t></w:t>
            </w:r>
            <w:r>
              <w:rPr>
                <w:rFonts w:ascii="Times New Roman" w:hAnsi="Times New Roman"/>
                <w:sz w:val="20"/>
                <w:vertAlign w:val="baseline"/>
              </w:rPr>
              <w:t> </w:t>
            </w:r>
            <w:r>
              <w:rPr>
                <w:i/>
                <w:sz w:val="20"/>
                <w:vertAlign w:val="baseline"/>
              </w:rPr>
              <w:t>How does the use of land affect remediation of contaminated land?</w:t>
            </w:r>
          </w:p>
        </w:tc>
        <w:tc>
          <w:tcPr>
            <w:tcW w:w="801" w:type="dxa"/>
          </w:tcPr>
          <w:p>
            <w:pPr>
              <w:pStyle w:val="TableParagraph"/>
              <w:rPr>
                <w:sz w:val="22"/>
              </w:rPr>
            </w:pPr>
          </w:p>
          <w:p>
            <w:pPr>
              <w:pStyle w:val="TableParagraph"/>
              <w:spacing w:before="9"/>
              <w:rPr>
                <w:sz w:val="17"/>
              </w:rPr>
            </w:pPr>
          </w:p>
          <w:p>
            <w:pPr>
              <w:pStyle w:val="TableParagraph"/>
              <w:ind w:left="14"/>
              <w:jc w:val="center"/>
              <w:rPr>
                <w:sz w:val="20"/>
              </w:rPr>
            </w:pPr>
            <w:r>
              <w:rPr>
                <w:color w:val="0000FF"/>
                <w:w w:val="99"/>
                <w:sz w:val="20"/>
              </w:rPr>
              <w:t>+</w:t>
            </w:r>
          </w:p>
        </w:tc>
        <w:tc>
          <w:tcPr>
            <w:tcW w:w="2104" w:type="dxa"/>
          </w:tcPr>
          <w:p>
            <w:pPr>
              <w:pStyle w:val="TableParagraph"/>
              <w:spacing w:before="8"/>
              <w:rPr>
                <w:sz w:val="19"/>
              </w:rPr>
            </w:pPr>
          </w:p>
          <w:p>
            <w:pPr>
              <w:pStyle w:val="TableParagraph"/>
              <w:spacing w:before="1"/>
              <w:ind w:left="110" w:right="185"/>
              <w:rPr>
                <w:sz w:val="20"/>
              </w:rPr>
            </w:pPr>
            <w:r>
              <w:rPr>
                <w:color w:val="0000FF"/>
                <w:sz w:val="20"/>
              </w:rPr>
              <w:t>Flood alleviation schemes may make areas of contaminated land developable</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935" w:hRule="atLeast"/>
        </w:trPr>
        <w:tc>
          <w:tcPr>
            <w:tcW w:w="2846" w:type="dxa"/>
            <w:vMerge w:val="restart"/>
          </w:tcPr>
          <w:p>
            <w:pPr>
              <w:pStyle w:val="TableParagraph"/>
              <w:ind w:left="107" w:right="697"/>
              <w:rPr>
                <w:b/>
                <w:sz w:val="20"/>
              </w:rPr>
            </w:pPr>
            <w:r>
              <w:rPr>
                <w:b/>
                <w:sz w:val="20"/>
              </w:rPr>
              <w:t>UPSTREAM SA5: ACCESSIBILITY AND CONNECTIVITY</w:t>
            </w:r>
          </w:p>
          <w:p>
            <w:pPr>
              <w:pStyle w:val="TableParagraph"/>
              <w:ind w:left="107" w:right="97"/>
              <w:rPr>
                <w:i/>
                <w:sz w:val="20"/>
              </w:rPr>
            </w:pPr>
            <w:r>
              <w:rPr>
                <w:i/>
                <w:sz w:val="20"/>
              </w:rPr>
              <w:t>INCREASE ACCESSIBILITY AND CONNECTIVITY THROUGH INVESTMENT IN A HIGH QUALITY TRANSPORT SYSTEM AND</w:t>
            </w:r>
          </w:p>
        </w:tc>
        <w:tc>
          <w:tcPr>
            <w:tcW w:w="2416" w:type="dxa"/>
            <w:vMerge w:val="restart"/>
          </w:tcPr>
          <w:p>
            <w:pPr>
              <w:pStyle w:val="TableParagraph"/>
              <w:rPr>
                <w:rFonts w:ascii="Times New Roman"/>
                <w:sz w:val="18"/>
              </w:rPr>
            </w:pPr>
          </w:p>
        </w:tc>
        <w:tc>
          <w:tcPr>
            <w:tcW w:w="2918" w:type="dxa"/>
          </w:tcPr>
          <w:p>
            <w:pPr>
              <w:pStyle w:val="TableParagraph"/>
              <w:spacing w:line="244" w:lineRule="auto"/>
              <w:ind w:left="109" w:right="256"/>
              <w:rPr>
                <w:b/>
                <w:sz w:val="20"/>
              </w:rPr>
            </w:pPr>
            <w:r>
              <w:rPr>
                <w:b/>
                <w:sz w:val="20"/>
              </w:rPr>
              <w:t>SA5: ACCESSIBILITY AND CONNECTIVITY</w:t>
            </w:r>
            <w:r>
              <w:rPr>
                <w:rFonts w:ascii="Symbol" w:hAnsi="Symbol"/>
                <w:b/>
                <w:sz w:val="20"/>
                <w:vertAlign w:val="superscript"/>
              </w:rPr>
              <w:t></w:t>
            </w:r>
            <w:r>
              <w:rPr>
                <w:b/>
                <w:sz w:val="20"/>
                <w:vertAlign w:val="baseline"/>
              </w:rPr>
              <w:t>?</w:t>
            </w:r>
          </w:p>
          <w:p>
            <w:pPr>
              <w:pStyle w:val="TableParagraph"/>
              <w:spacing w:line="221" w:lineRule="exact"/>
              <w:ind w:left="109"/>
              <w:rPr>
                <w:i/>
                <w:sz w:val="20"/>
              </w:rPr>
            </w:pPr>
            <w:r>
              <w:rPr>
                <w:i/>
                <w:sz w:val="20"/>
              </w:rPr>
              <w:t>HOW DOES IT PROMOTE:-</w:t>
            </w:r>
          </w:p>
        </w:tc>
        <w:tc>
          <w:tcPr>
            <w:tcW w:w="80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31"/>
              </w:rPr>
            </w:pPr>
          </w:p>
          <w:p>
            <w:pPr>
              <w:pStyle w:val="TableParagraph"/>
              <w:ind w:left="14"/>
              <w:jc w:val="center"/>
              <w:rPr>
                <w:sz w:val="20"/>
              </w:rPr>
            </w:pPr>
            <w:r>
              <w:rPr>
                <w:color w:val="0000FF"/>
                <w:w w:val="99"/>
                <w:sz w:val="20"/>
              </w:rPr>
              <w:t>+</w:t>
            </w:r>
          </w:p>
        </w:tc>
        <w:tc>
          <w:tcPr>
            <w:tcW w:w="2104"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59"/>
              <w:ind w:left="110" w:right="105"/>
              <w:rPr>
                <w:sz w:val="20"/>
              </w:rPr>
            </w:pPr>
            <w:r>
              <w:rPr>
                <w:color w:val="0000FF"/>
                <w:sz w:val="20"/>
              </w:rPr>
              <w:t>Protects transport infrastructure – Leeds is a key transport hub, impact</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921"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shd w:val="clear" w:color="auto" w:fill="CCFFFF"/>
          </w:tcPr>
          <w:p>
            <w:pPr>
              <w:pStyle w:val="TableParagraph"/>
              <w:ind w:left="109" w:right="133"/>
              <w:rPr>
                <w:i/>
                <w:sz w:val="20"/>
              </w:rPr>
            </w:pPr>
            <w:r>
              <w:rPr>
                <w:i/>
                <w:sz w:val="20"/>
              </w:rPr>
              <w:t>A) INCREASED ACCESSIBILITY VIA PUBLIC TRANSPORTATION?</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bl>
    <w:p>
      <w:pPr>
        <w:pStyle w:val="BodyText"/>
        <w:spacing w:before="1"/>
      </w:pPr>
      <w:r>
        <w:rPr/>
        <w:pict>
          <v:line style="position:absolute;mso-position-horizontal-relative:page;mso-position-vertical-relative:paragraph;z-index:1616;mso-wrap-distance-left:0;mso-wrap-distance-right:0" from="72pt,15.540001pt" to="216.000005pt,15.540001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w:t>
      </w:r>
      <w:r>
        <w:rPr>
          <w:spacing w:val="2"/>
          <w:sz w:val="20"/>
        </w:rPr>
        <w:t> </w:t>
      </w:r>
      <w:r>
        <w:rPr>
          <w:sz w:val="20"/>
        </w:rPr>
        <w:t>Soil</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Material</w:t>
      </w:r>
      <w:r>
        <w:rPr>
          <w:spacing w:val="2"/>
          <w:sz w:val="20"/>
        </w:rPr>
        <w:t> </w:t>
      </w:r>
      <w:r>
        <w:rPr>
          <w:sz w:val="20"/>
        </w:rPr>
        <w:t>assets</w:t>
      </w:r>
    </w:p>
    <w:p>
      <w:pPr>
        <w:spacing w:after="0" w:line="254" w:lineRule="exact"/>
        <w:jc w:val="left"/>
        <w:rPr>
          <w:sz w:val="20"/>
        </w:rPr>
        <w:sectPr>
          <w:pgSz w:w="16840" w:h="11910" w:orient="landscape"/>
          <w:pgMar w:header="0" w:footer="814" w:top="1100" w:bottom="100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tcBorders>
              <w:bottom w:val="nil"/>
            </w:tcBorders>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tcBorders>
              <w:bottom w:val="nil"/>
            </w:tcBorders>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bottom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bottom w:val="nil"/>
            </w:tcBorders>
            <w:shd w:val="clear" w:color="auto" w:fill="FF0000"/>
          </w:tcPr>
          <w:p>
            <w:pPr>
              <w:rPr>
                <w:sz w:val="2"/>
                <w:szCs w:val="2"/>
              </w:rPr>
            </w:pPr>
          </w:p>
        </w:tc>
      </w:tr>
      <w:tr>
        <w:trPr>
          <w:trHeight w:val="1379" w:hRule="atLeast"/>
        </w:trPr>
        <w:tc>
          <w:tcPr>
            <w:tcW w:w="2846" w:type="dxa"/>
            <w:vMerge w:val="restart"/>
          </w:tcPr>
          <w:p>
            <w:pPr>
              <w:pStyle w:val="TableParagraph"/>
              <w:ind w:left="107" w:right="286"/>
              <w:jc w:val="both"/>
              <w:rPr>
                <w:i/>
                <w:sz w:val="20"/>
              </w:rPr>
            </w:pPr>
            <w:r>
              <w:rPr>
                <w:i/>
                <w:sz w:val="20"/>
              </w:rPr>
              <w:t>THROUGH INFLUENCING OTHERS AND</w:t>
            </w:r>
            <w:r>
              <w:rPr>
                <w:i/>
                <w:spacing w:val="-13"/>
                <w:sz w:val="20"/>
              </w:rPr>
              <w:t> </w:t>
            </w:r>
            <w:r>
              <w:rPr>
                <w:i/>
                <w:sz w:val="20"/>
              </w:rPr>
              <w:t>CHANGING BEHAVIOUR.</w:t>
            </w:r>
          </w:p>
        </w:tc>
        <w:tc>
          <w:tcPr>
            <w:tcW w:w="2416" w:type="dxa"/>
            <w:vMerge w:val="restart"/>
            <w:tcBorders>
              <w:top w:val="nil"/>
            </w:tcBorders>
          </w:tcPr>
          <w:p>
            <w:pPr>
              <w:pStyle w:val="TableParagraph"/>
              <w:rPr>
                <w:rFonts w:ascii="Times New Roman"/>
                <w:sz w:val="18"/>
              </w:rPr>
            </w:pPr>
          </w:p>
        </w:tc>
        <w:tc>
          <w:tcPr>
            <w:tcW w:w="2918" w:type="dxa"/>
            <w:shd w:val="clear" w:color="auto" w:fill="CCFFFF"/>
          </w:tcPr>
          <w:p>
            <w:pPr>
              <w:pStyle w:val="TableParagraph"/>
              <w:ind w:left="109" w:right="320"/>
              <w:rPr>
                <w:i/>
                <w:sz w:val="20"/>
              </w:rPr>
            </w:pPr>
            <w:r>
              <w:rPr>
                <w:i/>
                <w:sz w:val="20"/>
              </w:rPr>
              <w:t>B) INCREASED INVESTMENT INTO SUSTAINABLE </w:t>
            </w:r>
            <w:r>
              <w:rPr>
                <w:i/>
                <w:w w:val="95"/>
                <w:sz w:val="20"/>
              </w:rPr>
              <w:t>TRANSPORTATION </w:t>
            </w:r>
            <w:r>
              <w:rPr>
                <w:i/>
                <w:sz w:val="20"/>
              </w:rPr>
              <w:t>NETWORK?</w:t>
            </w:r>
          </w:p>
        </w:tc>
        <w:tc>
          <w:tcPr>
            <w:tcW w:w="801" w:type="dxa"/>
            <w:vMerge w:val="restart"/>
          </w:tcPr>
          <w:p>
            <w:pPr>
              <w:pStyle w:val="TableParagraph"/>
              <w:rPr>
                <w:rFonts w:ascii="Times New Roman"/>
                <w:sz w:val="22"/>
              </w:rPr>
            </w:pPr>
          </w:p>
          <w:p>
            <w:pPr>
              <w:pStyle w:val="TableParagraph"/>
              <w:rPr>
                <w:rFonts w:ascii="Times New Roman"/>
                <w:sz w:val="22"/>
              </w:rPr>
            </w:pPr>
          </w:p>
          <w:p>
            <w:pPr>
              <w:pStyle w:val="TableParagraph"/>
              <w:spacing w:before="180"/>
              <w:ind w:left="14"/>
              <w:jc w:val="center"/>
              <w:rPr>
                <w:sz w:val="20"/>
              </w:rPr>
            </w:pPr>
            <w:r>
              <w:rPr>
                <w:color w:val="0000FF"/>
                <w:w w:val="99"/>
                <w:sz w:val="20"/>
              </w:rPr>
              <w:t>+</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0"/>
              <w:ind w:left="14"/>
              <w:jc w:val="center"/>
              <w:rPr>
                <w:sz w:val="20"/>
              </w:rPr>
            </w:pPr>
            <w:r>
              <w:rPr>
                <w:color w:val="0000FF"/>
                <w:w w:val="99"/>
                <w:sz w:val="20"/>
              </w:rPr>
              <w:t>+</w:t>
            </w:r>
          </w:p>
        </w:tc>
        <w:tc>
          <w:tcPr>
            <w:tcW w:w="2104" w:type="dxa"/>
            <w:vMerge w:val="restart"/>
          </w:tcPr>
          <w:p>
            <w:pPr>
              <w:pStyle w:val="TableParagraph"/>
              <w:spacing w:line="227" w:lineRule="exact"/>
              <w:ind w:left="110"/>
              <w:rPr>
                <w:sz w:val="20"/>
              </w:rPr>
            </w:pPr>
            <w:r>
              <w:rPr>
                <w:color w:val="0000FF"/>
                <w:sz w:val="20"/>
              </w:rPr>
              <w:t>on economy</w:t>
            </w:r>
            <w:r>
              <w:rPr>
                <w:color w:val="0000FF"/>
                <w:spacing w:val="-15"/>
                <w:sz w:val="20"/>
              </w:rPr>
              <w:t> </w:t>
            </w:r>
            <w:r>
              <w:rPr>
                <w:color w:val="0000FF"/>
                <w:sz w:val="20"/>
              </w:rPr>
              <w:t>big</w:t>
            </w:r>
          </w:p>
          <w:p>
            <w:pPr>
              <w:pStyle w:val="TableParagraph"/>
              <w:rPr>
                <w:rFonts w:ascii="Times New Roman"/>
                <w:sz w:val="22"/>
              </w:rPr>
            </w:pPr>
          </w:p>
          <w:p>
            <w:pPr>
              <w:pStyle w:val="TableParagraph"/>
              <w:spacing w:before="10"/>
              <w:rPr>
                <w:rFonts w:ascii="Times New Roman"/>
                <w:sz w:val="17"/>
              </w:rPr>
            </w:pPr>
          </w:p>
          <w:p>
            <w:pPr>
              <w:pStyle w:val="TableParagraph"/>
              <w:ind w:left="110" w:right="339"/>
              <w:rPr>
                <w:sz w:val="20"/>
              </w:rPr>
            </w:pPr>
            <w:r>
              <w:rPr>
                <w:color w:val="0000FF"/>
                <w:sz w:val="20"/>
              </w:rPr>
              <w:t>Wyke Beck Sustainable Transport link – public access via cycle-ways</w:t>
            </w:r>
            <w:r>
              <w:rPr>
                <w:color w:val="0000FF"/>
                <w:spacing w:val="-2"/>
                <w:sz w:val="20"/>
              </w:rPr>
              <w:t> </w:t>
            </w:r>
            <w:r>
              <w:rPr>
                <w:color w:val="0000FF"/>
                <w:sz w:val="20"/>
              </w:rPr>
              <w:t>and</w:t>
            </w:r>
          </w:p>
          <w:p>
            <w:pPr>
              <w:pStyle w:val="TableParagraph"/>
              <w:spacing w:line="230" w:lineRule="exact" w:before="3"/>
              <w:ind w:left="110" w:right="174"/>
              <w:rPr>
                <w:sz w:val="20"/>
              </w:rPr>
            </w:pPr>
            <w:r>
              <w:rPr>
                <w:color w:val="0000FF"/>
                <w:sz w:val="20"/>
              </w:rPr>
              <w:t>pedestrian bridges along green corridor</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Borders>
              <w:top w:val="nil"/>
            </w:tcBorders>
          </w:tcPr>
          <w:p>
            <w:pPr>
              <w:pStyle w:val="TableParagraph"/>
              <w:rPr>
                <w:rFonts w:ascii="Times New Roman"/>
                <w:sz w:val="18"/>
              </w:rPr>
            </w:pPr>
          </w:p>
        </w:tc>
      </w:tr>
      <w:tr>
        <w:trPr>
          <w:trHeight w:val="918"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shd w:val="clear" w:color="auto" w:fill="FFFF98"/>
          </w:tcPr>
          <w:p>
            <w:pPr>
              <w:pStyle w:val="TableParagraph"/>
              <w:ind w:left="109"/>
              <w:rPr>
                <w:i/>
                <w:sz w:val="20"/>
              </w:rPr>
            </w:pPr>
            <w:r>
              <w:rPr>
                <w:i/>
                <w:sz w:val="20"/>
              </w:rPr>
              <w:t>C) THE UPTAKE OF SUSTAINABLE</w:t>
            </w:r>
          </w:p>
          <w:p>
            <w:pPr>
              <w:pStyle w:val="TableParagraph"/>
              <w:spacing w:line="228" w:lineRule="exact"/>
              <w:ind w:left="109"/>
              <w:rPr>
                <w:i/>
                <w:sz w:val="20"/>
              </w:rPr>
            </w:pPr>
            <w:r>
              <w:rPr>
                <w:i/>
                <w:w w:val="95"/>
                <w:sz w:val="20"/>
              </w:rPr>
              <w:t>TRANSPORTATION </w:t>
            </w:r>
            <w:r>
              <w:rPr>
                <w:i/>
                <w:sz w:val="20"/>
              </w:rPr>
              <w:t>METHODS?</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4" w:hRule="atLeast"/>
        </w:trPr>
        <w:tc>
          <w:tcPr>
            <w:tcW w:w="2846" w:type="dxa"/>
            <w:tcBorders>
              <w:bottom w:val="nil"/>
            </w:tcBorders>
          </w:tcPr>
          <w:p>
            <w:pPr>
              <w:pStyle w:val="TableParagraph"/>
              <w:spacing w:line="205" w:lineRule="exact"/>
              <w:ind w:right="101"/>
              <w:jc w:val="right"/>
              <w:rPr>
                <w:sz w:val="20"/>
              </w:rPr>
            </w:pPr>
            <w:r>
              <w:rPr>
                <w:w w:val="95"/>
                <w:sz w:val="20"/>
              </w:rPr>
              <w:t>Midstream</w:t>
            </w:r>
          </w:p>
        </w:tc>
        <w:tc>
          <w:tcPr>
            <w:tcW w:w="2416" w:type="dxa"/>
            <w:tcBorders>
              <w:bottom w:val="nil"/>
            </w:tcBorders>
          </w:tcPr>
          <w:p>
            <w:pPr>
              <w:pStyle w:val="TableParagraph"/>
              <w:spacing w:line="205" w:lineRule="exact"/>
              <w:ind w:left="108"/>
              <w:rPr>
                <w:sz w:val="20"/>
              </w:rPr>
            </w:pPr>
            <w:r>
              <w:rPr>
                <w:sz w:val="20"/>
              </w:rPr>
              <w:t>SA9: Mixed</w:t>
            </w:r>
          </w:p>
        </w:tc>
        <w:tc>
          <w:tcPr>
            <w:tcW w:w="2918" w:type="dxa"/>
            <w:tcBorders>
              <w:bottom w:val="nil"/>
            </w:tcBorders>
            <w:shd w:val="clear" w:color="auto" w:fill="CCFFFF"/>
          </w:tcPr>
          <w:p>
            <w:pPr>
              <w:pStyle w:val="TableParagraph"/>
              <w:spacing w:line="205" w:lineRule="exact"/>
              <w:ind w:left="109"/>
              <w:rPr>
                <w:sz w:val="20"/>
              </w:rPr>
            </w:pPr>
            <w:r>
              <w:rPr>
                <w:sz w:val="20"/>
              </w:rPr>
              <w:t>SA9: Mixed neighbourhoods</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tcBorders>
              <w:bottom w:val="nil"/>
            </w:tcBorders>
          </w:tcPr>
          <w:p>
            <w:pPr>
              <w:pStyle w:val="TableParagraph"/>
              <w:rPr>
                <w:rFonts w:ascii="Times New Roman"/>
                <w:sz w:val="16"/>
              </w:rPr>
            </w:pPr>
          </w:p>
        </w:tc>
        <w:tc>
          <w:tcPr>
            <w:tcW w:w="1576" w:type="dxa"/>
            <w:vMerge w:val="restart"/>
          </w:tcPr>
          <w:p>
            <w:pPr>
              <w:pStyle w:val="TableParagraph"/>
              <w:rPr>
                <w:rFonts w:ascii="Times New Roman"/>
                <w:sz w:val="18"/>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sz w:val="20"/>
              </w:rPr>
            </w:pPr>
            <w:r>
              <w:rPr>
                <w:sz w:val="20"/>
              </w:rPr>
              <w:t>neighbourhoods</w:t>
            </w:r>
          </w:p>
        </w:tc>
        <w:tc>
          <w:tcPr>
            <w:tcW w:w="2918" w:type="dxa"/>
            <w:tcBorders>
              <w:top w:val="nil"/>
              <w:bottom w:val="nil"/>
            </w:tcBorders>
            <w:shd w:val="clear" w:color="auto" w:fill="CCFFFF"/>
          </w:tcPr>
          <w:p>
            <w:pPr>
              <w:pStyle w:val="TableParagraph"/>
              <w:spacing w:line="200" w:lineRule="exact"/>
              <w:ind w:left="109"/>
              <w:rPr>
                <w:i/>
                <w:sz w:val="20"/>
              </w:rPr>
            </w:pPr>
            <w:r>
              <w:rPr>
                <w:i/>
                <w:sz w:val="20"/>
              </w:rPr>
              <w:t>How does the contribution to</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tcBorders>
              <w:top w:val="nil"/>
              <w:bottom w:val="nil"/>
            </w:tcBorders>
          </w:tcPr>
          <w:p>
            <w:pPr>
              <w:pStyle w:val="TableParagraph"/>
              <w:spacing w:line="200" w:lineRule="exact"/>
              <w:ind w:left="111"/>
              <w:rPr>
                <w:sz w:val="20"/>
              </w:rPr>
            </w:pPr>
            <w:r>
              <w:rPr>
                <w:color w:val="0000FF"/>
                <w:sz w:val="20"/>
              </w:rPr>
              <w:t>Flooding</w:t>
            </w: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Communities can be</w:t>
            </w:r>
          </w:p>
        </w:tc>
        <w:tc>
          <w:tcPr>
            <w:tcW w:w="2918" w:type="dxa"/>
            <w:tcBorders>
              <w:top w:val="nil"/>
              <w:bottom w:val="nil"/>
            </w:tcBorders>
            <w:shd w:val="clear" w:color="auto" w:fill="CCFFFF"/>
          </w:tcPr>
          <w:p>
            <w:pPr>
              <w:pStyle w:val="TableParagraph"/>
              <w:spacing w:line="200" w:lineRule="exact"/>
              <w:ind w:left="109"/>
              <w:rPr>
                <w:i/>
                <w:sz w:val="20"/>
              </w:rPr>
            </w:pPr>
            <w:r>
              <w:rPr>
                <w:i/>
                <w:sz w:val="20"/>
              </w:rPr>
              <w:t>accessibility and connectivity</w:t>
            </w:r>
          </w:p>
        </w:tc>
        <w:tc>
          <w:tcPr>
            <w:tcW w:w="801" w:type="dxa"/>
            <w:tcBorders>
              <w:top w:val="nil"/>
              <w:bottom w:val="nil"/>
            </w:tcBorders>
          </w:tcPr>
          <w:p>
            <w:pPr>
              <w:pStyle w:val="TableParagraph"/>
              <w:spacing w:line="200" w:lineRule="exact"/>
              <w:ind w:left="14"/>
              <w:jc w:val="center"/>
              <w:rPr>
                <w:sz w:val="20"/>
              </w:rPr>
            </w:pPr>
            <w:r>
              <w:rPr>
                <w:color w:val="0000FF"/>
                <w:w w:val="99"/>
                <w:sz w:val="20"/>
              </w:rPr>
              <w:t>+</w:t>
            </w:r>
          </w:p>
        </w:tc>
        <w:tc>
          <w:tcPr>
            <w:tcW w:w="2104" w:type="dxa"/>
            <w:tcBorders>
              <w:top w:val="nil"/>
              <w:bottom w:val="nil"/>
            </w:tcBorders>
          </w:tcPr>
          <w:p>
            <w:pPr>
              <w:pStyle w:val="TableParagraph"/>
              <w:spacing w:line="200" w:lineRule="exact"/>
              <w:ind w:left="110"/>
              <w:rPr>
                <w:sz w:val="20"/>
              </w:rPr>
            </w:pPr>
            <w:r>
              <w:rPr>
                <w:color w:val="0000FF"/>
                <w:sz w:val="20"/>
              </w:rPr>
              <w:t>Communities not</w:t>
            </w:r>
          </w:p>
        </w:tc>
        <w:tc>
          <w:tcPr>
            <w:tcW w:w="772" w:type="dxa"/>
            <w:vMerge/>
            <w:tcBorders>
              <w:top w:val="nil"/>
            </w:tcBorders>
          </w:tcPr>
          <w:p>
            <w:pPr>
              <w:rPr>
                <w:sz w:val="2"/>
                <w:szCs w:val="2"/>
              </w:rPr>
            </w:pPr>
          </w:p>
        </w:tc>
        <w:tc>
          <w:tcPr>
            <w:tcW w:w="1206" w:type="dxa"/>
            <w:tcBorders>
              <w:top w:val="nil"/>
              <w:bottom w:val="nil"/>
            </w:tcBorders>
          </w:tcPr>
          <w:p>
            <w:pPr>
              <w:pStyle w:val="TableParagraph"/>
              <w:spacing w:line="200" w:lineRule="exact"/>
              <w:ind w:left="111"/>
              <w:rPr>
                <w:sz w:val="20"/>
              </w:rPr>
            </w:pPr>
            <w:r>
              <w:rPr>
                <w:color w:val="0000FF"/>
                <w:sz w:val="20"/>
              </w:rPr>
              <w:t>can</w:t>
            </w: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segregated if</w:t>
            </w:r>
          </w:p>
        </w:tc>
        <w:tc>
          <w:tcPr>
            <w:tcW w:w="2918" w:type="dxa"/>
            <w:tcBorders>
              <w:top w:val="nil"/>
              <w:bottom w:val="nil"/>
            </w:tcBorders>
            <w:shd w:val="clear" w:color="auto" w:fill="CCFFFF"/>
          </w:tcPr>
          <w:p>
            <w:pPr>
              <w:pStyle w:val="TableParagraph"/>
              <w:spacing w:line="200" w:lineRule="exact"/>
              <w:ind w:left="109"/>
              <w:rPr>
                <w:i/>
                <w:sz w:val="20"/>
              </w:rPr>
            </w:pPr>
            <w:r>
              <w:rPr>
                <w:i/>
                <w:sz w:val="20"/>
              </w:rPr>
              <w:t>affect neighbourhood</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isolated by flooding</w:t>
            </w:r>
          </w:p>
        </w:tc>
        <w:tc>
          <w:tcPr>
            <w:tcW w:w="772" w:type="dxa"/>
            <w:vMerge/>
            <w:tcBorders>
              <w:top w:val="nil"/>
            </w:tcBorders>
          </w:tcPr>
          <w:p>
            <w:pPr>
              <w:rPr>
                <w:sz w:val="2"/>
                <w:szCs w:val="2"/>
              </w:rPr>
            </w:pPr>
          </w:p>
        </w:tc>
        <w:tc>
          <w:tcPr>
            <w:tcW w:w="1206" w:type="dxa"/>
            <w:tcBorders>
              <w:top w:val="nil"/>
              <w:bottom w:val="nil"/>
            </w:tcBorders>
          </w:tcPr>
          <w:p>
            <w:pPr>
              <w:pStyle w:val="TableParagraph"/>
              <w:spacing w:line="200" w:lineRule="exact"/>
              <w:ind w:left="111"/>
              <w:rPr>
                <w:sz w:val="20"/>
              </w:rPr>
            </w:pPr>
            <w:r>
              <w:rPr>
                <w:color w:val="0000FF"/>
                <w:sz w:val="20"/>
              </w:rPr>
              <w:t>improve</w:t>
            </w: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appropriate transport</w:t>
            </w:r>
          </w:p>
        </w:tc>
        <w:tc>
          <w:tcPr>
            <w:tcW w:w="2918" w:type="dxa"/>
            <w:tcBorders>
              <w:top w:val="nil"/>
              <w:bottom w:val="nil"/>
            </w:tcBorders>
            <w:shd w:val="clear" w:color="auto" w:fill="CCFFFF"/>
          </w:tcPr>
          <w:p>
            <w:pPr>
              <w:pStyle w:val="TableParagraph"/>
              <w:spacing w:line="199" w:lineRule="exact"/>
              <w:ind w:left="109"/>
              <w:rPr>
                <w:i/>
                <w:sz w:val="20"/>
              </w:rPr>
            </w:pPr>
            <w:r>
              <w:rPr>
                <w:i/>
                <w:sz w:val="20"/>
              </w:rPr>
              <w:t>relations?</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tcBorders>
              <w:top w:val="nil"/>
              <w:bottom w:val="nil"/>
            </w:tcBorders>
          </w:tcPr>
          <w:p>
            <w:pPr>
              <w:pStyle w:val="TableParagraph"/>
              <w:spacing w:line="199" w:lineRule="exact"/>
              <w:ind w:left="111"/>
              <w:rPr>
                <w:sz w:val="20"/>
              </w:rPr>
            </w:pPr>
            <w:r>
              <w:rPr>
                <w:color w:val="0000FF"/>
                <w:sz w:val="20"/>
              </w:rPr>
              <w:t>community</w:t>
            </w:r>
          </w:p>
        </w:tc>
        <w:tc>
          <w:tcPr>
            <w:tcW w:w="1576" w:type="dxa"/>
            <w:vMerge/>
            <w:tcBorders>
              <w:top w:val="nil"/>
            </w:tcBorders>
          </w:tcPr>
          <w:p>
            <w:pPr>
              <w:rPr>
                <w:sz w:val="2"/>
                <w:szCs w:val="2"/>
              </w:rPr>
            </w:pPr>
          </w:p>
        </w:tc>
      </w:tr>
      <w:tr>
        <w:trPr>
          <w:trHeight w:val="224"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5" w:lineRule="exact"/>
              <w:ind w:left="108"/>
              <w:rPr>
                <w:i/>
                <w:sz w:val="20"/>
              </w:rPr>
            </w:pPr>
            <w:r>
              <w:rPr>
                <w:i/>
                <w:sz w:val="20"/>
              </w:rPr>
              <w:t>links do not exist</w:t>
            </w:r>
          </w:p>
        </w:tc>
        <w:tc>
          <w:tcPr>
            <w:tcW w:w="2918" w:type="dxa"/>
            <w:tcBorders>
              <w:top w:val="nil"/>
            </w:tcBorders>
            <w:shd w:val="clear" w:color="auto" w:fill="CCFFFF"/>
          </w:tcPr>
          <w:p>
            <w:pPr>
              <w:pStyle w:val="TableParagraph"/>
              <w:rPr>
                <w:rFonts w:ascii="Times New Roman"/>
                <w:sz w:val="16"/>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tcBorders>
              <w:top w:val="nil"/>
            </w:tcBorders>
          </w:tcPr>
          <w:p>
            <w:pPr>
              <w:pStyle w:val="TableParagraph"/>
              <w:spacing w:line="205" w:lineRule="exact"/>
              <w:ind w:left="111"/>
              <w:rPr>
                <w:sz w:val="20"/>
              </w:rPr>
            </w:pPr>
            <w:r>
              <w:rPr>
                <w:color w:val="0000FF"/>
                <w:sz w:val="20"/>
              </w:rPr>
              <w:t>cohesion</w:t>
            </w:r>
          </w:p>
        </w:tc>
        <w:tc>
          <w:tcPr>
            <w:tcW w:w="1576" w:type="dxa"/>
            <w:vMerge/>
            <w:tcBorders>
              <w:top w:val="nil"/>
            </w:tcBorders>
          </w:tcPr>
          <w:p>
            <w:pPr>
              <w:rPr>
                <w:sz w:val="2"/>
                <w:szCs w:val="2"/>
              </w:rPr>
            </w:pPr>
          </w:p>
        </w:tc>
      </w:tr>
      <w:tr>
        <w:trPr>
          <w:trHeight w:val="2179" w:hRule="atLeast"/>
        </w:trPr>
        <w:tc>
          <w:tcPr>
            <w:tcW w:w="2846" w:type="dxa"/>
            <w:tcBorders>
              <w:bottom w:val="nil"/>
            </w:tcBorders>
          </w:tcPr>
          <w:p>
            <w:pPr>
              <w:pStyle w:val="TableParagraph"/>
              <w:spacing w:line="227" w:lineRule="exact"/>
              <w:ind w:right="101"/>
              <w:jc w:val="right"/>
              <w:rPr>
                <w:sz w:val="20"/>
              </w:rPr>
            </w:pPr>
            <w:r>
              <w:rPr>
                <w:w w:val="95"/>
                <w:sz w:val="20"/>
              </w:rPr>
              <w:t>Midstream</w:t>
            </w:r>
          </w:p>
        </w:tc>
        <w:tc>
          <w:tcPr>
            <w:tcW w:w="2416" w:type="dxa"/>
            <w:tcBorders>
              <w:bottom w:val="nil"/>
            </w:tcBorders>
          </w:tcPr>
          <w:p>
            <w:pPr>
              <w:pStyle w:val="TableParagraph"/>
              <w:ind w:left="108" w:right="110"/>
              <w:rPr>
                <w:i/>
                <w:sz w:val="20"/>
              </w:rPr>
            </w:pPr>
            <w:r>
              <w:rPr>
                <w:sz w:val="20"/>
              </w:rPr>
              <w:t>SA10: Social inclusion and community empowerment </w:t>
            </w:r>
            <w:r>
              <w:rPr>
                <w:i/>
                <w:sz w:val="20"/>
              </w:rPr>
              <w:t>Improving connectivity and access, particularly through public transport, walking and cycling would enable higher levels of social</w:t>
            </w:r>
            <w:r>
              <w:rPr>
                <w:i/>
                <w:spacing w:val="-19"/>
                <w:sz w:val="20"/>
              </w:rPr>
              <w:t> </w:t>
            </w:r>
            <w:r>
              <w:rPr>
                <w:i/>
                <w:sz w:val="20"/>
              </w:rPr>
              <w:t>inclusion.</w:t>
            </w:r>
          </w:p>
        </w:tc>
        <w:tc>
          <w:tcPr>
            <w:tcW w:w="2918" w:type="dxa"/>
            <w:tcBorders>
              <w:bottom w:val="nil"/>
            </w:tcBorders>
          </w:tcPr>
          <w:p>
            <w:pPr>
              <w:pStyle w:val="TableParagraph"/>
              <w:ind w:left="109" w:right="222"/>
              <w:rPr>
                <w:i/>
                <w:sz w:val="20"/>
              </w:rPr>
            </w:pPr>
            <w:r>
              <w:rPr>
                <w:sz w:val="20"/>
              </w:rPr>
              <w:t>SA10: Social inclusion and community empowerment </w:t>
            </w:r>
            <w:r>
              <w:rPr>
                <w:i/>
                <w:sz w:val="20"/>
              </w:rPr>
              <w:t>How does the contribution to accessibility and connectivity affect social inclusion and community empowerment?</w:t>
            </w:r>
          </w:p>
        </w:tc>
        <w:tc>
          <w:tcPr>
            <w:tcW w:w="801" w:type="dxa"/>
            <w:tcBorders>
              <w:bottom w:val="nil"/>
            </w:tcBorders>
          </w:tcPr>
          <w:p>
            <w:pPr>
              <w:pStyle w:val="TableParagraph"/>
              <w:rPr>
                <w:rFonts w:ascii="Times New Roman"/>
                <w:sz w:val="22"/>
              </w:rPr>
            </w:pPr>
          </w:p>
          <w:p>
            <w:pPr>
              <w:pStyle w:val="TableParagraph"/>
              <w:spacing w:before="9"/>
              <w:rPr>
                <w:rFonts w:ascii="Times New Roman"/>
                <w:sz w:val="17"/>
              </w:rPr>
            </w:pPr>
          </w:p>
          <w:p>
            <w:pPr>
              <w:pStyle w:val="TableParagraph"/>
              <w:ind w:left="13"/>
              <w:jc w:val="center"/>
              <w:rPr>
                <w:sz w:val="20"/>
              </w:rPr>
            </w:pPr>
            <w:r>
              <w:rPr>
                <w:color w:val="0000FF"/>
                <w:w w:val="99"/>
                <w:sz w:val="20"/>
              </w:rPr>
              <w:t>0</w:t>
            </w:r>
          </w:p>
        </w:tc>
        <w:tc>
          <w:tcPr>
            <w:tcW w:w="2104" w:type="dxa"/>
            <w:tcBorders>
              <w:bottom w:val="nil"/>
            </w:tcBorders>
          </w:tcPr>
          <w:p>
            <w:pPr>
              <w:pStyle w:val="TableParagraph"/>
              <w:rPr>
                <w:rFonts w:ascii="Times New Roman"/>
                <w:sz w:val="22"/>
              </w:rPr>
            </w:pPr>
          </w:p>
          <w:p>
            <w:pPr>
              <w:pStyle w:val="TableParagraph"/>
              <w:spacing w:before="9"/>
              <w:rPr>
                <w:rFonts w:ascii="Times New Roman"/>
                <w:sz w:val="17"/>
              </w:rPr>
            </w:pPr>
          </w:p>
          <w:p>
            <w:pPr>
              <w:pStyle w:val="TableParagraph"/>
              <w:ind w:left="110"/>
              <w:rPr>
                <w:sz w:val="20"/>
              </w:rPr>
            </w:pPr>
            <w:r>
              <w:rPr>
                <w:color w:val="0000FF"/>
                <w:sz w:val="20"/>
              </w:rPr>
              <w:t>Neutral impact</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1261" w:hRule="atLeast"/>
        </w:trPr>
        <w:tc>
          <w:tcPr>
            <w:tcW w:w="2846" w:type="dxa"/>
            <w:tcBorders>
              <w:top w:val="nil"/>
            </w:tcBorders>
          </w:tcPr>
          <w:p>
            <w:pPr>
              <w:pStyle w:val="TableParagraph"/>
              <w:rPr>
                <w:rFonts w:ascii="Times New Roman"/>
                <w:sz w:val="18"/>
              </w:rPr>
            </w:pPr>
          </w:p>
        </w:tc>
        <w:tc>
          <w:tcPr>
            <w:tcW w:w="2416" w:type="dxa"/>
            <w:tcBorders>
              <w:top w:val="nil"/>
            </w:tcBorders>
          </w:tcPr>
          <w:p>
            <w:pPr>
              <w:pStyle w:val="TableParagraph"/>
              <w:spacing w:before="107"/>
              <w:ind w:left="108" w:right="84"/>
              <w:rPr>
                <w:sz w:val="20"/>
              </w:rPr>
            </w:pPr>
            <w:r>
              <w:rPr>
                <w:i/>
                <w:sz w:val="20"/>
              </w:rPr>
              <w:t>Improving connectivity and reducing severance may increase people’s feelings of </w:t>
            </w:r>
            <w:r>
              <w:rPr>
                <w:sz w:val="20"/>
              </w:rPr>
              <w:t>belonging in</w:t>
            </w:r>
          </w:p>
          <w:p>
            <w:pPr>
              <w:pStyle w:val="TableParagraph"/>
              <w:spacing w:line="213" w:lineRule="exact" w:before="1"/>
              <w:ind w:left="108"/>
              <w:rPr>
                <w:sz w:val="20"/>
              </w:rPr>
            </w:pPr>
            <w:r>
              <w:rPr>
                <w:sz w:val="20"/>
              </w:rPr>
              <w:t>their community</w:t>
            </w:r>
          </w:p>
        </w:tc>
        <w:tc>
          <w:tcPr>
            <w:tcW w:w="2918" w:type="dxa"/>
            <w:tcBorders>
              <w:top w:val="nil"/>
            </w:tcBorders>
          </w:tcPr>
          <w:p>
            <w:pPr>
              <w:pStyle w:val="TableParagraph"/>
              <w:rPr>
                <w:rFonts w:ascii="Times New Roman"/>
                <w:sz w:val="18"/>
              </w:rPr>
            </w:pPr>
          </w:p>
        </w:tc>
        <w:tc>
          <w:tcPr>
            <w:tcW w:w="801" w:type="dxa"/>
            <w:tcBorders>
              <w:top w:val="nil"/>
            </w:tcBorders>
          </w:tcPr>
          <w:p>
            <w:pPr>
              <w:pStyle w:val="TableParagraph"/>
              <w:rPr>
                <w:rFonts w:ascii="Times New Roman"/>
                <w:sz w:val="18"/>
              </w:rPr>
            </w:pP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bl>
    <w:p>
      <w:pPr>
        <w:spacing w:after="0"/>
        <w:rPr>
          <w:sz w:val="2"/>
          <w:szCs w:val="2"/>
        </w:rPr>
        <w:sectPr>
          <w:pgSz w:w="16840" w:h="11910" w:orient="landscape"/>
          <w:pgMar w:header="0" w:footer="894" w:top="1100" w:bottom="100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1163" w:hRule="atLeast"/>
        </w:trPr>
        <w:tc>
          <w:tcPr>
            <w:tcW w:w="2846" w:type="dxa"/>
          </w:tcPr>
          <w:p>
            <w:pPr>
              <w:pStyle w:val="TableParagraph"/>
              <w:spacing w:line="227" w:lineRule="exact"/>
              <w:ind w:right="101"/>
              <w:jc w:val="right"/>
              <w:rPr>
                <w:sz w:val="20"/>
              </w:rPr>
            </w:pPr>
            <w:r>
              <w:rPr>
                <w:w w:val="95"/>
                <w:sz w:val="20"/>
              </w:rPr>
              <w:t>Midstream</w:t>
            </w:r>
          </w:p>
        </w:tc>
        <w:tc>
          <w:tcPr>
            <w:tcW w:w="2416" w:type="dxa"/>
          </w:tcPr>
          <w:p>
            <w:pPr>
              <w:pStyle w:val="TableParagraph"/>
              <w:spacing w:line="226" w:lineRule="exact"/>
              <w:ind w:left="108"/>
              <w:rPr>
                <w:sz w:val="20"/>
              </w:rPr>
            </w:pPr>
            <w:r>
              <w:rPr>
                <w:sz w:val="20"/>
              </w:rPr>
              <w:t>SA11: Air quality</w:t>
            </w:r>
          </w:p>
          <w:p>
            <w:pPr>
              <w:pStyle w:val="TableParagraph"/>
              <w:ind w:left="108" w:right="61"/>
              <w:rPr>
                <w:i/>
                <w:sz w:val="20"/>
              </w:rPr>
            </w:pPr>
            <w:r>
              <w:rPr>
                <w:i/>
                <w:sz w:val="20"/>
              </w:rPr>
              <w:t>Road traffic emissions are the major source of poor air quality in Leeds.</w:t>
            </w:r>
          </w:p>
        </w:tc>
        <w:tc>
          <w:tcPr>
            <w:tcW w:w="2918" w:type="dxa"/>
            <w:shd w:val="clear" w:color="auto" w:fill="FFFF98"/>
          </w:tcPr>
          <w:p>
            <w:pPr>
              <w:pStyle w:val="TableParagraph"/>
              <w:spacing w:line="242" w:lineRule="exact"/>
              <w:ind w:left="109"/>
              <w:rPr>
                <w:rFonts w:ascii="Symbol" w:hAnsi="Symbol"/>
                <w:sz w:val="20"/>
              </w:rPr>
            </w:pPr>
            <w:r>
              <w:rPr>
                <w:sz w:val="20"/>
              </w:rPr>
              <w:t>SA11: Air quality</w:t>
            </w:r>
            <w:r>
              <w:rPr>
                <w:rFonts w:ascii="Symbol" w:hAnsi="Symbol"/>
                <w:sz w:val="20"/>
                <w:vertAlign w:val="superscript"/>
              </w:rPr>
              <w:t></w:t>
            </w:r>
          </w:p>
          <w:p>
            <w:pPr>
              <w:pStyle w:val="TableParagraph"/>
              <w:ind w:left="109" w:right="241"/>
              <w:jc w:val="both"/>
              <w:rPr>
                <w:i/>
                <w:sz w:val="20"/>
              </w:rPr>
            </w:pPr>
            <w:r>
              <w:rPr>
                <w:i/>
                <w:sz w:val="20"/>
              </w:rPr>
              <w:t>How does the contribution to accessibility and connectivity affect air quality?</w:t>
            </w:r>
          </w:p>
        </w:tc>
        <w:tc>
          <w:tcPr>
            <w:tcW w:w="801" w:type="dxa"/>
          </w:tcPr>
          <w:p>
            <w:pPr>
              <w:pStyle w:val="TableParagraph"/>
              <w:rPr>
                <w:rFonts w:ascii="Times New Roman"/>
                <w:sz w:val="22"/>
              </w:rPr>
            </w:pPr>
          </w:p>
          <w:p>
            <w:pPr>
              <w:pStyle w:val="TableParagraph"/>
              <w:spacing w:before="6"/>
              <w:rPr>
                <w:rFonts w:ascii="Times New Roman"/>
                <w:sz w:val="17"/>
              </w:rPr>
            </w:pPr>
          </w:p>
          <w:p>
            <w:pPr>
              <w:pStyle w:val="TableParagraph"/>
              <w:spacing w:before="1"/>
              <w:ind w:left="14"/>
              <w:jc w:val="center"/>
              <w:rPr>
                <w:sz w:val="20"/>
              </w:rPr>
            </w:pPr>
            <w:r>
              <w:rPr>
                <w:color w:val="0000FF"/>
                <w:w w:val="99"/>
                <w:sz w:val="20"/>
              </w:rPr>
              <w:t>+</w:t>
            </w:r>
          </w:p>
        </w:tc>
        <w:tc>
          <w:tcPr>
            <w:tcW w:w="2104" w:type="dxa"/>
          </w:tcPr>
          <w:p>
            <w:pPr>
              <w:pStyle w:val="TableParagraph"/>
              <w:spacing w:before="8"/>
              <w:rPr>
                <w:rFonts w:ascii="Times New Roman"/>
                <w:sz w:val="19"/>
              </w:rPr>
            </w:pPr>
          </w:p>
          <w:p>
            <w:pPr>
              <w:pStyle w:val="TableParagraph"/>
              <w:spacing w:before="1"/>
              <w:ind w:left="110" w:right="96"/>
              <w:rPr>
                <w:sz w:val="20"/>
              </w:rPr>
            </w:pPr>
            <w:r>
              <w:rPr>
                <w:color w:val="0000FF"/>
                <w:sz w:val="20"/>
              </w:rPr>
              <w:t>Flooding disrupts transport and causes traffic congestion</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224" w:hRule="atLeast"/>
        </w:trPr>
        <w:tc>
          <w:tcPr>
            <w:tcW w:w="2846" w:type="dxa"/>
            <w:tcBorders>
              <w:bottom w:val="nil"/>
            </w:tcBorders>
          </w:tcPr>
          <w:p>
            <w:pPr>
              <w:pStyle w:val="TableParagraph"/>
              <w:spacing w:line="205" w:lineRule="exact"/>
              <w:ind w:right="101"/>
              <w:jc w:val="right"/>
              <w:rPr>
                <w:sz w:val="20"/>
              </w:rPr>
            </w:pPr>
            <w:r>
              <w:rPr>
                <w:w w:val="95"/>
                <w:sz w:val="20"/>
              </w:rPr>
              <w:t>Midstream</w:t>
            </w:r>
          </w:p>
        </w:tc>
        <w:tc>
          <w:tcPr>
            <w:tcW w:w="2416" w:type="dxa"/>
            <w:tcBorders>
              <w:bottom w:val="nil"/>
            </w:tcBorders>
          </w:tcPr>
          <w:p>
            <w:pPr>
              <w:pStyle w:val="TableParagraph"/>
              <w:spacing w:line="205" w:lineRule="exact"/>
              <w:ind w:left="108"/>
              <w:rPr>
                <w:sz w:val="20"/>
              </w:rPr>
            </w:pPr>
            <w:r>
              <w:rPr>
                <w:sz w:val="20"/>
              </w:rPr>
              <w:t>SA12: Water quality</w:t>
            </w:r>
          </w:p>
        </w:tc>
        <w:tc>
          <w:tcPr>
            <w:tcW w:w="2918" w:type="dxa"/>
            <w:vMerge w:val="restart"/>
            <w:shd w:val="clear" w:color="auto" w:fill="FFFF98"/>
          </w:tcPr>
          <w:p>
            <w:pPr>
              <w:pStyle w:val="TableParagraph"/>
              <w:spacing w:line="242" w:lineRule="exact"/>
              <w:ind w:left="109"/>
              <w:rPr>
                <w:rFonts w:ascii="Symbol" w:hAnsi="Symbol"/>
                <w:sz w:val="20"/>
              </w:rPr>
            </w:pPr>
            <w:r>
              <w:rPr>
                <w:sz w:val="20"/>
              </w:rPr>
              <w:t>SA12: Water quality</w:t>
            </w:r>
            <w:r>
              <w:rPr>
                <w:rFonts w:ascii="Symbol" w:hAnsi="Symbol"/>
                <w:sz w:val="20"/>
                <w:vertAlign w:val="superscript"/>
              </w:rPr>
              <w:t></w:t>
            </w:r>
          </w:p>
          <w:p>
            <w:pPr>
              <w:pStyle w:val="TableParagraph"/>
              <w:ind w:left="109" w:right="241"/>
              <w:jc w:val="both"/>
              <w:rPr>
                <w:i/>
                <w:sz w:val="20"/>
              </w:rPr>
            </w:pPr>
            <w:r>
              <w:rPr>
                <w:i/>
                <w:sz w:val="20"/>
              </w:rPr>
              <w:t>How does the contribution to accessibility and connectivity affect water quality?</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spacing w:line="205" w:lineRule="exact"/>
              <w:ind w:left="110"/>
              <w:rPr>
                <w:sz w:val="20"/>
              </w:rPr>
            </w:pPr>
            <w:r>
              <w:rPr>
                <w:color w:val="0000FF"/>
                <w:sz w:val="20"/>
              </w:rPr>
              <w:t>SuDS mitigate and</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Runoff from roads can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improve water</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contain oil, heavy metals</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quality; reduced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and other toxic</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spacing w:line="200" w:lineRule="exact"/>
              <w:ind w:left="14"/>
              <w:jc w:val="center"/>
              <w:rPr>
                <w:sz w:val="20"/>
              </w:rPr>
            </w:pPr>
            <w:r>
              <w:rPr>
                <w:color w:val="0000FF"/>
                <w:w w:val="99"/>
                <w:sz w:val="20"/>
              </w:rPr>
              <w:t>+</w:t>
            </w:r>
          </w:p>
        </w:tc>
        <w:tc>
          <w:tcPr>
            <w:tcW w:w="2104" w:type="dxa"/>
            <w:tcBorders>
              <w:top w:val="nil"/>
              <w:bottom w:val="nil"/>
            </w:tcBorders>
          </w:tcPr>
          <w:p>
            <w:pPr>
              <w:pStyle w:val="TableParagraph"/>
              <w:spacing w:line="200" w:lineRule="exact"/>
              <w:ind w:left="110"/>
              <w:rPr>
                <w:sz w:val="20"/>
              </w:rPr>
            </w:pPr>
            <w:r>
              <w:rPr>
                <w:color w:val="0000FF"/>
                <w:sz w:val="20"/>
              </w:rPr>
              <w:t>flood risk to transport</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substances which can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network &gt; reduced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4"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5" w:lineRule="exact"/>
              <w:ind w:left="108"/>
              <w:rPr>
                <w:i/>
                <w:sz w:val="20"/>
              </w:rPr>
            </w:pPr>
            <w:r>
              <w:rPr>
                <w:i/>
                <w:sz w:val="20"/>
              </w:rPr>
              <w:t>affect water quality.</w:t>
            </w:r>
          </w:p>
        </w:tc>
        <w:tc>
          <w:tcPr>
            <w:tcW w:w="2918" w:type="dxa"/>
            <w:vMerge/>
            <w:tcBorders>
              <w:top w:val="nil"/>
            </w:tcBorders>
            <w:shd w:val="clear" w:color="auto" w:fill="FFFF98"/>
          </w:tcPr>
          <w:p>
            <w:pPr>
              <w:rPr>
                <w:sz w:val="2"/>
                <w:szCs w:val="2"/>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spacing w:line="205" w:lineRule="exact"/>
              <w:ind w:left="110"/>
              <w:rPr>
                <w:sz w:val="20"/>
              </w:rPr>
            </w:pPr>
            <w:r>
              <w:rPr>
                <w:color w:val="0000FF"/>
                <w:sz w:val="20"/>
              </w:rPr>
              <w:t>pollutants in water</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5" w:hRule="atLeast"/>
        </w:trPr>
        <w:tc>
          <w:tcPr>
            <w:tcW w:w="2846" w:type="dxa"/>
            <w:tcBorders>
              <w:bottom w:val="nil"/>
            </w:tcBorders>
          </w:tcPr>
          <w:p>
            <w:pPr>
              <w:pStyle w:val="TableParagraph"/>
              <w:spacing w:line="206" w:lineRule="exact"/>
              <w:ind w:right="101"/>
              <w:jc w:val="right"/>
              <w:rPr>
                <w:sz w:val="20"/>
              </w:rPr>
            </w:pPr>
            <w:r>
              <w:rPr>
                <w:w w:val="95"/>
                <w:sz w:val="20"/>
              </w:rPr>
              <w:t>Downstream</w:t>
            </w:r>
          </w:p>
        </w:tc>
        <w:tc>
          <w:tcPr>
            <w:tcW w:w="2416" w:type="dxa"/>
            <w:tcBorders>
              <w:bottom w:val="nil"/>
            </w:tcBorders>
          </w:tcPr>
          <w:p>
            <w:pPr>
              <w:pStyle w:val="TableParagraph"/>
              <w:rPr>
                <w:rFonts w:ascii="Times New Roman"/>
                <w:sz w:val="16"/>
              </w:rPr>
            </w:pPr>
          </w:p>
        </w:tc>
        <w:tc>
          <w:tcPr>
            <w:tcW w:w="2918" w:type="dxa"/>
            <w:tcBorders>
              <w:bottom w:val="nil"/>
            </w:tcBorders>
            <w:shd w:val="clear" w:color="auto" w:fill="CCFFCC"/>
          </w:tcPr>
          <w:p>
            <w:pPr>
              <w:pStyle w:val="TableParagraph"/>
              <w:spacing w:line="206" w:lineRule="exact"/>
              <w:ind w:left="109"/>
              <w:rPr>
                <w:sz w:val="20"/>
              </w:rPr>
            </w:pPr>
            <w:r>
              <w:rPr>
                <w:sz w:val="20"/>
              </w:rPr>
              <w:t>SA13: Employment</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spacing w:line="206" w:lineRule="exact"/>
              <w:ind w:left="109"/>
              <w:rPr>
                <w:sz w:val="20"/>
              </w:rPr>
            </w:pPr>
            <w:r>
              <w:rPr>
                <w:color w:val="0000FF"/>
                <w:sz w:val="20"/>
              </w:rPr>
              <w:t>Slight positive impact</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911" w:hRule="atLeast"/>
        </w:trPr>
        <w:tc>
          <w:tcPr>
            <w:tcW w:w="2846" w:type="dxa"/>
            <w:tcBorders>
              <w:top w:val="nil"/>
              <w:bottom w:val="nil"/>
            </w:tcBorders>
          </w:tcPr>
          <w:p>
            <w:pPr>
              <w:pStyle w:val="TableParagraph"/>
              <w:rPr>
                <w:rFonts w:ascii="Times New Roman"/>
                <w:sz w:val="18"/>
              </w:rPr>
            </w:pPr>
          </w:p>
        </w:tc>
        <w:tc>
          <w:tcPr>
            <w:tcW w:w="2416" w:type="dxa"/>
            <w:tcBorders>
              <w:top w:val="nil"/>
              <w:bottom w:val="nil"/>
            </w:tcBorders>
          </w:tcPr>
          <w:p>
            <w:pPr>
              <w:pStyle w:val="TableParagraph"/>
              <w:spacing w:before="107"/>
              <w:ind w:left="108" w:right="566"/>
              <w:rPr>
                <w:sz w:val="20"/>
              </w:rPr>
            </w:pPr>
            <w:r>
              <w:rPr>
                <w:sz w:val="20"/>
              </w:rPr>
              <w:t>SA13: Employment opportunities</w:t>
            </w:r>
          </w:p>
          <w:p>
            <w:pPr>
              <w:pStyle w:val="TableParagraph"/>
              <w:ind w:left="108"/>
              <w:rPr>
                <w:sz w:val="20"/>
              </w:rPr>
            </w:pPr>
            <w:r>
              <w:rPr>
                <w:sz w:val="20"/>
              </w:rPr>
              <w:t>No justification</w:t>
            </w:r>
          </w:p>
        </w:tc>
        <w:tc>
          <w:tcPr>
            <w:tcW w:w="2918" w:type="dxa"/>
            <w:tcBorders>
              <w:top w:val="nil"/>
              <w:bottom w:val="nil"/>
            </w:tcBorders>
            <w:shd w:val="clear" w:color="auto" w:fill="CCFFCC"/>
          </w:tcPr>
          <w:p>
            <w:pPr>
              <w:pStyle w:val="TableParagraph"/>
              <w:spacing w:line="222" w:lineRule="exact"/>
              <w:ind w:left="109"/>
              <w:rPr>
                <w:sz w:val="20"/>
              </w:rPr>
            </w:pPr>
            <w:r>
              <w:rPr>
                <w:sz w:val="20"/>
              </w:rPr>
              <w:t>opportunities</w:t>
            </w:r>
          </w:p>
          <w:p>
            <w:pPr>
              <w:pStyle w:val="TableParagraph"/>
              <w:spacing w:line="230" w:lineRule="atLeast"/>
              <w:ind w:left="109" w:right="239"/>
              <w:jc w:val="both"/>
              <w:rPr>
                <w:sz w:val="20"/>
              </w:rPr>
            </w:pPr>
            <w:r>
              <w:rPr>
                <w:sz w:val="20"/>
              </w:rPr>
              <w:t>How does the contribution to accessibility and connectivity affect employment</w:t>
            </w:r>
          </w:p>
        </w:tc>
        <w:tc>
          <w:tcPr>
            <w:tcW w:w="801" w:type="dxa"/>
            <w:tcBorders>
              <w:top w:val="nil"/>
              <w:bottom w:val="nil"/>
            </w:tcBorders>
          </w:tcPr>
          <w:p>
            <w:pPr>
              <w:pStyle w:val="TableParagraph"/>
              <w:spacing w:before="3"/>
              <w:rPr>
                <w:rFonts w:ascii="Times New Roman"/>
                <w:sz w:val="19"/>
              </w:rPr>
            </w:pPr>
          </w:p>
          <w:p>
            <w:pPr>
              <w:pStyle w:val="TableParagraph"/>
              <w:ind w:left="14"/>
              <w:jc w:val="center"/>
              <w:rPr>
                <w:sz w:val="20"/>
              </w:rPr>
            </w:pPr>
            <w:r>
              <w:rPr>
                <w:color w:val="0000FF"/>
                <w:w w:val="99"/>
                <w:sz w:val="20"/>
              </w:rPr>
              <w:t>+</w:t>
            </w:r>
          </w:p>
        </w:tc>
        <w:tc>
          <w:tcPr>
            <w:tcW w:w="2104" w:type="dxa"/>
            <w:tcBorders>
              <w:top w:val="nil"/>
              <w:bottom w:val="nil"/>
            </w:tcBorders>
          </w:tcPr>
          <w:p>
            <w:pPr>
              <w:pStyle w:val="TableParagraph"/>
              <w:ind w:left="109" w:right="275"/>
              <w:rPr>
                <w:sz w:val="20"/>
              </w:rPr>
            </w:pPr>
            <w:r>
              <w:rPr>
                <w:color w:val="0000FF"/>
                <w:sz w:val="20"/>
              </w:rPr>
              <w:t>– improved connectivity results in improved</w:t>
            </w:r>
          </w:p>
          <w:p>
            <w:pPr>
              <w:pStyle w:val="TableParagraph"/>
              <w:spacing w:line="209" w:lineRule="exact"/>
              <w:ind w:left="109"/>
              <w:rPr>
                <w:sz w:val="20"/>
              </w:rPr>
            </w:pPr>
            <w:r>
              <w:rPr>
                <w:color w:val="0000FF"/>
                <w:sz w:val="20"/>
              </w:rPr>
              <w:t>economy/business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4"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rPr>
                <w:rFonts w:ascii="Times New Roman"/>
                <w:sz w:val="16"/>
              </w:rPr>
            </w:pPr>
          </w:p>
        </w:tc>
        <w:tc>
          <w:tcPr>
            <w:tcW w:w="2918" w:type="dxa"/>
            <w:tcBorders>
              <w:top w:val="nil"/>
            </w:tcBorders>
            <w:shd w:val="clear" w:color="auto" w:fill="CCFFCC"/>
          </w:tcPr>
          <w:p>
            <w:pPr>
              <w:pStyle w:val="TableParagraph"/>
              <w:spacing w:line="205" w:lineRule="exact"/>
              <w:ind w:left="109"/>
              <w:rPr>
                <w:sz w:val="20"/>
              </w:rPr>
            </w:pPr>
            <w:r>
              <w:rPr>
                <w:sz w:val="20"/>
              </w:rPr>
              <w:t>opportunities?</w:t>
            </w: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062" w:hRule="atLeast"/>
        </w:trPr>
        <w:tc>
          <w:tcPr>
            <w:tcW w:w="2846" w:type="dxa"/>
            <w:tcBorders>
              <w:bottom w:val="nil"/>
            </w:tcBorders>
          </w:tcPr>
          <w:p>
            <w:pPr>
              <w:pStyle w:val="TableParagraph"/>
              <w:spacing w:line="227" w:lineRule="exact"/>
              <w:ind w:right="101"/>
              <w:jc w:val="right"/>
              <w:rPr>
                <w:sz w:val="20"/>
              </w:rPr>
            </w:pPr>
            <w:r>
              <w:rPr>
                <w:w w:val="95"/>
                <w:sz w:val="20"/>
              </w:rPr>
              <w:t>Downstream</w:t>
            </w:r>
          </w:p>
        </w:tc>
        <w:tc>
          <w:tcPr>
            <w:tcW w:w="2416" w:type="dxa"/>
            <w:tcBorders>
              <w:bottom w:val="nil"/>
            </w:tcBorders>
          </w:tcPr>
          <w:p>
            <w:pPr>
              <w:pStyle w:val="TableParagraph"/>
              <w:spacing w:line="225" w:lineRule="exact"/>
              <w:ind w:left="108"/>
              <w:rPr>
                <w:sz w:val="20"/>
              </w:rPr>
            </w:pPr>
            <w:r>
              <w:rPr>
                <w:sz w:val="20"/>
              </w:rPr>
              <w:t>SA14: Health</w:t>
            </w:r>
          </w:p>
          <w:p>
            <w:pPr>
              <w:pStyle w:val="TableParagraph"/>
              <w:ind w:left="108"/>
              <w:rPr>
                <w:i/>
                <w:sz w:val="20"/>
              </w:rPr>
            </w:pPr>
            <w:r>
              <w:rPr>
                <w:i/>
                <w:sz w:val="20"/>
              </w:rPr>
              <w:t>Poor air quality resulting from road transport emissions can have serious health impacts, particularly those with existing cardio-vascular disease and the elderly.</w:t>
            </w:r>
          </w:p>
        </w:tc>
        <w:tc>
          <w:tcPr>
            <w:tcW w:w="2918" w:type="dxa"/>
            <w:tcBorders>
              <w:bottom w:val="nil"/>
            </w:tcBorders>
            <w:shd w:val="clear" w:color="auto" w:fill="CCFFCC"/>
          </w:tcPr>
          <w:p>
            <w:pPr>
              <w:pStyle w:val="TableParagraph"/>
              <w:rPr>
                <w:rFonts w:ascii="Times New Roman"/>
                <w:sz w:val="26"/>
              </w:rPr>
            </w:pPr>
          </w:p>
          <w:p>
            <w:pPr>
              <w:pStyle w:val="TableParagraph"/>
              <w:spacing w:before="3"/>
              <w:rPr>
                <w:rFonts w:ascii="Times New Roman"/>
                <w:sz w:val="23"/>
              </w:rPr>
            </w:pPr>
          </w:p>
          <w:p>
            <w:pPr>
              <w:pStyle w:val="TableParagraph"/>
              <w:spacing w:line="242" w:lineRule="exact"/>
              <w:ind w:left="109"/>
              <w:rPr>
                <w:rFonts w:ascii="Symbol" w:hAnsi="Symbol"/>
                <w:sz w:val="20"/>
              </w:rPr>
            </w:pPr>
            <w:r>
              <w:rPr>
                <w:sz w:val="20"/>
              </w:rPr>
              <w:t>SA14: Health</w:t>
            </w:r>
            <w:r>
              <w:rPr>
                <w:rFonts w:ascii="Symbol" w:hAnsi="Symbol"/>
                <w:sz w:val="20"/>
                <w:vertAlign w:val="superscript"/>
              </w:rPr>
              <w:t></w:t>
            </w:r>
          </w:p>
          <w:p>
            <w:pPr>
              <w:pStyle w:val="TableParagraph"/>
              <w:ind w:left="109" w:right="222"/>
              <w:rPr>
                <w:i/>
                <w:sz w:val="20"/>
              </w:rPr>
            </w:pPr>
            <w:r>
              <w:rPr>
                <w:i/>
                <w:sz w:val="20"/>
              </w:rPr>
              <w:t>How does the contribution to accessibility and connectivity affect health and health inequalities?</w:t>
            </w:r>
          </w:p>
        </w:tc>
        <w:tc>
          <w:tcPr>
            <w:tcW w:w="801" w:type="dxa"/>
            <w:tcBorders>
              <w:bottom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9"/>
              </w:rPr>
            </w:pPr>
          </w:p>
          <w:p>
            <w:pPr>
              <w:pStyle w:val="TableParagraph"/>
              <w:ind w:left="14"/>
              <w:jc w:val="center"/>
              <w:rPr>
                <w:sz w:val="20"/>
              </w:rPr>
            </w:pPr>
            <w:r>
              <w:rPr>
                <w:color w:val="0000FF"/>
                <w:w w:val="99"/>
                <w:sz w:val="20"/>
              </w:rPr>
              <w:t>+</w:t>
            </w:r>
          </w:p>
        </w:tc>
        <w:tc>
          <w:tcPr>
            <w:tcW w:w="2104" w:type="dxa"/>
            <w:tcBorders>
              <w:bottom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31"/>
              </w:rPr>
            </w:pPr>
          </w:p>
          <w:p>
            <w:pPr>
              <w:pStyle w:val="TableParagraph"/>
              <w:spacing w:line="230" w:lineRule="atLeast"/>
              <w:ind w:left="110"/>
              <w:rPr>
                <w:sz w:val="20"/>
              </w:rPr>
            </w:pPr>
            <w:r>
              <w:rPr>
                <w:color w:val="0000FF"/>
                <w:sz w:val="20"/>
              </w:rPr>
              <w:t>Access to surgeries and NHS services improved</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455" w:hRule="atLeast"/>
        </w:trPr>
        <w:tc>
          <w:tcPr>
            <w:tcW w:w="2846" w:type="dxa"/>
            <w:tcBorders>
              <w:top w:val="nil"/>
            </w:tcBorders>
          </w:tcPr>
          <w:p>
            <w:pPr>
              <w:pStyle w:val="TableParagraph"/>
              <w:rPr>
                <w:rFonts w:ascii="Times New Roman"/>
                <w:sz w:val="18"/>
              </w:rPr>
            </w:pPr>
          </w:p>
        </w:tc>
        <w:tc>
          <w:tcPr>
            <w:tcW w:w="2416" w:type="dxa"/>
            <w:tcBorders>
              <w:top w:val="nil"/>
            </w:tcBorders>
          </w:tcPr>
          <w:p>
            <w:pPr>
              <w:pStyle w:val="TableParagraph"/>
              <w:spacing w:line="219" w:lineRule="exact"/>
              <w:ind w:left="108"/>
              <w:rPr>
                <w:i/>
                <w:sz w:val="20"/>
              </w:rPr>
            </w:pPr>
            <w:r>
              <w:rPr>
                <w:i/>
                <w:sz w:val="20"/>
              </w:rPr>
              <w:t>Road traffic accidents</w:t>
            </w:r>
          </w:p>
          <w:p>
            <w:pPr>
              <w:pStyle w:val="TableParagraph"/>
              <w:spacing w:line="215" w:lineRule="exact"/>
              <w:ind w:left="108"/>
              <w:rPr>
                <w:i/>
                <w:sz w:val="20"/>
              </w:rPr>
            </w:pPr>
            <w:r>
              <w:rPr>
                <w:i/>
                <w:sz w:val="20"/>
              </w:rPr>
              <w:t>can kill or seriously</w:t>
            </w:r>
          </w:p>
        </w:tc>
        <w:tc>
          <w:tcPr>
            <w:tcW w:w="2918" w:type="dxa"/>
            <w:tcBorders>
              <w:top w:val="nil"/>
            </w:tcBorders>
            <w:shd w:val="clear" w:color="auto" w:fill="CCFFCC"/>
          </w:tcPr>
          <w:p>
            <w:pPr>
              <w:pStyle w:val="TableParagraph"/>
              <w:rPr>
                <w:rFonts w:ascii="Times New Roman"/>
                <w:sz w:val="18"/>
              </w:rPr>
            </w:pPr>
          </w:p>
        </w:tc>
        <w:tc>
          <w:tcPr>
            <w:tcW w:w="801" w:type="dxa"/>
            <w:tcBorders>
              <w:top w:val="nil"/>
            </w:tcBorders>
          </w:tcPr>
          <w:p>
            <w:pPr>
              <w:pStyle w:val="TableParagraph"/>
              <w:rPr>
                <w:rFonts w:ascii="Times New Roman"/>
                <w:sz w:val="18"/>
              </w:rPr>
            </w:pP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bl>
    <w:p>
      <w:pPr>
        <w:pStyle w:val="BodyText"/>
        <w:spacing w:before="9"/>
        <w:rPr>
          <w:rFonts w:ascii="Times New Roman"/>
          <w:sz w:val="21"/>
        </w:rPr>
      </w:pPr>
      <w:r>
        <w:rPr/>
        <w:pict>
          <v:line style="position:absolute;mso-position-horizontal-relative:page;mso-position-vertical-relative:paragraph;z-index:1640;mso-wrap-distance-left:0;mso-wrap-distance-right:0" from="72pt,14.820001pt" to="216.000005pt,14.820001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w:t>
      </w:r>
      <w:r>
        <w:rPr>
          <w:spacing w:val="2"/>
          <w:sz w:val="20"/>
        </w:rPr>
        <w:t> </w:t>
      </w:r>
      <w:r>
        <w:rPr>
          <w:sz w:val="20"/>
        </w:rPr>
        <w:t>Air</w:t>
      </w:r>
    </w:p>
    <w:p>
      <w:pPr>
        <w:pStyle w:val="ListParagraph"/>
        <w:numPr>
          <w:ilvl w:val="0"/>
          <w:numId w:val="55"/>
        </w:numPr>
        <w:tabs>
          <w:tab w:pos="341" w:val="left" w:leader="none"/>
        </w:tabs>
        <w:spacing w:line="245" w:lineRule="exact" w:before="0" w:after="0"/>
        <w:ind w:left="340" w:right="0" w:hanging="120"/>
        <w:jc w:val="left"/>
        <w:rPr>
          <w:sz w:val="20"/>
        </w:rPr>
      </w:pPr>
      <w:r>
        <w:rPr>
          <w:sz w:val="20"/>
        </w:rPr>
        <w:t>SEA Directive:</w:t>
      </w:r>
      <w:r>
        <w:rPr>
          <w:spacing w:val="-3"/>
          <w:sz w:val="20"/>
        </w:rPr>
        <w:t> </w:t>
      </w:r>
      <w:r>
        <w:rPr>
          <w:sz w:val="20"/>
        </w:rPr>
        <w:t>Water</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Human</w:t>
      </w:r>
      <w:r>
        <w:rPr>
          <w:spacing w:val="1"/>
          <w:sz w:val="20"/>
        </w:rPr>
        <w:t> </w:t>
      </w:r>
      <w:r>
        <w:rPr>
          <w:sz w:val="20"/>
        </w:rPr>
        <w:t>health</w:t>
      </w:r>
    </w:p>
    <w:p>
      <w:pPr>
        <w:spacing w:after="0" w:line="254" w:lineRule="exact"/>
        <w:jc w:val="left"/>
        <w:rPr>
          <w:sz w:val="20"/>
        </w:rPr>
        <w:sectPr>
          <w:pgSz w:w="16840" w:h="11910" w:orient="landscape"/>
          <w:pgMar w:header="0" w:footer="814" w:top="1100" w:bottom="1020" w:left="1220" w:right="740"/>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2529" w:hRule="atLeast"/>
        </w:trPr>
        <w:tc>
          <w:tcPr>
            <w:tcW w:w="2846" w:type="dxa"/>
          </w:tcPr>
          <w:p>
            <w:pPr>
              <w:pStyle w:val="TableParagraph"/>
              <w:rPr>
                <w:rFonts w:ascii="Times New Roman"/>
                <w:sz w:val="18"/>
              </w:rPr>
            </w:pPr>
          </w:p>
        </w:tc>
        <w:tc>
          <w:tcPr>
            <w:tcW w:w="2416" w:type="dxa"/>
          </w:tcPr>
          <w:p>
            <w:pPr>
              <w:pStyle w:val="TableParagraph"/>
              <w:spacing w:line="225" w:lineRule="exact"/>
              <w:ind w:left="108"/>
              <w:rPr>
                <w:i/>
                <w:sz w:val="20"/>
              </w:rPr>
            </w:pPr>
            <w:r>
              <w:rPr>
                <w:i/>
                <w:sz w:val="20"/>
              </w:rPr>
              <w:t>injured people.</w:t>
            </w:r>
          </w:p>
          <w:p>
            <w:pPr>
              <w:pStyle w:val="TableParagraph"/>
              <w:spacing w:before="9"/>
              <w:rPr>
                <w:sz w:val="19"/>
              </w:rPr>
            </w:pPr>
          </w:p>
          <w:p>
            <w:pPr>
              <w:pStyle w:val="TableParagraph"/>
              <w:spacing w:before="1"/>
              <w:ind w:left="108"/>
              <w:rPr>
                <w:i/>
                <w:sz w:val="20"/>
              </w:rPr>
            </w:pPr>
            <w:r>
              <w:rPr>
                <w:i/>
                <w:sz w:val="20"/>
              </w:rPr>
              <w:t>High levels of private car use encourage lower levels of physical activity and fitness.</w:t>
            </w:r>
          </w:p>
          <w:p>
            <w:pPr>
              <w:pStyle w:val="TableParagraph"/>
              <w:spacing w:before="1"/>
              <w:ind w:left="108" w:right="176"/>
              <w:jc w:val="both"/>
              <w:rPr>
                <w:i/>
                <w:sz w:val="20"/>
              </w:rPr>
            </w:pPr>
            <w:r>
              <w:rPr>
                <w:i/>
                <w:sz w:val="20"/>
              </w:rPr>
              <w:t>Opportunities should be taken where possible to encourage and</w:t>
            </w:r>
            <w:r>
              <w:rPr>
                <w:i/>
                <w:spacing w:val="-20"/>
                <w:sz w:val="20"/>
              </w:rPr>
              <w:t> </w:t>
            </w:r>
            <w:r>
              <w:rPr>
                <w:i/>
                <w:sz w:val="20"/>
              </w:rPr>
              <w:t>facilitate more walking</w:t>
            </w:r>
            <w:r>
              <w:rPr>
                <w:i/>
                <w:spacing w:val="-3"/>
                <w:sz w:val="20"/>
              </w:rPr>
              <w:t> </w:t>
            </w:r>
            <w:r>
              <w:rPr>
                <w:i/>
                <w:sz w:val="20"/>
              </w:rPr>
              <w:t>and</w:t>
            </w:r>
          </w:p>
          <w:p>
            <w:pPr>
              <w:pStyle w:val="TableParagraph"/>
              <w:spacing w:line="215" w:lineRule="exact"/>
              <w:ind w:left="108"/>
              <w:rPr>
                <w:i/>
                <w:sz w:val="20"/>
              </w:rPr>
            </w:pPr>
            <w:r>
              <w:rPr>
                <w:i/>
                <w:sz w:val="20"/>
              </w:rPr>
              <w:t>cycling.</w:t>
            </w:r>
          </w:p>
        </w:tc>
        <w:tc>
          <w:tcPr>
            <w:tcW w:w="2918" w:type="dxa"/>
            <w:shd w:val="clear" w:color="auto" w:fill="CCFFCC"/>
          </w:tcPr>
          <w:p>
            <w:pPr>
              <w:pStyle w:val="TableParagraph"/>
              <w:rPr>
                <w:rFonts w:ascii="Times New Roman"/>
                <w:sz w:val="18"/>
              </w:rPr>
            </w:pPr>
          </w:p>
        </w:tc>
        <w:tc>
          <w:tcPr>
            <w:tcW w:w="801" w:type="dxa"/>
          </w:tcPr>
          <w:p>
            <w:pPr>
              <w:pStyle w:val="TableParagraph"/>
              <w:rPr>
                <w:rFonts w:ascii="Times New Roman"/>
                <w:sz w:val="18"/>
              </w:rPr>
            </w:pPr>
          </w:p>
        </w:tc>
        <w:tc>
          <w:tcPr>
            <w:tcW w:w="2104" w:type="dxa"/>
          </w:tcPr>
          <w:p>
            <w:pPr>
              <w:pStyle w:val="TableParagraph"/>
              <w:rPr>
                <w:rFonts w:ascii="Times New Roman"/>
                <w:sz w:val="18"/>
              </w:rPr>
            </w:pP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2990"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spacing w:before="9"/>
              <w:rPr>
                <w:sz w:val="29"/>
              </w:rPr>
            </w:pPr>
          </w:p>
          <w:p>
            <w:pPr>
              <w:pStyle w:val="TableParagraph"/>
              <w:ind w:left="108" w:right="161"/>
              <w:rPr>
                <w:sz w:val="20"/>
              </w:rPr>
            </w:pPr>
            <w:r>
              <w:rPr>
                <w:sz w:val="20"/>
              </w:rPr>
              <w:t>SA16: Cleaner, greener and more attractive city </w:t>
            </w:r>
            <w:r>
              <w:rPr>
                <w:i/>
                <w:sz w:val="20"/>
              </w:rPr>
              <w:t>Road transport is the most extensive source of environmental noise pollution, and can have lead to high levels of annoyance and health impacts in exposed locations</w:t>
            </w:r>
            <w:r>
              <w:rPr>
                <w:sz w:val="20"/>
              </w:rPr>
              <w:t>.</w:t>
            </w:r>
          </w:p>
        </w:tc>
        <w:tc>
          <w:tcPr>
            <w:tcW w:w="2918" w:type="dxa"/>
            <w:shd w:val="clear" w:color="auto" w:fill="FFFF98"/>
          </w:tcPr>
          <w:p>
            <w:pPr>
              <w:pStyle w:val="TableParagraph"/>
              <w:rPr>
                <w:sz w:val="26"/>
              </w:rPr>
            </w:pPr>
          </w:p>
          <w:p>
            <w:pPr>
              <w:pStyle w:val="TableParagraph"/>
              <w:spacing w:before="11"/>
              <w:rPr>
                <w:sz w:val="22"/>
              </w:rPr>
            </w:pPr>
          </w:p>
          <w:p>
            <w:pPr>
              <w:pStyle w:val="TableParagraph"/>
              <w:spacing w:line="244" w:lineRule="auto"/>
              <w:ind w:left="109"/>
              <w:rPr>
                <w:rFonts w:ascii="Symbol" w:hAnsi="Symbol"/>
                <w:sz w:val="20"/>
              </w:rPr>
            </w:pPr>
            <w:r>
              <w:rPr>
                <w:sz w:val="20"/>
              </w:rPr>
              <w:t>SA16: Cleaner, greener and more attractive city</w:t>
            </w:r>
            <w:r>
              <w:rPr>
                <w:rFonts w:ascii="Symbol" w:hAnsi="Symbol"/>
                <w:sz w:val="20"/>
                <w:vertAlign w:val="superscript"/>
              </w:rPr>
              <w:t></w:t>
            </w:r>
          </w:p>
          <w:p>
            <w:pPr>
              <w:pStyle w:val="TableParagraph"/>
              <w:ind w:left="109" w:right="222"/>
              <w:rPr>
                <w:i/>
                <w:sz w:val="20"/>
              </w:rPr>
            </w:pPr>
            <w:r>
              <w:rPr>
                <w:i/>
                <w:sz w:val="20"/>
              </w:rPr>
              <w:t>How does the contribution to accessibility and connectivity affect creating a cleaner, greener and more attractive city?</w:t>
            </w:r>
          </w:p>
        </w:tc>
        <w:tc>
          <w:tcPr>
            <w:tcW w:w="801" w:type="dxa"/>
          </w:tcPr>
          <w:p>
            <w:pPr>
              <w:pStyle w:val="TableParagraph"/>
              <w:rPr>
                <w:sz w:val="22"/>
              </w:rPr>
            </w:pPr>
          </w:p>
          <w:p>
            <w:pPr>
              <w:pStyle w:val="TableParagraph"/>
              <w:rPr>
                <w:sz w:val="22"/>
              </w:rPr>
            </w:pPr>
          </w:p>
          <w:p>
            <w:pPr>
              <w:pStyle w:val="TableParagraph"/>
              <w:rPr>
                <w:sz w:val="22"/>
              </w:rPr>
            </w:pPr>
          </w:p>
          <w:p>
            <w:pPr>
              <w:pStyle w:val="TableParagraph"/>
              <w:spacing w:before="157"/>
              <w:ind w:left="14"/>
              <w:jc w:val="center"/>
              <w:rPr>
                <w:sz w:val="20"/>
              </w:rPr>
            </w:pPr>
            <w:r>
              <w:rPr>
                <w:color w:val="0000FF"/>
                <w:w w:val="99"/>
                <w:sz w:val="20"/>
              </w:rPr>
              <w:t>+</w:t>
            </w:r>
          </w:p>
        </w:tc>
        <w:tc>
          <w:tcPr>
            <w:tcW w:w="2104" w:type="dxa"/>
          </w:tcPr>
          <w:p>
            <w:pPr>
              <w:pStyle w:val="TableParagraph"/>
              <w:rPr>
                <w:sz w:val="22"/>
              </w:rPr>
            </w:pPr>
          </w:p>
          <w:p>
            <w:pPr>
              <w:pStyle w:val="TableParagraph"/>
              <w:rPr>
                <w:sz w:val="22"/>
              </w:rPr>
            </w:pPr>
          </w:p>
          <w:p>
            <w:pPr>
              <w:pStyle w:val="TableParagraph"/>
              <w:spacing w:before="180"/>
              <w:ind w:left="110" w:right="329"/>
              <w:rPr>
                <w:sz w:val="20"/>
              </w:rPr>
            </w:pPr>
            <w:r>
              <w:rPr>
                <w:color w:val="0000FF"/>
                <w:sz w:val="20"/>
              </w:rPr>
              <w:t>No silt, sewage, sludge from floods on streets – improves connectivity.</w:t>
            </w:r>
          </w:p>
          <w:p>
            <w:pPr>
              <w:pStyle w:val="TableParagraph"/>
              <w:spacing w:before="2"/>
              <w:ind w:left="110" w:right="207"/>
              <w:rPr>
                <w:sz w:val="20"/>
              </w:rPr>
            </w:pPr>
            <w:r>
              <w:rPr>
                <w:color w:val="0000FF"/>
                <w:sz w:val="20"/>
              </w:rPr>
              <w:t>Improved public realm and access through provision of SuDS and green</w:t>
            </w:r>
          </w:p>
          <w:p>
            <w:pPr>
              <w:pStyle w:val="TableParagraph"/>
              <w:spacing w:line="212" w:lineRule="exact"/>
              <w:ind w:left="110"/>
              <w:rPr>
                <w:sz w:val="20"/>
              </w:rPr>
            </w:pPr>
            <w:r>
              <w:rPr>
                <w:color w:val="0000FF"/>
                <w:sz w:val="20"/>
              </w:rPr>
              <w:t>spaces</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1166"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ind w:left="108" w:hanging="1"/>
              <w:rPr>
                <w:i/>
                <w:sz w:val="20"/>
              </w:rPr>
            </w:pPr>
            <w:r>
              <w:rPr>
                <w:sz w:val="20"/>
              </w:rPr>
              <w:t>SA17: Biodiversity / geological conservation </w:t>
            </w:r>
            <w:r>
              <w:rPr>
                <w:i/>
                <w:sz w:val="20"/>
              </w:rPr>
              <w:t>Poor air quality and</w:t>
            </w:r>
          </w:p>
          <w:p>
            <w:pPr>
              <w:pStyle w:val="TableParagraph"/>
              <w:ind w:left="108"/>
              <w:rPr>
                <w:i/>
                <w:sz w:val="20"/>
              </w:rPr>
            </w:pPr>
            <w:r>
              <w:rPr>
                <w:i/>
                <w:sz w:val="20"/>
              </w:rPr>
              <w:t>water quality resulting from transport can</w:t>
            </w:r>
          </w:p>
        </w:tc>
        <w:tc>
          <w:tcPr>
            <w:tcW w:w="2918" w:type="dxa"/>
            <w:shd w:val="clear" w:color="auto" w:fill="FFFF98"/>
          </w:tcPr>
          <w:p>
            <w:pPr>
              <w:pStyle w:val="TableParagraph"/>
              <w:spacing w:line="237" w:lineRule="auto" w:before="2"/>
              <w:ind w:left="109" w:right="262"/>
              <w:rPr>
                <w:i/>
                <w:sz w:val="20"/>
              </w:rPr>
            </w:pPr>
            <w:r>
              <w:rPr>
                <w:sz w:val="20"/>
              </w:rPr>
              <w:t>SA17: Biodiversity</w:t>
            </w:r>
            <w:r>
              <w:rPr>
                <w:rFonts w:ascii="Symbol" w:hAnsi="Symbol"/>
                <w:sz w:val="20"/>
                <w:vertAlign w:val="superscript"/>
              </w:rPr>
              <w:t></w:t>
            </w:r>
            <w:r>
              <w:rPr>
                <w:rFonts w:ascii="Times New Roman" w:hAnsi="Times New Roman"/>
                <w:sz w:val="20"/>
                <w:vertAlign w:val="baseline"/>
              </w:rPr>
              <w:t> </w:t>
            </w:r>
            <w:r>
              <w:rPr>
                <w:sz w:val="20"/>
                <w:vertAlign w:val="baseline"/>
              </w:rPr>
              <w:t>/ geological conservation </w:t>
            </w:r>
            <w:r>
              <w:rPr>
                <w:i/>
                <w:sz w:val="20"/>
                <w:vertAlign w:val="baseline"/>
              </w:rPr>
              <w:t>How does the contribution</w:t>
            </w:r>
            <w:r>
              <w:rPr>
                <w:i/>
                <w:spacing w:val="-20"/>
                <w:sz w:val="20"/>
                <w:vertAlign w:val="baseline"/>
              </w:rPr>
              <w:t> </w:t>
            </w:r>
            <w:r>
              <w:rPr>
                <w:i/>
                <w:spacing w:val="2"/>
                <w:sz w:val="20"/>
                <w:vertAlign w:val="baseline"/>
              </w:rPr>
              <w:t>to</w:t>
            </w:r>
          </w:p>
          <w:p>
            <w:pPr>
              <w:pStyle w:val="TableParagraph"/>
              <w:spacing w:line="228" w:lineRule="exact" w:before="5"/>
              <w:ind w:left="109" w:right="222"/>
              <w:rPr>
                <w:i/>
                <w:sz w:val="20"/>
              </w:rPr>
            </w:pPr>
            <w:r>
              <w:rPr>
                <w:i/>
                <w:sz w:val="20"/>
              </w:rPr>
              <w:t>accessibility and connectivity affect biodiversity?</w:t>
            </w:r>
          </w:p>
        </w:tc>
        <w:tc>
          <w:tcPr>
            <w:tcW w:w="801" w:type="dxa"/>
          </w:tcPr>
          <w:p>
            <w:pPr>
              <w:pStyle w:val="TableParagraph"/>
              <w:rPr>
                <w:sz w:val="22"/>
              </w:rPr>
            </w:pPr>
          </w:p>
          <w:p>
            <w:pPr>
              <w:pStyle w:val="TableParagraph"/>
              <w:rPr>
                <w:sz w:val="22"/>
              </w:rPr>
            </w:pPr>
          </w:p>
          <w:p>
            <w:pPr>
              <w:pStyle w:val="TableParagraph"/>
              <w:spacing w:before="180"/>
              <w:ind w:left="14"/>
              <w:jc w:val="center"/>
              <w:rPr>
                <w:sz w:val="20"/>
              </w:rPr>
            </w:pPr>
            <w:r>
              <w:rPr>
                <w:color w:val="0000FF"/>
                <w:w w:val="99"/>
                <w:sz w:val="20"/>
              </w:rPr>
              <w:t>+</w:t>
            </w:r>
          </w:p>
        </w:tc>
        <w:tc>
          <w:tcPr>
            <w:tcW w:w="2104" w:type="dxa"/>
          </w:tcPr>
          <w:p>
            <w:pPr>
              <w:pStyle w:val="TableParagraph"/>
              <w:spacing w:before="8"/>
              <w:rPr>
                <w:sz w:val="19"/>
              </w:rPr>
            </w:pPr>
          </w:p>
          <w:p>
            <w:pPr>
              <w:pStyle w:val="TableParagraph"/>
              <w:spacing w:before="1"/>
              <w:ind w:left="110" w:right="252"/>
              <w:rPr>
                <w:sz w:val="20"/>
              </w:rPr>
            </w:pPr>
            <w:r>
              <w:rPr>
                <w:color w:val="0000FF"/>
                <w:sz w:val="20"/>
              </w:rPr>
              <w:t>Provision of improved public</w:t>
            </w:r>
          </w:p>
          <w:p>
            <w:pPr>
              <w:pStyle w:val="TableParagraph"/>
              <w:ind w:left="110" w:right="318"/>
              <w:rPr>
                <w:sz w:val="20"/>
              </w:rPr>
            </w:pPr>
            <w:r>
              <w:rPr>
                <w:color w:val="0000FF"/>
                <w:sz w:val="20"/>
              </w:rPr>
              <w:t>realm and access through SuDS and</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bl>
    <w:p>
      <w:pPr>
        <w:pStyle w:val="BodyText"/>
        <w:spacing w:before="10"/>
      </w:pPr>
      <w:r>
        <w:rPr/>
        <w:pict>
          <v:line style="position:absolute;mso-position-horizontal-relative:page;mso-position-vertical-relative:paragraph;z-index:1664;mso-wrap-distance-left:0;mso-wrap-distance-right:0" from="72pt,16.02pt" to="216.000005pt,16.02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 Interrrelationship between</w:t>
      </w:r>
      <w:r>
        <w:rPr>
          <w:spacing w:val="1"/>
          <w:sz w:val="20"/>
        </w:rPr>
        <w:t> </w:t>
      </w:r>
      <w:r>
        <w:rPr>
          <w:sz w:val="20"/>
        </w:rPr>
        <w:t>factors</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Biodiversity, fauna,</w:t>
      </w:r>
      <w:r>
        <w:rPr>
          <w:spacing w:val="1"/>
          <w:sz w:val="20"/>
        </w:rPr>
        <w:t> </w:t>
      </w:r>
      <w:r>
        <w:rPr>
          <w:sz w:val="20"/>
        </w:rPr>
        <w:t>flora</w:t>
      </w:r>
    </w:p>
    <w:p>
      <w:pPr>
        <w:spacing w:after="0" w:line="254" w:lineRule="exact"/>
        <w:jc w:val="left"/>
        <w:rPr>
          <w:sz w:val="20"/>
        </w:rPr>
        <w:sectPr>
          <w:pgSz w:w="16840" w:h="11910" w:orient="landscape"/>
          <w:pgMar w:header="0" w:footer="894" w:top="1100" w:bottom="1000" w:left="1220" w:right="740"/>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1840" w:hRule="atLeast"/>
        </w:trPr>
        <w:tc>
          <w:tcPr>
            <w:tcW w:w="2846" w:type="dxa"/>
          </w:tcPr>
          <w:p>
            <w:pPr>
              <w:pStyle w:val="TableParagraph"/>
              <w:rPr>
                <w:rFonts w:ascii="Times New Roman"/>
                <w:sz w:val="18"/>
              </w:rPr>
            </w:pPr>
          </w:p>
        </w:tc>
        <w:tc>
          <w:tcPr>
            <w:tcW w:w="2416" w:type="dxa"/>
          </w:tcPr>
          <w:p>
            <w:pPr>
              <w:pStyle w:val="TableParagraph"/>
              <w:ind w:left="108" w:right="161"/>
              <w:rPr>
                <w:i/>
                <w:sz w:val="20"/>
              </w:rPr>
            </w:pPr>
            <w:r>
              <w:rPr>
                <w:i/>
                <w:sz w:val="20"/>
              </w:rPr>
              <w:t>reduce levels of biodiversity, particularly for very pollution- sensitive organisms such as lichen.</w:t>
            </w:r>
          </w:p>
          <w:p>
            <w:pPr>
              <w:pStyle w:val="TableParagraph"/>
              <w:spacing w:before="6"/>
              <w:rPr>
                <w:sz w:val="19"/>
              </w:rPr>
            </w:pPr>
          </w:p>
          <w:p>
            <w:pPr>
              <w:pStyle w:val="TableParagraph"/>
              <w:spacing w:line="230" w:lineRule="atLeast"/>
              <w:ind w:left="108" w:right="388"/>
              <w:rPr>
                <w:i/>
                <w:sz w:val="20"/>
              </w:rPr>
            </w:pPr>
            <w:r>
              <w:rPr>
                <w:i/>
                <w:sz w:val="20"/>
              </w:rPr>
              <w:t>Wildlife fatalities from traffic collisions.</w:t>
            </w:r>
          </w:p>
        </w:tc>
        <w:tc>
          <w:tcPr>
            <w:tcW w:w="2918" w:type="dxa"/>
            <w:shd w:val="clear" w:color="auto" w:fill="FFFF98"/>
          </w:tcPr>
          <w:p>
            <w:pPr>
              <w:pStyle w:val="TableParagraph"/>
              <w:rPr>
                <w:rFonts w:ascii="Times New Roman"/>
                <w:sz w:val="18"/>
              </w:rPr>
            </w:pPr>
          </w:p>
        </w:tc>
        <w:tc>
          <w:tcPr>
            <w:tcW w:w="801" w:type="dxa"/>
          </w:tcPr>
          <w:p>
            <w:pPr>
              <w:pStyle w:val="TableParagraph"/>
              <w:rPr>
                <w:rFonts w:ascii="Times New Roman"/>
                <w:sz w:val="18"/>
              </w:rPr>
            </w:pPr>
          </w:p>
        </w:tc>
        <w:tc>
          <w:tcPr>
            <w:tcW w:w="2104" w:type="dxa"/>
          </w:tcPr>
          <w:p>
            <w:pPr>
              <w:pStyle w:val="TableParagraph"/>
              <w:spacing w:line="227" w:lineRule="exact"/>
              <w:ind w:left="110"/>
              <w:rPr>
                <w:sz w:val="20"/>
              </w:rPr>
            </w:pPr>
            <w:r>
              <w:rPr>
                <w:color w:val="0000FF"/>
                <w:sz w:val="20"/>
              </w:rPr>
              <w:t>green spaces</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2298"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spacing w:line="237" w:lineRule="auto"/>
              <w:ind w:left="108" w:hanging="1"/>
              <w:rPr>
                <w:sz w:val="20"/>
              </w:rPr>
            </w:pPr>
            <w:r>
              <w:rPr>
                <w:sz w:val="20"/>
              </w:rPr>
              <w:t>SA18: Climate change mitigation</w:t>
            </w:r>
          </w:p>
          <w:p>
            <w:pPr>
              <w:pStyle w:val="TableParagraph"/>
              <w:ind w:left="108" w:right="130"/>
              <w:rPr>
                <w:i/>
                <w:sz w:val="20"/>
              </w:rPr>
            </w:pPr>
            <w:r>
              <w:rPr>
                <w:i/>
                <w:sz w:val="20"/>
              </w:rPr>
              <w:t>There is the potential to reduce CO2 emissions from road transport through encouraging less private car use and promoting cleaner vehicles</w:t>
            </w:r>
          </w:p>
          <w:p>
            <w:pPr>
              <w:pStyle w:val="TableParagraph"/>
              <w:spacing w:line="215" w:lineRule="exact"/>
              <w:ind w:left="108"/>
              <w:rPr>
                <w:i/>
                <w:sz w:val="20"/>
              </w:rPr>
            </w:pPr>
            <w:r>
              <w:rPr>
                <w:i/>
                <w:sz w:val="20"/>
              </w:rPr>
              <w:t>technologies/fuels.</w:t>
            </w:r>
          </w:p>
        </w:tc>
        <w:tc>
          <w:tcPr>
            <w:tcW w:w="2918" w:type="dxa"/>
            <w:shd w:val="clear" w:color="auto" w:fill="FFFF98"/>
          </w:tcPr>
          <w:p>
            <w:pPr>
              <w:pStyle w:val="TableParagraph"/>
              <w:spacing w:line="242" w:lineRule="auto"/>
              <w:ind w:left="109"/>
              <w:rPr>
                <w:rFonts w:ascii="Symbol" w:hAnsi="Symbol"/>
                <w:sz w:val="20"/>
              </w:rPr>
            </w:pPr>
            <w:r>
              <w:rPr>
                <w:sz w:val="20"/>
              </w:rPr>
              <w:t>SA18: Climate change mitigation</w:t>
            </w:r>
            <w:r>
              <w:rPr>
                <w:rFonts w:ascii="Symbol" w:hAnsi="Symbol"/>
                <w:sz w:val="20"/>
                <w:vertAlign w:val="superscript"/>
              </w:rPr>
              <w:t></w:t>
            </w:r>
          </w:p>
          <w:p>
            <w:pPr>
              <w:pStyle w:val="TableParagraph"/>
              <w:ind w:left="109" w:right="222"/>
              <w:rPr>
                <w:i/>
                <w:sz w:val="20"/>
              </w:rPr>
            </w:pPr>
            <w:r>
              <w:rPr>
                <w:i/>
                <w:sz w:val="20"/>
              </w:rPr>
              <w:t>How does the contribution to accessibility and connectivity affect climate change mitigation?</w:t>
            </w:r>
          </w:p>
        </w:tc>
        <w:tc>
          <w:tcPr>
            <w:tcW w:w="801" w:type="dxa"/>
          </w:tcPr>
          <w:p>
            <w:pPr>
              <w:pStyle w:val="TableParagraph"/>
              <w:rPr>
                <w:sz w:val="22"/>
              </w:rPr>
            </w:pPr>
          </w:p>
          <w:p>
            <w:pPr>
              <w:pStyle w:val="TableParagraph"/>
              <w:rPr>
                <w:sz w:val="22"/>
              </w:rPr>
            </w:pPr>
          </w:p>
          <w:p>
            <w:pPr>
              <w:pStyle w:val="TableParagraph"/>
              <w:spacing w:before="180"/>
              <w:ind w:left="14"/>
              <w:jc w:val="center"/>
              <w:rPr>
                <w:sz w:val="20"/>
              </w:rPr>
            </w:pPr>
            <w:r>
              <w:rPr>
                <w:color w:val="0000FF"/>
                <w:w w:val="99"/>
                <w:sz w:val="20"/>
              </w:rPr>
              <w:t>+</w:t>
            </w:r>
          </w:p>
        </w:tc>
        <w:tc>
          <w:tcPr>
            <w:tcW w:w="2104" w:type="dxa"/>
          </w:tcPr>
          <w:p>
            <w:pPr>
              <w:pStyle w:val="TableParagraph"/>
              <w:ind w:left="110" w:right="116"/>
              <w:rPr>
                <w:sz w:val="20"/>
              </w:rPr>
            </w:pPr>
            <w:r>
              <w:rPr>
                <w:color w:val="0000FF"/>
                <w:sz w:val="20"/>
              </w:rPr>
              <w:t>Flooding disrupts transport and</w:t>
            </w:r>
            <w:r>
              <w:rPr>
                <w:color w:val="0000FF"/>
                <w:spacing w:val="-9"/>
                <w:sz w:val="20"/>
              </w:rPr>
              <w:t> </w:t>
            </w:r>
            <w:r>
              <w:rPr>
                <w:color w:val="0000FF"/>
                <w:sz w:val="20"/>
              </w:rPr>
              <w:t>causes traffic congestion – protecting transport infrastructure is</w:t>
            </w:r>
            <w:r>
              <w:rPr>
                <w:color w:val="0000FF"/>
                <w:spacing w:val="-18"/>
                <w:sz w:val="20"/>
              </w:rPr>
              <w:t> </w:t>
            </w:r>
            <w:r>
              <w:rPr>
                <w:color w:val="0000FF"/>
                <w:sz w:val="20"/>
              </w:rPr>
              <w:t>good for climate change adaptation; more electronic information signs</w:t>
            </w:r>
            <w:r>
              <w:rPr>
                <w:color w:val="0000FF"/>
                <w:spacing w:val="-8"/>
                <w:sz w:val="20"/>
              </w:rPr>
              <w:t> </w:t>
            </w:r>
            <w:r>
              <w:rPr>
                <w:color w:val="0000FF"/>
                <w:sz w:val="20"/>
              </w:rPr>
              <w:t>on</w:t>
            </w:r>
          </w:p>
          <w:p>
            <w:pPr>
              <w:pStyle w:val="TableParagraph"/>
              <w:spacing w:line="212" w:lineRule="exact"/>
              <w:ind w:left="110"/>
              <w:rPr>
                <w:sz w:val="20"/>
              </w:rPr>
            </w:pPr>
            <w:r>
              <w:rPr>
                <w:color w:val="0000FF"/>
                <w:sz w:val="20"/>
              </w:rPr>
              <w:t>the road</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1163"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spacing w:before="4"/>
              <w:rPr>
                <w:sz w:val="30"/>
              </w:rPr>
            </w:pPr>
          </w:p>
          <w:p>
            <w:pPr>
              <w:pStyle w:val="TableParagraph"/>
              <w:spacing w:before="1"/>
              <w:ind w:left="108" w:right="732"/>
              <w:rPr>
                <w:sz w:val="20"/>
              </w:rPr>
            </w:pPr>
            <w:r>
              <w:rPr>
                <w:sz w:val="20"/>
              </w:rPr>
              <w:t>SA19: Flood risk No justification</w:t>
            </w:r>
          </w:p>
        </w:tc>
        <w:tc>
          <w:tcPr>
            <w:tcW w:w="2918" w:type="dxa"/>
          </w:tcPr>
          <w:p>
            <w:pPr>
              <w:pStyle w:val="TableParagraph"/>
              <w:spacing w:line="243" w:lineRule="exact"/>
              <w:ind w:left="109"/>
              <w:rPr>
                <w:rFonts w:ascii="Symbol" w:hAnsi="Symbol"/>
                <w:sz w:val="20"/>
              </w:rPr>
            </w:pPr>
            <w:r>
              <w:rPr>
                <w:sz w:val="20"/>
              </w:rPr>
              <w:t>SA19: Flood risk</w:t>
            </w:r>
            <w:r>
              <w:rPr>
                <w:rFonts w:ascii="Symbol" w:hAnsi="Symbol"/>
                <w:sz w:val="20"/>
                <w:vertAlign w:val="superscript"/>
              </w:rPr>
              <w:t></w:t>
            </w:r>
          </w:p>
          <w:p>
            <w:pPr>
              <w:pStyle w:val="TableParagraph"/>
              <w:ind w:left="109" w:right="239"/>
              <w:jc w:val="both"/>
              <w:rPr>
                <w:sz w:val="20"/>
              </w:rPr>
            </w:pPr>
            <w:r>
              <w:rPr>
                <w:sz w:val="20"/>
              </w:rPr>
              <w:t>How does the contribution to accessibility and connectivity affect flood risk?</w:t>
            </w:r>
          </w:p>
        </w:tc>
        <w:tc>
          <w:tcPr>
            <w:tcW w:w="801" w:type="dxa"/>
          </w:tcPr>
          <w:p>
            <w:pPr>
              <w:pStyle w:val="TableParagraph"/>
              <w:rPr>
                <w:sz w:val="22"/>
              </w:rPr>
            </w:pPr>
          </w:p>
          <w:p>
            <w:pPr>
              <w:pStyle w:val="TableParagraph"/>
              <w:spacing w:before="9"/>
              <w:rPr>
                <w:sz w:val="17"/>
              </w:rPr>
            </w:pPr>
          </w:p>
          <w:p>
            <w:pPr>
              <w:pStyle w:val="TableParagraph"/>
              <w:ind w:left="14"/>
              <w:jc w:val="center"/>
              <w:rPr>
                <w:sz w:val="20"/>
              </w:rPr>
            </w:pPr>
            <w:r>
              <w:rPr>
                <w:color w:val="0000FF"/>
                <w:w w:val="99"/>
                <w:sz w:val="20"/>
              </w:rPr>
              <w:t>+</w:t>
            </w:r>
          </w:p>
        </w:tc>
        <w:tc>
          <w:tcPr>
            <w:tcW w:w="2104" w:type="dxa"/>
          </w:tcPr>
          <w:p>
            <w:pPr>
              <w:pStyle w:val="TableParagraph"/>
              <w:ind w:left="109" w:right="231"/>
              <w:rPr>
                <w:sz w:val="20"/>
              </w:rPr>
            </w:pPr>
            <w:r>
              <w:rPr>
                <w:color w:val="0000FF"/>
                <w:sz w:val="20"/>
              </w:rPr>
              <w:t>Highway improvements such as drainage reduce</w:t>
            </w:r>
          </w:p>
          <w:p>
            <w:pPr>
              <w:pStyle w:val="TableParagraph"/>
              <w:spacing w:line="230" w:lineRule="exact"/>
              <w:ind w:left="109" w:right="152"/>
              <w:rPr>
                <w:sz w:val="20"/>
              </w:rPr>
            </w:pPr>
            <w:r>
              <w:rPr>
                <w:color w:val="0000FF"/>
                <w:sz w:val="20"/>
              </w:rPr>
              <w:t>flood risk; improved cooperation on FRM</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935" w:hRule="atLeast"/>
        </w:trPr>
        <w:tc>
          <w:tcPr>
            <w:tcW w:w="2846" w:type="dxa"/>
          </w:tcPr>
          <w:p>
            <w:pPr>
              <w:pStyle w:val="TableParagraph"/>
              <w:ind w:left="107"/>
              <w:rPr>
                <w:b/>
                <w:sz w:val="20"/>
              </w:rPr>
            </w:pPr>
            <w:r>
              <w:rPr>
                <w:b/>
                <w:sz w:val="20"/>
              </w:rPr>
              <w:t>UPSTREAM SA6: QUALITY OF PLACE</w:t>
            </w:r>
          </w:p>
          <w:p>
            <w:pPr>
              <w:pStyle w:val="TableParagraph"/>
              <w:ind w:left="107"/>
              <w:rPr>
                <w:i/>
                <w:sz w:val="20"/>
              </w:rPr>
            </w:pPr>
            <w:r>
              <w:rPr>
                <w:i/>
                <w:sz w:val="20"/>
              </w:rPr>
              <w:t>MAINTAIN AND ENHANCE THE QUALITY AND</w:t>
            </w:r>
          </w:p>
        </w:tc>
        <w:tc>
          <w:tcPr>
            <w:tcW w:w="2416" w:type="dxa"/>
          </w:tcPr>
          <w:p>
            <w:pPr>
              <w:pStyle w:val="TableParagraph"/>
              <w:rPr>
                <w:rFonts w:ascii="Times New Roman"/>
                <w:sz w:val="18"/>
              </w:rPr>
            </w:pPr>
          </w:p>
        </w:tc>
        <w:tc>
          <w:tcPr>
            <w:tcW w:w="2918" w:type="dxa"/>
          </w:tcPr>
          <w:p>
            <w:pPr>
              <w:pStyle w:val="TableParagraph"/>
              <w:spacing w:line="237" w:lineRule="auto"/>
              <w:ind w:left="109" w:right="311"/>
              <w:jc w:val="both"/>
              <w:rPr>
                <w:i/>
                <w:sz w:val="20"/>
              </w:rPr>
            </w:pPr>
            <w:r>
              <w:rPr>
                <w:b/>
                <w:sz w:val="20"/>
              </w:rPr>
              <w:t>SA6 QUALITY OF PLACE</w:t>
            </w:r>
            <w:r>
              <w:rPr>
                <w:rFonts w:ascii="Symbol" w:hAnsi="Symbol"/>
                <w:i/>
                <w:sz w:val="20"/>
                <w:vertAlign w:val="superscript"/>
              </w:rPr>
              <w:t></w:t>
            </w:r>
            <w:r>
              <w:rPr>
                <w:rFonts w:ascii="Times New Roman" w:hAnsi="Times New Roman"/>
                <w:i/>
                <w:sz w:val="20"/>
                <w:vertAlign w:val="baseline"/>
              </w:rPr>
              <w:t> </w:t>
            </w:r>
            <w:r>
              <w:rPr>
                <w:i/>
                <w:sz w:val="20"/>
                <w:vertAlign w:val="baseline"/>
              </w:rPr>
              <w:t>DOES IT CONTRIBUTE</w:t>
            </w:r>
            <w:r>
              <w:rPr>
                <w:i/>
                <w:spacing w:val="-13"/>
                <w:sz w:val="20"/>
                <w:vertAlign w:val="baseline"/>
              </w:rPr>
              <w:t> </w:t>
            </w:r>
            <w:r>
              <w:rPr>
                <w:i/>
                <w:sz w:val="20"/>
                <w:vertAlign w:val="baseline"/>
              </w:rPr>
              <w:t>TO QUALITY OF PLACE</w:t>
            </w:r>
            <w:r>
              <w:rPr>
                <w:i/>
                <w:spacing w:val="-6"/>
                <w:sz w:val="20"/>
                <w:vertAlign w:val="baseline"/>
              </w:rPr>
              <w:t> </w:t>
            </w:r>
            <w:r>
              <w:rPr>
                <w:i/>
                <w:sz w:val="20"/>
                <w:vertAlign w:val="baseline"/>
              </w:rPr>
              <w:t>BY:-</w:t>
            </w:r>
          </w:p>
        </w:tc>
        <w:tc>
          <w:tcPr>
            <w:tcW w:w="801" w:type="dxa"/>
          </w:tcPr>
          <w:p>
            <w:pPr>
              <w:pStyle w:val="TableParagraph"/>
              <w:rPr>
                <w:rFonts w:ascii="Times New Roman"/>
                <w:sz w:val="18"/>
              </w:rPr>
            </w:pPr>
          </w:p>
        </w:tc>
        <w:tc>
          <w:tcPr>
            <w:tcW w:w="2104" w:type="dxa"/>
          </w:tcPr>
          <w:p>
            <w:pPr>
              <w:pStyle w:val="TableParagraph"/>
              <w:rPr>
                <w:rFonts w:ascii="Times New Roman"/>
                <w:sz w:val="18"/>
              </w:rPr>
            </w:pP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bl>
    <w:p>
      <w:pPr>
        <w:pStyle w:val="BodyText"/>
        <w:rPr>
          <w:sz w:val="20"/>
        </w:rPr>
      </w:pPr>
    </w:p>
    <w:p>
      <w:pPr>
        <w:pStyle w:val="BodyText"/>
        <w:spacing w:before="2"/>
        <w:rPr>
          <w:sz w:val="24"/>
        </w:rPr>
      </w:pPr>
    </w:p>
    <w:p>
      <w:pPr>
        <w:pStyle w:val="ListParagraph"/>
        <w:numPr>
          <w:ilvl w:val="0"/>
          <w:numId w:val="55"/>
        </w:numPr>
        <w:tabs>
          <w:tab w:pos="341" w:val="left" w:leader="none"/>
        </w:tabs>
        <w:spacing w:line="254" w:lineRule="exact" w:before="101" w:after="0"/>
        <w:ind w:left="340" w:right="0" w:hanging="120"/>
        <w:jc w:val="left"/>
        <w:rPr>
          <w:sz w:val="20"/>
        </w:rPr>
      </w:pPr>
      <w:r>
        <w:rPr>
          <w:sz w:val="20"/>
        </w:rPr>
        <w:t>SEA Directive: Climatic</w:t>
      </w:r>
      <w:r>
        <w:rPr>
          <w:spacing w:val="-19"/>
          <w:sz w:val="20"/>
        </w:rPr>
        <w:t> </w:t>
      </w:r>
      <w:r>
        <w:rPr>
          <w:sz w:val="20"/>
        </w:rPr>
        <w:t>factors</w:t>
      </w:r>
    </w:p>
    <w:p>
      <w:pPr>
        <w:pStyle w:val="ListParagraph"/>
        <w:numPr>
          <w:ilvl w:val="0"/>
          <w:numId w:val="55"/>
        </w:numPr>
        <w:tabs>
          <w:tab w:pos="341" w:val="left" w:leader="none"/>
        </w:tabs>
        <w:spacing w:line="245" w:lineRule="exact" w:before="0" w:after="0"/>
        <w:ind w:left="340" w:right="0" w:hanging="120"/>
        <w:jc w:val="left"/>
        <w:rPr>
          <w:sz w:val="20"/>
        </w:rPr>
      </w:pPr>
      <w:r>
        <w:rPr>
          <w:sz w:val="20"/>
        </w:rPr>
        <w:t>SEA Directive: Material</w:t>
      </w:r>
      <w:r>
        <w:rPr>
          <w:spacing w:val="-14"/>
          <w:sz w:val="20"/>
        </w:rPr>
        <w:t> </w:t>
      </w:r>
      <w:r>
        <w:rPr>
          <w:sz w:val="20"/>
        </w:rPr>
        <w:t>assets</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Cultural heritage including architectural and archaeological</w:t>
      </w:r>
      <w:r>
        <w:rPr>
          <w:spacing w:val="-4"/>
          <w:sz w:val="20"/>
        </w:rPr>
        <w:t> </w:t>
      </w:r>
      <w:r>
        <w:rPr>
          <w:sz w:val="20"/>
        </w:rPr>
        <w:t>heritage</w:t>
      </w:r>
    </w:p>
    <w:p>
      <w:pPr>
        <w:spacing w:after="0" w:line="254" w:lineRule="exact"/>
        <w:jc w:val="left"/>
        <w:rPr>
          <w:sz w:val="20"/>
        </w:rPr>
        <w:sectPr>
          <w:footerReference w:type="default" r:id="rId78"/>
          <w:footerReference w:type="even" r:id="rId79"/>
          <w:pgSz w:w="16840" w:h="11910" w:orient="landscape"/>
          <w:pgMar w:footer="822" w:header="0" w:top="1100" w:bottom="102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tcBorders>
              <w:bottom w:val="nil"/>
            </w:tcBorders>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tcBorders>
              <w:bottom w:val="nil"/>
            </w:tcBorders>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bottom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bottom w:val="nil"/>
            </w:tcBorders>
            <w:shd w:val="clear" w:color="auto" w:fill="FF0000"/>
          </w:tcPr>
          <w:p>
            <w:pPr>
              <w:rPr>
                <w:sz w:val="2"/>
                <w:szCs w:val="2"/>
              </w:rPr>
            </w:pPr>
          </w:p>
        </w:tc>
      </w:tr>
      <w:tr>
        <w:trPr>
          <w:trHeight w:val="1149" w:hRule="atLeast"/>
        </w:trPr>
        <w:tc>
          <w:tcPr>
            <w:tcW w:w="2846" w:type="dxa"/>
            <w:vMerge w:val="restart"/>
          </w:tcPr>
          <w:p>
            <w:pPr>
              <w:pStyle w:val="TableParagraph"/>
              <w:ind w:left="107" w:right="130"/>
              <w:rPr>
                <w:i/>
                <w:sz w:val="20"/>
              </w:rPr>
            </w:pPr>
            <w:r>
              <w:rPr>
                <w:i/>
                <w:sz w:val="20"/>
              </w:rPr>
              <w:t>DISTINCTIVENESS OF THE LANDSCAPE AND THE HISTORIC AND BUILT ENVIRONMENT</w:t>
            </w:r>
          </w:p>
        </w:tc>
        <w:tc>
          <w:tcPr>
            <w:tcW w:w="2416" w:type="dxa"/>
            <w:vMerge w:val="restart"/>
            <w:tcBorders>
              <w:top w:val="nil"/>
            </w:tcBorders>
          </w:tcPr>
          <w:p>
            <w:pPr>
              <w:pStyle w:val="TableParagraph"/>
              <w:rPr>
                <w:rFonts w:ascii="Times New Roman"/>
                <w:sz w:val="18"/>
              </w:rPr>
            </w:pPr>
          </w:p>
        </w:tc>
        <w:tc>
          <w:tcPr>
            <w:tcW w:w="2918" w:type="dxa"/>
          </w:tcPr>
          <w:p>
            <w:pPr>
              <w:pStyle w:val="TableParagraph"/>
              <w:ind w:left="109" w:right="1012"/>
              <w:rPr>
                <w:i/>
                <w:sz w:val="20"/>
              </w:rPr>
            </w:pPr>
            <w:r>
              <w:rPr>
                <w:i/>
                <w:sz w:val="20"/>
              </w:rPr>
              <w:t>A) PROMOTING CHARACTER IN TOWNSCAPE AND LANDSCAPE?</w:t>
            </w:r>
          </w:p>
        </w:tc>
        <w:tc>
          <w:tcPr>
            <w:tcW w:w="801"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7"/>
              <w:ind w:left="12"/>
              <w:jc w:val="center"/>
              <w:rPr>
                <w:sz w:val="20"/>
              </w:rPr>
            </w:pPr>
            <w:r>
              <w:rPr>
                <w:color w:val="0000FF"/>
                <w:w w:val="99"/>
                <w:sz w:val="20"/>
              </w:rPr>
              <w:t>-</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1"/>
              <w:ind w:left="14"/>
              <w:jc w:val="center"/>
              <w:rPr>
                <w:sz w:val="20"/>
              </w:rPr>
            </w:pPr>
            <w:r>
              <w:rPr>
                <w:color w:val="0000FF"/>
                <w:w w:val="99"/>
                <w:sz w:val="20"/>
              </w:rPr>
              <w:t>+</w:t>
            </w:r>
          </w:p>
          <w:p>
            <w:pPr>
              <w:pStyle w:val="TableParagraph"/>
              <w:rPr>
                <w:rFonts w:ascii="Times New Roman"/>
                <w:sz w:val="22"/>
              </w:rPr>
            </w:pPr>
          </w:p>
          <w:p>
            <w:pPr>
              <w:pStyle w:val="TableParagraph"/>
              <w:spacing w:before="1"/>
              <w:rPr>
                <w:rFonts w:ascii="Times New Roman"/>
                <w:sz w:val="18"/>
              </w:rPr>
            </w:pPr>
          </w:p>
          <w:p>
            <w:pPr>
              <w:pStyle w:val="TableParagraph"/>
              <w:ind w:left="14"/>
              <w:jc w:val="center"/>
              <w:rPr>
                <w:sz w:val="20"/>
              </w:rPr>
            </w:pPr>
            <w:r>
              <w:rPr>
                <w:color w:val="0000FF"/>
                <w:w w:val="99"/>
                <w:sz w:val="20"/>
              </w:rPr>
              <w:t>+</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1"/>
              <w:ind w:left="12"/>
              <w:jc w:val="center"/>
              <w:rPr>
                <w:sz w:val="20"/>
              </w:rPr>
            </w:pPr>
            <w:r>
              <w:rPr>
                <w:color w:val="0000FF"/>
                <w:w w:val="99"/>
                <w:sz w:val="20"/>
              </w:rPr>
              <w:t>-</w:t>
            </w:r>
          </w:p>
        </w:tc>
        <w:tc>
          <w:tcPr>
            <w:tcW w:w="2104" w:type="dxa"/>
            <w:vMerge w:val="restart"/>
          </w:tcPr>
          <w:p>
            <w:pPr>
              <w:pStyle w:val="TableParagraph"/>
              <w:rPr>
                <w:rFonts w:ascii="Times New Roman"/>
                <w:sz w:val="22"/>
              </w:rPr>
            </w:pPr>
          </w:p>
          <w:p>
            <w:pPr>
              <w:pStyle w:val="TableParagraph"/>
              <w:rPr>
                <w:rFonts w:ascii="Times New Roman"/>
                <w:sz w:val="22"/>
              </w:rPr>
            </w:pPr>
          </w:p>
          <w:p>
            <w:pPr>
              <w:pStyle w:val="TableParagraph"/>
              <w:spacing w:before="180"/>
              <w:ind w:left="110"/>
              <w:rPr>
                <w:sz w:val="20"/>
              </w:rPr>
            </w:pPr>
            <w:r>
              <w:rPr>
                <w:color w:val="0000FF"/>
                <w:sz w:val="20"/>
              </w:rPr>
              <w:t>Potential negative impact if public realm works are not high quality</w:t>
            </w:r>
          </w:p>
          <w:p>
            <w:pPr>
              <w:pStyle w:val="TableParagraph"/>
              <w:spacing w:before="11"/>
              <w:rPr>
                <w:rFonts w:ascii="Times New Roman"/>
                <w:sz w:val="19"/>
              </w:rPr>
            </w:pPr>
          </w:p>
          <w:p>
            <w:pPr>
              <w:pStyle w:val="TableParagraph"/>
              <w:ind w:left="110" w:right="185"/>
              <w:rPr>
                <w:sz w:val="20"/>
              </w:rPr>
            </w:pPr>
            <w:r>
              <w:rPr>
                <w:color w:val="0000FF"/>
                <w:sz w:val="20"/>
              </w:rPr>
              <w:t>Provision of improved access to water environment</w:t>
            </w:r>
          </w:p>
          <w:p>
            <w:pPr>
              <w:pStyle w:val="TableParagraph"/>
              <w:spacing w:before="1"/>
              <w:ind w:left="110"/>
              <w:rPr>
                <w:sz w:val="20"/>
              </w:rPr>
            </w:pPr>
            <w:r>
              <w:rPr>
                <w:color w:val="0000FF"/>
                <w:sz w:val="20"/>
              </w:rPr>
              <w:t>e.g. SuDS and green corridors</w:t>
            </w:r>
          </w:p>
          <w:p>
            <w:pPr>
              <w:pStyle w:val="TableParagraph"/>
              <w:rPr>
                <w:rFonts w:ascii="Times New Roman"/>
                <w:sz w:val="22"/>
              </w:rPr>
            </w:pPr>
          </w:p>
          <w:p>
            <w:pPr>
              <w:pStyle w:val="TableParagraph"/>
              <w:spacing w:before="11"/>
              <w:rPr>
                <w:rFonts w:ascii="Times New Roman"/>
                <w:sz w:val="17"/>
              </w:rPr>
            </w:pPr>
          </w:p>
          <w:p>
            <w:pPr>
              <w:pStyle w:val="TableParagraph"/>
              <w:ind w:left="110"/>
              <w:rPr>
                <w:sz w:val="20"/>
              </w:rPr>
            </w:pPr>
            <w:r>
              <w:rPr>
                <w:color w:val="0000FF"/>
                <w:sz w:val="20"/>
              </w:rPr>
              <w:t>Potential negative impact on listed structures e.g. weirs on River Aire may need to be removed</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Borders>
              <w:top w:val="nil"/>
            </w:tcBorders>
          </w:tcPr>
          <w:p>
            <w:pPr>
              <w:pStyle w:val="TableParagraph"/>
              <w:rPr>
                <w:rFonts w:ascii="Times New Roman"/>
                <w:sz w:val="22"/>
              </w:rPr>
            </w:pPr>
          </w:p>
          <w:p>
            <w:pPr>
              <w:pStyle w:val="TableParagraph"/>
              <w:spacing w:before="6"/>
              <w:rPr>
                <w:rFonts w:ascii="Times New Roman"/>
                <w:sz w:val="17"/>
              </w:rPr>
            </w:pPr>
          </w:p>
          <w:p>
            <w:pPr>
              <w:pStyle w:val="TableParagraph"/>
              <w:spacing w:before="1"/>
              <w:ind w:left="112" w:right="111"/>
              <w:rPr>
                <w:sz w:val="20"/>
              </w:rPr>
            </w:pPr>
            <w:r>
              <w:rPr>
                <w:color w:val="0000FF"/>
                <w:sz w:val="20"/>
              </w:rPr>
              <w:t>Flood alleviation schemes should be good quality and reduce flood risk e.g. flood walls</w:t>
            </w:r>
            <w:r>
              <w:rPr>
                <w:color w:val="0000FF"/>
                <w:spacing w:val="-13"/>
                <w:sz w:val="20"/>
              </w:rPr>
              <w:t> </w:t>
            </w:r>
            <w:r>
              <w:rPr>
                <w:color w:val="0000FF"/>
                <w:sz w:val="20"/>
              </w:rPr>
              <w:t>with glass panels and hydraulic barriers</w:t>
            </w:r>
          </w:p>
          <w:p>
            <w:pPr>
              <w:pStyle w:val="TableParagraph"/>
              <w:rPr>
                <w:rFonts w:ascii="Times New Roman"/>
                <w:sz w:val="22"/>
              </w:rPr>
            </w:pPr>
          </w:p>
          <w:p>
            <w:pPr>
              <w:pStyle w:val="TableParagraph"/>
              <w:rPr>
                <w:rFonts w:ascii="Times New Roman"/>
                <w:sz w:val="18"/>
              </w:rPr>
            </w:pPr>
          </w:p>
          <w:p>
            <w:pPr>
              <w:pStyle w:val="TableParagraph"/>
              <w:ind w:left="112" w:right="122"/>
              <w:rPr>
                <w:sz w:val="20"/>
              </w:rPr>
            </w:pPr>
            <w:r>
              <w:rPr>
                <w:color w:val="0000FF"/>
                <w:sz w:val="20"/>
              </w:rPr>
              <w:t>Revise objectives in LFRMS to</w:t>
            </w:r>
          </w:p>
          <w:p>
            <w:pPr>
              <w:pStyle w:val="TableParagraph"/>
              <w:spacing w:before="1"/>
              <w:ind w:left="112" w:right="199"/>
              <w:rPr>
                <w:sz w:val="20"/>
              </w:rPr>
            </w:pPr>
            <w:r>
              <w:rPr>
                <w:color w:val="0000FF"/>
                <w:sz w:val="20"/>
              </w:rPr>
              <w:t>promote good design</w:t>
            </w:r>
          </w:p>
        </w:tc>
      </w:tr>
      <w:tr>
        <w:trPr>
          <w:trHeight w:val="782"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shd w:val="clear" w:color="auto" w:fill="FFFF98"/>
          </w:tcPr>
          <w:p>
            <w:pPr>
              <w:pStyle w:val="TableParagraph"/>
              <w:ind w:left="109" w:right="145"/>
              <w:rPr>
                <w:i/>
                <w:sz w:val="20"/>
              </w:rPr>
            </w:pPr>
            <w:r>
              <w:rPr>
                <w:i/>
                <w:sz w:val="20"/>
              </w:rPr>
              <w:t>B) ENCOURAGING SENSE OF PRIDE OF PLACE?</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918"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shd w:val="clear" w:color="auto" w:fill="FFFF98"/>
          </w:tcPr>
          <w:p>
            <w:pPr>
              <w:pStyle w:val="TableParagraph"/>
              <w:ind w:left="109"/>
              <w:rPr>
                <w:i/>
                <w:sz w:val="20"/>
              </w:rPr>
            </w:pPr>
            <w:r>
              <w:rPr>
                <w:i/>
                <w:sz w:val="20"/>
              </w:rPr>
              <w:t>C) POTENTIAL TO WALK OR CYCLE TO OR THROUGH A PLACE?</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948"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ind w:left="108" w:right="357"/>
              <w:rPr>
                <w:i/>
                <w:sz w:val="20"/>
              </w:rPr>
            </w:pPr>
            <w:r>
              <w:rPr>
                <w:i/>
                <w:sz w:val="20"/>
              </w:rPr>
              <w:t>D) PROMOTING THE USE OF HERITAGE ASSETS (BUILDING / LAND) TO CONSERVE SPECIAL INTEREST?</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610" w:hRule="atLeast"/>
        </w:trPr>
        <w:tc>
          <w:tcPr>
            <w:tcW w:w="2846" w:type="dxa"/>
          </w:tcPr>
          <w:p>
            <w:pPr>
              <w:pStyle w:val="TableParagraph"/>
              <w:spacing w:line="227" w:lineRule="exact"/>
              <w:ind w:right="101"/>
              <w:jc w:val="right"/>
              <w:rPr>
                <w:sz w:val="20"/>
              </w:rPr>
            </w:pPr>
            <w:r>
              <w:rPr>
                <w:w w:val="95"/>
                <w:sz w:val="20"/>
              </w:rPr>
              <w:t>Midstream</w:t>
            </w:r>
          </w:p>
        </w:tc>
        <w:tc>
          <w:tcPr>
            <w:tcW w:w="2416" w:type="dxa"/>
          </w:tcPr>
          <w:p>
            <w:pPr>
              <w:pStyle w:val="TableParagraph"/>
              <w:ind w:left="108" w:right="588"/>
              <w:rPr>
                <w:i/>
                <w:sz w:val="20"/>
              </w:rPr>
            </w:pPr>
            <w:r>
              <w:rPr>
                <w:sz w:val="20"/>
              </w:rPr>
              <w:t>SA9: Mixed neighbourhoods </w:t>
            </w:r>
            <w:r>
              <w:rPr>
                <w:i/>
                <w:sz w:val="20"/>
              </w:rPr>
              <w:t>Good quality social</w:t>
            </w:r>
          </w:p>
          <w:p>
            <w:pPr>
              <w:pStyle w:val="TableParagraph"/>
              <w:ind w:left="108"/>
              <w:rPr>
                <w:i/>
                <w:sz w:val="20"/>
              </w:rPr>
            </w:pPr>
            <w:r>
              <w:rPr>
                <w:i/>
                <w:sz w:val="20"/>
              </w:rPr>
              <w:t>housing should be of a good design and</w:t>
            </w:r>
          </w:p>
          <w:p>
            <w:pPr>
              <w:pStyle w:val="TableParagraph"/>
              <w:spacing w:line="230" w:lineRule="exact"/>
              <w:ind w:left="108"/>
              <w:rPr>
                <w:sz w:val="20"/>
              </w:rPr>
            </w:pPr>
            <w:r>
              <w:rPr>
                <w:i/>
                <w:sz w:val="20"/>
              </w:rPr>
              <w:t>compliment existing land use in the area</w:t>
            </w:r>
            <w:r>
              <w:rPr>
                <w:sz w:val="20"/>
              </w:rPr>
              <w:t>.</w:t>
            </w:r>
          </w:p>
        </w:tc>
        <w:tc>
          <w:tcPr>
            <w:tcW w:w="2918" w:type="dxa"/>
          </w:tcPr>
          <w:p>
            <w:pPr>
              <w:pStyle w:val="TableParagraph"/>
              <w:ind w:left="109" w:right="244"/>
              <w:rPr>
                <w:i/>
                <w:sz w:val="20"/>
              </w:rPr>
            </w:pPr>
            <w:r>
              <w:rPr>
                <w:sz w:val="20"/>
              </w:rPr>
              <w:t>SA9: Mixed neighbourhoods </w:t>
            </w:r>
            <w:r>
              <w:rPr>
                <w:i/>
                <w:sz w:val="20"/>
              </w:rPr>
              <w:t>How does the contribution to quality of place affect neighbourhood relations?</w:t>
            </w:r>
          </w:p>
        </w:tc>
        <w:tc>
          <w:tcPr>
            <w:tcW w:w="801" w:type="dxa"/>
          </w:tcPr>
          <w:p>
            <w:pPr>
              <w:pStyle w:val="TableParagraph"/>
              <w:rPr>
                <w:rFonts w:ascii="Times New Roman"/>
                <w:sz w:val="22"/>
              </w:rPr>
            </w:pPr>
          </w:p>
          <w:p>
            <w:pPr>
              <w:pStyle w:val="TableParagraph"/>
              <w:spacing w:before="9"/>
              <w:rPr>
                <w:rFonts w:ascii="Times New Roman"/>
                <w:sz w:val="17"/>
              </w:rPr>
            </w:pPr>
          </w:p>
          <w:p>
            <w:pPr>
              <w:pStyle w:val="TableParagraph"/>
              <w:ind w:left="14"/>
              <w:jc w:val="center"/>
              <w:rPr>
                <w:sz w:val="20"/>
              </w:rPr>
            </w:pPr>
            <w:r>
              <w:rPr>
                <w:color w:val="0000FF"/>
                <w:w w:val="99"/>
                <w:sz w:val="20"/>
              </w:rPr>
              <w:t>+</w:t>
            </w:r>
          </w:p>
        </w:tc>
        <w:tc>
          <w:tcPr>
            <w:tcW w:w="2104" w:type="dxa"/>
          </w:tcPr>
          <w:p>
            <w:pPr>
              <w:pStyle w:val="TableParagraph"/>
              <w:spacing w:before="8"/>
              <w:rPr>
                <w:rFonts w:ascii="Times New Roman"/>
                <w:sz w:val="19"/>
              </w:rPr>
            </w:pPr>
          </w:p>
          <w:p>
            <w:pPr>
              <w:pStyle w:val="TableParagraph"/>
              <w:spacing w:before="1"/>
              <w:ind w:left="110" w:right="129"/>
              <w:rPr>
                <w:sz w:val="20"/>
              </w:rPr>
            </w:pPr>
            <w:r>
              <w:rPr>
                <w:color w:val="0000FF"/>
                <w:sz w:val="20"/>
              </w:rPr>
              <w:t>Positive impact if good quality scheme design</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1151" w:hRule="atLeast"/>
        </w:trPr>
        <w:tc>
          <w:tcPr>
            <w:tcW w:w="2846" w:type="dxa"/>
          </w:tcPr>
          <w:p>
            <w:pPr>
              <w:pStyle w:val="TableParagraph"/>
              <w:spacing w:line="227" w:lineRule="exact"/>
              <w:ind w:right="101"/>
              <w:jc w:val="right"/>
              <w:rPr>
                <w:sz w:val="20"/>
              </w:rPr>
            </w:pPr>
            <w:r>
              <w:rPr>
                <w:w w:val="95"/>
                <w:sz w:val="20"/>
              </w:rPr>
              <w:t>Midstream</w:t>
            </w:r>
          </w:p>
        </w:tc>
        <w:tc>
          <w:tcPr>
            <w:tcW w:w="2416" w:type="dxa"/>
          </w:tcPr>
          <w:p>
            <w:pPr>
              <w:pStyle w:val="TableParagraph"/>
              <w:ind w:left="108" w:right="299"/>
              <w:rPr>
                <w:sz w:val="20"/>
              </w:rPr>
            </w:pPr>
            <w:r>
              <w:rPr>
                <w:sz w:val="20"/>
              </w:rPr>
              <w:t>SA10: Social inclusion and community empowerment</w:t>
            </w:r>
          </w:p>
          <w:p>
            <w:pPr>
              <w:pStyle w:val="TableParagraph"/>
              <w:spacing w:line="228" w:lineRule="exact" w:before="1"/>
              <w:ind w:left="108"/>
              <w:rPr>
                <w:i/>
                <w:sz w:val="20"/>
              </w:rPr>
            </w:pPr>
            <w:r>
              <w:rPr>
                <w:i/>
                <w:sz w:val="20"/>
              </w:rPr>
              <w:t>Good quality and well designed affordable or</w:t>
            </w:r>
          </w:p>
        </w:tc>
        <w:tc>
          <w:tcPr>
            <w:tcW w:w="2918" w:type="dxa"/>
          </w:tcPr>
          <w:p>
            <w:pPr>
              <w:pStyle w:val="TableParagraph"/>
              <w:ind w:left="109" w:right="244"/>
              <w:rPr>
                <w:i/>
                <w:sz w:val="20"/>
              </w:rPr>
            </w:pPr>
            <w:r>
              <w:rPr>
                <w:sz w:val="20"/>
              </w:rPr>
              <w:t>SA10: Social inclusion and community empowerment </w:t>
            </w:r>
            <w:r>
              <w:rPr>
                <w:i/>
                <w:sz w:val="20"/>
              </w:rPr>
              <w:t>How does the contribution to</w:t>
            </w:r>
          </w:p>
          <w:p>
            <w:pPr>
              <w:pStyle w:val="TableParagraph"/>
              <w:spacing w:line="228" w:lineRule="exact" w:before="1"/>
              <w:ind w:left="109"/>
              <w:rPr>
                <w:i/>
                <w:sz w:val="20"/>
              </w:rPr>
            </w:pPr>
            <w:r>
              <w:rPr>
                <w:i/>
                <w:sz w:val="20"/>
              </w:rPr>
              <w:t>quality of place affect social inclusion and community</w:t>
            </w:r>
          </w:p>
        </w:tc>
        <w:tc>
          <w:tcPr>
            <w:tcW w:w="80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15" w:lineRule="exact" w:before="157"/>
              <w:ind w:left="14"/>
              <w:jc w:val="center"/>
              <w:rPr>
                <w:sz w:val="20"/>
              </w:rPr>
            </w:pPr>
            <w:r>
              <w:rPr>
                <w:color w:val="0000FF"/>
                <w:w w:val="99"/>
                <w:sz w:val="20"/>
              </w:rPr>
              <w:t>+</w:t>
            </w:r>
          </w:p>
        </w:tc>
        <w:tc>
          <w:tcPr>
            <w:tcW w:w="2104" w:type="dxa"/>
          </w:tcPr>
          <w:p>
            <w:pPr>
              <w:pStyle w:val="TableParagraph"/>
              <w:rPr>
                <w:rFonts w:ascii="Times New Roman"/>
                <w:sz w:val="22"/>
              </w:rPr>
            </w:pPr>
          </w:p>
          <w:p>
            <w:pPr>
              <w:pStyle w:val="TableParagraph"/>
              <w:spacing w:before="9"/>
              <w:rPr>
                <w:rFonts w:ascii="Times New Roman"/>
                <w:sz w:val="17"/>
              </w:rPr>
            </w:pPr>
          </w:p>
          <w:p>
            <w:pPr>
              <w:pStyle w:val="TableParagraph"/>
              <w:ind w:left="110"/>
              <w:rPr>
                <w:sz w:val="20"/>
              </w:rPr>
            </w:pPr>
            <w:r>
              <w:rPr>
                <w:color w:val="0000FF"/>
                <w:sz w:val="20"/>
              </w:rPr>
              <w:t>Community groups</w:t>
            </w:r>
          </w:p>
          <w:p>
            <w:pPr>
              <w:pStyle w:val="TableParagraph"/>
              <w:spacing w:line="228" w:lineRule="exact" w:before="6"/>
              <w:ind w:left="110" w:right="474"/>
              <w:rPr>
                <w:sz w:val="20"/>
              </w:rPr>
            </w:pPr>
            <w:r>
              <w:rPr>
                <w:color w:val="0000FF"/>
                <w:sz w:val="20"/>
              </w:rPr>
              <w:t>are supportive of schemes which</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bl>
    <w:p>
      <w:pPr>
        <w:spacing w:after="0"/>
        <w:rPr>
          <w:rFonts w:ascii="Times New Roman"/>
          <w:sz w:val="18"/>
        </w:rPr>
        <w:sectPr>
          <w:pgSz w:w="16840" w:h="11910" w:orient="landscape"/>
          <w:pgMar w:header="0" w:footer="814" w:top="1100" w:bottom="1000" w:left="1220" w:right="740"/>
        </w:sectPr>
      </w:pPr>
    </w:p>
    <w:p>
      <w:pPr>
        <w:pStyle w:val="BodyText"/>
        <w:spacing w:before="4" w:after="1"/>
        <w:rPr>
          <w:rFonts w:ascii="Times New Roman"/>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rFonts w:ascii="Times New Roman"/>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796" w:hRule="atLeast"/>
        </w:trPr>
        <w:tc>
          <w:tcPr>
            <w:tcW w:w="2846" w:type="dxa"/>
            <w:vMerge w:val="restart"/>
          </w:tcPr>
          <w:p>
            <w:pPr>
              <w:pStyle w:val="TableParagraph"/>
              <w:rPr>
                <w:rFonts w:ascii="Times New Roman"/>
                <w:sz w:val="18"/>
              </w:rPr>
            </w:pPr>
          </w:p>
        </w:tc>
        <w:tc>
          <w:tcPr>
            <w:tcW w:w="2416" w:type="dxa"/>
            <w:tcBorders>
              <w:bottom w:val="nil"/>
            </w:tcBorders>
          </w:tcPr>
          <w:p>
            <w:pPr>
              <w:pStyle w:val="TableParagraph"/>
              <w:ind w:left="108"/>
              <w:rPr>
                <w:i/>
                <w:sz w:val="20"/>
              </w:rPr>
            </w:pPr>
            <w:r>
              <w:rPr>
                <w:i/>
                <w:sz w:val="20"/>
              </w:rPr>
              <w:t>social housing should reduce disparities in the housing markets.</w:t>
            </w:r>
          </w:p>
        </w:tc>
        <w:tc>
          <w:tcPr>
            <w:tcW w:w="2918" w:type="dxa"/>
            <w:tcBorders>
              <w:bottom w:val="nil"/>
            </w:tcBorders>
          </w:tcPr>
          <w:p>
            <w:pPr>
              <w:pStyle w:val="TableParagraph"/>
              <w:spacing w:line="225" w:lineRule="exact"/>
              <w:ind w:left="109"/>
              <w:rPr>
                <w:i/>
                <w:sz w:val="20"/>
              </w:rPr>
            </w:pPr>
            <w:r>
              <w:rPr>
                <w:i/>
                <w:sz w:val="20"/>
              </w:rPr>
              <w:t>empowerment?</w:t>
            </w:r>
          </w:p>
        </w:tc>
        <w:tc>
          <w:tcPr>
            <w:tcW w:w="801" w:type="dxa"/>
            <w:vMerge w:val="restart"/>
          </w:tcPr>
          <w:p>
            <w:pPr>
              <w:pStyle w:val="TableParagraph"/>
              <w:rPr>
                <w:rFonts w:ascii="Times New Roman"/>
                <w:sz w:val="18"/>
              </w:rPr>
            </w:pPr>
          </w:p>
        </w:tc>
        <w:tc>
          <w:tcPr>
            <w:tcW w:w="2104" w:type="dxa"/>
            <w:tcBorders>
              <w:bottom w:val="nil"/>
            </w:tcBorders>
          </w:tcPr>
          <w:p>
            <w:pPr>
              <w:pStyle w:val="TableParagraph"/>
              <w:ind w:left="110"/>
              <w:rPr>
                <w:sz w:val="20"/>
              </w:rPr>
            </w:pPr>
            <w:r>
              <w:rPr>
                <w:color w:val="0000FF"/>
                <w:sz w:val="20"/>
              </w:rPr>
              <w:t>improve public realm and amenity</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1261" w:hRule="atLeast"/>
        </w:trPr>
        <w:tc>
          <w:tcPr>
            <w:tcW w:w="2846" w:type="dxa"/>
            <w:vMerge/>
            <w:tcBorders>
              <w:top w:val="nil"/>
            </w:tcBorders>
          </w:tcPr>
          <w:p>
            <w:pPr>
              <w:rPr>
                <w:sz w:val="2"/>
                <w:szCs w:val="2"/>
              </w:rPr>
            </w:pPr>
          </w:p>
        </w:tc>
        <w:tc>
          <w:tcPr>
            <w:tcW w:w="2416" w:type="dxa"/>
            <w:tcBorders>
              <w:top w:val="nil"/>
            </w:tcBorders>
          </w:tcPr>
          <w:p>
            <w:pPr>
              <w:pStyle w:val="TableParagraph"/>
              <w:spacing w:before="107"/>
              <w:ind w:left="108"/>
              <w:rPr>
                <w:i/>
                <w:sz w:val="20"/>
              </w:rPr>
            </w:pPr>
            <w:r>
              <w:rPr>
                <w:i/>
                <w:sz w:val="20"/>
              </w:rPr>
              <w:t>Modern developments should provide better amenities for</w:t>
            </w:r>
          </w:p>
          <w:p>
            <w:pPr>
              <w:pStyle w:val="TableParagraph"/>
              <w:spacing w:line="228" w:lineRule="exact" w:before="6"/>
              <w:ind w:left="108" w:right="388"/>
              <w:rPr>
                <w:i/>
                <w:sz w:val="20"/>
              </w:rPr>
            </w:pPr>
            <w:r>
              <w:rPr>
                <w:i/>
                <w:sz w:val="20"/>
              </w:rPr>
              <w:t>communities (open space provision, etc).</w:t>
            </w:r>
          </w:p>
        </w:tc>
        <w:tc>
          <w:tcPr>
            <w:tcW w:w="2918" w:type="dxa"/>
            <w:tcBorders>
              <w:top w:val="nil"/>
            </w:tcBorders>
          </w:tcPr>
          <w:p>
            <w:pPr>
              <w:pStyle w:val="TableParagraph"/>
              <w:rPr>
                <w:rFonts w:ascii="Times New Roman"/>
                <w:sz w:val="18"/>
              </w:rPr>
            </w:pPr>
          </w:p>
        </w:tc>
        <w:tc>
          <w:tcPr>
            <w:tcW w:w="801" w:type="dxa"/>
            <w:vMerge/>
            <w:tcBorders>
              <w:top w:val="nil"/>
            </w:tcBorders>
          </w:tcPr>
          <w:p>
            <w:pPr>
              <w:rPr>
                <w:sz w:val="2"/>
                <w:szCs w:val="2"/>
              </w:rPr>
            </w:pP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4" w:hRule="atLeast"/>
        </w:trPr>
        <w:tc>
          <w:tcPr>
            <w:tcW w:w="2846" w:type="dxa"/>
            <w:tcBorders>
              <w:bottom w:val="nil"/>
            </w:tcBorders>
          </w:tcPr>
          <w:p>
            <w:pPr>
              <w:pStyle w:val="TableParagraph"/>
              <w:spacing w:line="205" w:lineRule="exact"/>
              <w:ind w:right="101"/>
              <w:jc w:val="right"/>
              <w:rPr>
                <w:sz w:val="20"/>
              </w:rPr>
            </w:pPr>
            <w:r>
              <w:rPr>
                <w:w w:val="95"/>
                <w:sz w:val="20"/>
              </w:rPr>
              <w:t>Midstream</w:t>
            </w:r>
          </w:p>
        </w:tc>
        <w:tc>
          <w:tcPr>
            <w:tcW w:w="2416" w:type="dxa"/>
            <w:tcBorders>
              <w:bottom w:val="nil"/>
            </w:tcBorders>
          </w:tcPr>
          <w:p>
            <w:pPr>
              <w:pStyle w:val="TableParagraph"/>
              <w:spacing w:line="205" w:lineRule="exact"/>
              <w:ind w:left="108"/>
              <w:rPr>
                <w:sz w:val="20"/>
              </w:rPr>
            </w:pPr>
            <w:r>
              <w:rPr>
                <w:sz w:val="20"/>
              </w:rPr>
              <w:t>SA12: Water quality</w:t>
            </w:r>
          </w:p>
        </w:tc>
        <w:tc>
          <w:tcPr>
            <w:tcW w:w="2918" w:type="dxa"/>
            <w:vMerge w:val="restart"/>
            <w:shd w:val="clear" w:color="auto" w:fill="FFFF98"/>
          </w:tcPr>
          <w:p>
            <w:pPr>
              <w:pStyle w:val="TableParagraph"/>
              <w:spacing w:line="242" w:lineRule="exact"/>
              <w:ind w:left="109"/>
              <w:rPr>
                <w:rFonts w:ascii="Symbol" w:hAnsi="Symbol"/>
                <w:sz w:val="20"/>
              </w:rPr>
            </w:pPr>
            <w:r>
              <w:rPr>
                <w:sz w:val="20"/>
              </w:rPr>
              <w:t>SA12: Water quality</w:t>
            </w:r>
            <w:r>
              <w:rPr>
                <w:rFonts w:ascii="Symbol" w:hAnsi="Symbol"/>
                <w:sz w:val="20"/>
                <w:vertAlign w:val="superscript"/>
              </w:rPr>
              <w:t></w:t>
            </w:r>
          </w:p>
          <w:p>
            <w:pPr>
              <w:pStyle w:val="TableParagraph"/>
              <w:ind w:left="109" w:right="244"/>
              <w:rPr>
                <w:i/>
                <w:sz w:val="20"/>
              </w:rPr>
            </w:pPr>
            <w:r>
              <w:rPr>
                <w:i/>
                <w:sz w:val="20"/>
              </w:rPr>
              <w:t>How does the contribution to quality of place affect water quality?</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Particularly in former</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Good quality</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industrial areas, there</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spacing w:line="200" w:lineRule="exact"/>
              <w:ind w:left="14"/>
              <w:jc w:val="center"/>
              <w:rPr>
                <w:sz w:val="20"/>
              </w:rPr>
            </w:pPr>
            <w:r>
              <w:rPr>
                <w:color w:val="0000FF"/>
                <w:w w:val="99"/>
                <w:sz w:val="20"/>
              </w:rPr>
              <w:t>+</w:t>
            </w:r>
          </w:p>
        </w:tc>
        <w:tc>
          <w:tcPr>
            <w:tcW w:w="2104" w:type="dxa"/>
            <w:tcBorders>
              <w:top w:val="nil"/>
              <w:bottom w:val="nil"/>
            </w:tcBorders>
          </w:tcPr>
          <w:p>
            <w:pPr>
              <w:pStyle w:val="TableParagraph"/>
              <w:spacing w:line="200" w:lineRule="exact"/>
              <w:ind w:left="110"/>
              <w:rPr>
                <w:sz w:val="20"/>
              </w:rPr>
            </w:pPr>
            <w:r>
              <w:rPr>
                <w:color w:val="0000FF"/>
                <w:sz w:val="20"/>
              </w:rPr>
              <w:t>schemes with SuDS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may be a risk of</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and appropriate</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mobilising contamination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contaminant removal</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from land into</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will enhance water</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5"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6" w:lineRule="exact"/>
              <w:ind w:left="108"/>
              <w:rPr>
                <w:sz w:val="20"/>
              </w:rPr>
            </w:pPr>
            <w:r>
              <w:rPr>
                <w:i/>
                <w:sz w:val="20"/>
              </w:rPr>
              <w:t>watercourses</w:t>
            </w:r>
            <w:r>
              <w:rPr>
                <w:sz w:val="20"/>
              </w:rPr>
              <w:t>.</w:t>
            </w:r>
          </w:p>
        </w:tc>
        <w:tc>
          <w:tcPr>
            <w:tcW w:w="2918" w:type="dxa"/>
            <w:vMerge/>
            <w:tcBorders>
              <w:top w:val="nil"/>
            </w:tcBorders>
            <w:shd w:val="clear" w:color="auto" w:fill="FFFF98"/>
          </w:tcPr>
          <w:p>
            <w:pPr>
              <w:rPr>
                <w:sz w:val="2"/>
                <w:szCs w:val="2"/>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spacing w:line="206" w:lineRule="exact"/>
              <w:ind w:left="110"/>
              <w:rPr>
                <w:sz w:val="20"/>
              </w:rPr>
            </w:pPr>
            <w:r>
              <w:rPr>
                <w:color w:val="0000FF"/>
                <w:sz w:val="20"/>
              </w:rPr>
              <w:t>quality</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718" w:hRule="atLeast"/>
        </w:trPr>
        <w:tc>
          <w:tcPr>
            <w:tcW w:w="2846" w:type="dxa"/>
            <w:tcBorders>
              <w:bottom w:val="nil"/>
            </w:tcBorders>
          </w:tcPr>
          <w:p>
            <w:pPr>
              <w:pStyle w:val="TableParagraph"/>
              <w:spacing w:line="227" w:lineRule="exact"/>
              <w:ind w:right="101"/>
              <w:jc w:val="right"/>
              <w:rPr>
                <w:sz w:val="20"/>
              </w:rPr>
            </w:pPr>
            <w:r>
              <w:rPr>
                <w:w w:val="95"/>
                <w:sz w:val="20"/>
              </w:rPr>
              <w:t>Downstream</w:t>
            </w:r>
          </w:p>
        </w:tc>
        <w:tc>
          <w:tcPr>
            <w:tcW w:w="2416" w:type="dxa"/>
            <w:tcBorders>
              <w:bottom w:val="nil"/>
            </w:tcBorders>
          </w:tcPr>
          <w:p>
            <w:pPr>
              <w:pStyle w:val="TableParagraph"/>
              <w:ind w:left="108" w:right="431" w:hanging="1"/>
              <w:rPr>
                <w:i/>
                <w:sz w:val="20"/>
              </w:rPr>
            </w:pPr>
            <w:r>
              <w:rPr>
                <w:sz w:val="20"/>
              </w:rPr>
              <w:t>SA14: Health </w:t>
            </w:r>
            <w:r>
              <w:rPr>
                <w:i/>
                <w:sz w:val="20"/>
              </w:rPr>
              <w:t>Modern housing</w:t>
            </w:r>
            <w:r>
              <w:rPr>
                <w:i/>
                <w:spacing w:val="-9"/>
                <w:sz w:val="20"/>
              </w:rPr>
              <w:t> </w:t>
            </w:r>
            <w:r>
              <w:rPr>
                <w:i/>
                <w:sz w:val="20"/>
              </w:rPr>
              <w:t>may offer</w:t>
            </w:r>
            <w:r>
              <w:rPr>
                <w:i/>
                <w:spacing w:val="-15"/>
                <w:sz w:val="20"/>
              </w:rPr>
              <w:t> </w:t>
            </w:r>
            <w:r>
              <w:rPr>
                <w:i/>
                <w:sz w:val="20"/>
              </w:rPr>
              <w:t>accommodation</w:t>
            </w:r>
          </w:p>
          <w:p>
            <w:pPr>
              <w:pStyle w:val="TableParagraph"/>
              <w:ind w:left="108" w:right="116"/>
              <w:rPr>
                <w:i/>
                <w:sz w:val="20"/>
              </w:rPr>
            </w:pPr>
            <w:r>
              <w:rPr>
                <w:i/>
                <w:sz w:val="20"/>
              </w:rPr>
              <w:t>that provides a healthier indoor environment (as regards indoor air quality, damp, etc).</w:t>
            </w:r>
          </w:p>
        </w:tc>
        <w:tc>
          <w:tcPr>
            <w:tcW w:w="2918" w:type="dxa"/>
            <w:tcBorders>
              <w:bottom w:val="nil"/>
            </w:tcBorders>
            <w:shd w:val="clear" w:color="auto" w:fill="CCFFCC"/>
          </w:tcPr>
          <w:p>
            <w:pPr>
              <w:pStyle w:val="TableParagraph"/>
              <w:spacing w:line="242" w:lineRule="exact"/>
              <w:ind w:left="109"/>
              <w:rPr>
                <w:rFonts w:ascii="Symbol" w:hAnsi="Symbol"/>
                <w:sz w:val="20"/>
              </w:rPr>
            </w:pPr>
            <w:r>
              <w:rPr>
                <w:sz w:val="20"/>
              </w:rPr>
              <w:t>SA14: Health</w:t>
            </w:r>
            <w:r>
              <w:rPr>
                <w:rFonts w:ascii="Symbol" w:hAnsi="Symbol"/>
                <w:sz w:val="20"/>
                <w:vertAlign w:val="superscript"/>
              </w:rPr>
              <w:t></w:t>
            </w:r>
          </w:p>
          <w:p>
            <w:pPr>
              <w:pStyle w:val="TableParagraph"/>
              <w:ind w:left="109" w:right="262"/>
              <w:jc w:val="both"/>
              <w:rPr>
                <w:i/>
                <w:sz w:val="20"/>
              </w:rPr>
            </w:pPr>
            <w:r>
              <w:rPr>
                <w:i/>
                <w:sz w:val="20"/>
              </w:rPr>
              <w:t>How does the contribution to quality of place affect health and health inequalities?</w:t>
            </w:r>
          </w:p>
        </w:tc>
        <w:tc>
          <w:tcPr>
            <w:tcW w:w="801" w:type="dxa"/>
            <w:tcBorders>
              <w:bottom w:val="nil"/>
            </w:tcBorders>
          </w:tcPr>
          <w:p>
            <w:pPr>
              <w:pStyle w:val="TableParagraph"/>
              <w:rPr>
                <w:rFonts w:ascii="Times New Roman"/>
                <w:sz w:val="22"/>
              </w:rPr>
            </w:pPr>
          </w:p>
          <w:p>
            <w:pPr>
              <w:pStyle w:val="TableParagraph"/>
              <w:spacing w:before="9"/>
              <w:rPr>
                <w:rFonts w:ascii="Times New Roman"/>
                <w:sz w:val="17"/>
              </w:rPr>
            </w:pPr>
          </w:p>
          <w:p>
            <w:pPr>
              <w:pStyle w:val="TableParagraph"/>
              <w:ind w:left="14"/>
              <w:jc w:val="center"/>
              <w:rPr>
                <w:sz w:val="20"/>
              </w:rPr>
            </w:pPr>
            <w:r>
              <w:rPr>
                <w:color w:val="0000FF"/>
                <w:w w:val="99"/>
                <w:sz w:val="20"/>
              </w:rPr>
              <w:t>+</w:t>
            </w:r>
          </w:p>
        </w:tc>
        <w:tc>
          <w:tcPr>
            <w:tcW w:w="2104" w:type="dxa"/>
            <w:tcBorders>
              <w:bottom w:val="nil"/>
            </w:tcBorders>
          </w:tcPr>
          <w:p>
            <w:pPr>
              <w:pStyle w:val="TableParagraph"/>
              <w:spacing w:before="8"/>
              <w:rPr>
                <w:rFonts w:ascii="Times New Roman"/>
                <w:sz w:val="19"/>
              </w:rPr>
            </w:pPr>
          </w:p>
          <w:p>
            <w:pPr>
              <w:pStyle w:val="TableParagraph"/>
              <w:spacing w:before="1"/>
              <w:ind w:left="110" w:right="307"/>
              <w:rPr>
                <w:sz w:val="20"/>
              </w:rPr>
            </w:pPr>
            <w:r>
              <w:rPr>
                <w:color w:val="0000FF"/>
                <w:sz w:val="20"/>
              </w:rPr>
              <w:t>Good quality schemes will enhance public realm and improve amenity value</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803" w:hRule="atLeast"/>
        </w:trPr>
        <w:tc>
          <w:tcPr>
            <w:tcW w:w="2846" w:type="dxa"/>
            <w:tcBorders>
              <w:top w:val="nil"/>
            </w:tcBorders>
          </w:tcPr>
          <w:p>
            <w:pPr>
              <w:pStyle w:val="TableParagraph"/>
              <w:rPr>
                <w:rFonts w:ascii="Times New Roman"/>
                <w:sz w:val="18"/>
              </w:rPr>
            </w:pPr>
          </w:p>
        </w:tc>
        <w:tc>
          <w:tcPr>
            <w:tcW w:w="2416" w:type="dxa"/>
            <w:tcBorders>
              <w:top w:val="nil"/>
            </w:tcBorders>
          </w:tcPr>
          <w:p>
            <w:pPr>
              <w:pStyle w:val="TableParagraph"/>
              <w:spacing w:line="230" w:lineRule="atLeast" w:before="107"/>
              <w:ind w:left="108"/>
              <w:rPr>
                <w:i/>
                <w:sz w:val="20"/>
              </w:rPr>
            </w:pPr>
            <w:r>
              <w:rPr>
                <w:i/>
                <w:sz w:val="20"/>
              </w:rPr>
              <w:t>A high quality landscape can contribute to wellbeing.</w:t>
            </w:r>
          </w:p>
        </w:tc>
        <w:tc>
          <w:tcPr>
            <w:tcW w:w="2918" w:type="dxa"/>
            <w:tcBorders>
              <w:top w:val="nil"/>
            </w:tcBorders>
            <w:shd w:val="clear" w:color="auto" w:fill="CCFFCC"/>
          </w:tcPr>
          <w:p>
            <w:pPr>
              <w:pStyle w:val="TableParagraph"/>
              <w:rPr>
                <w:rFonts w:ascii="Times New Roman"/>
                <w:sz w:val="18"/>
              </w:rPr>
            </w:pPr>
          </w:p>
        </w:tc>
        <w:tc>
          <w:tcPr>
            <w:tcW w:w="801" w:type="dxa"/>
            <w:tcBorders>
              <w:top w:val="nil"/>
            </w:tcBorders>
          </w:tcPr>
          <w:p>
            <w:pPr>
              <w:pStyle w:val="TableParagraph"/>
              <w:rPr>
                <w:rFonts w:ascii="Times New Roman"/>
                <w:sz w:val="18"/>
              </w:rPr>
            </w:pP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458"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spacing w:line="225" w:lineRule="exact"/>
              <w:ind w:left="108"/>
              <w:rPr>
                <w:sz w:val="20"/>
              </w:rPr>
            </w:pPr>
            <w:r>
              <w:rPr>
                <w:sz w:val="20"/>
              </w:rPr>
              <w:t>SA15: Crime</w:t>
            </w:r>
          </w:p>
          <w:p>
            <w:pPr>
              <w:pStyle w:val="TableParagraph"/>
              <w:spacing w:line="213" w:lineRule="exact"/>
              <w:ind w:left="108"/>
              <w:rPr>
                <w:i/>
                <w:sz w:val="20"/>
              </w:rPr>
            </w:pPr>
            <w:r>
              <w:rPr>
                <w:i/>
                <w:sz w:val="20"/>
              </w:rPr>
              <w:t>Building design can</w:t>
            </w:r>
          </w:p>
        </w:tc>
        <w:tc>
          <w:tcPr>
            <w:tcW w:w="2918" w:type="dxa"/>
          </w:tcPr>
          <w:p>
            <w:pPr>
              <w:pStyle w:val="TableParagraph"/>
              <w:spacing w:line="225" w:lineRule="exact"/>
              <w:ind w:left="109"/>
              <w:rPr>
                <w:sz w:val="20"/>
              </w:rPr>
            </w:pPr>
            <w:r>
              <w:rPr>
                <w:sz w:val="20"/>
              </w:rPr>
              <w:t>SA15: Crime</w:t>
            </w:r>
          </w:p>
          <w:p>
            <w:pPr>
              <w:pStyle w:val="TableParagraph"/>
              <w:spacing w:line="213" w:lineRule="exact"/>
              <w:ind w:left="109"/>
              <w:rPr>
                <w:i/>
                <w:sz w:val="20"/>
              </w:rPr>
            </w:pPr>
            <w:r>
              <w:rPr>
                <w:i/>
                <w:sz w:val="20"/>
              </w:rPr>
              <w:t>How does the contribution to</w:t>
            </w:r>
          </w:p>
        </w:tc>
        <w:tc>
          <w:tcPr>
            <w:tcW w:w="801" w:type="dxa"/>
          </w:tcPr>
          <w:p>
            <w:pPr>
              <w:pStyle w:val="TableParagraph"/>
              <w:rPr>
                <w:rFonts w:ascii="Times New Roman"/>
                <w:sz w:val="18"/>
              </w:rPr>
            </w:pPr>
          </w:p>
        </w:tc>
        <w:tc>
          <w:tcPr>
            <w:tcW w:w="2104" w:type="dxa"/>
          </w:tcPr>
          <w:p>
            <w:pPr>
              <w:pStyle w:val="TableParagraph"/>
              <w:spacing w:line="228" w:lineRule="exact" w:before="2"/>
              <w:ind w:left="110" w:right="830"/>
              <w:rPr>
                <w:sz w:val="20"/>
              </w:rPr>
            </w:pPr>
            <w:r>
              <w:rPr>
                <w:color w:val="0000FF"/>
                <w:sz w:val="20"/>
              </w:rPr>
              <w:t>Good quality schemes will</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bl>
    <w:p>
      <w:pPr>
        <w:pStyle w:val="BodyText"/>
        <w:spacing w:before="6"/>
        <w:rPr>
          <w:rFonts w:ascii="Times New Roman"/>
          <w:sz w:val="24"/>
        </w:rPr>
      </w:pPr>
      <w:r>
        <w:rPr/>
        <w:pict>
          <v:line style="position:absolute;mso-position-horizontal-relative:page;mso-position-vertical-relative:paragraph;z-index:1688;mso-wrap-distance-left:0;mso-wrap-distance-right:0" from="72pt,16.380001pt" to="216.000005pt,16.380001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w:t>
      </w:r>
      <w:r>
        <w:rPr>
          <w:spacing w:val="-3"/>
          <w:sz w:val="20"/>
        </w:rPr>
        <w:t> </w:t>
      </w:r>
      <w:r>
        <w:rPr>
          <w:sz w:val="20"/>
        </w:rPr>
        <w:t>Water</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Human</w:t>
      </w:r>
      <w:r>
        <w:rPr>
          <w:spacing w:val="1"/>
          <w:sz w:val="20"/>
        </w:rPr>
        <w:t> </w:t>
      </w:r>
      <w:r>
        <w:rPr>
          <w:sz w:val="20"/>
        </w:rPr>
        <w:t>health</w:t>
      </w:r>
    </w:p>
    <w:p>
      <w:pPr>
        <w:spacing w:after="0" w:line="254" w:lineRule="exact"/>
        <w:jc w:val="left"/>
        <w:rPr>
          <w:sz w:val="20"/>
        </w:rPr>
        <w:sectPr>
          <w:footerReference w:type="default" r:id="rId80"/>
          <w:footerReference w:type="even" r:id="rId81"/>
          <w:pgSz w:w="16840" w:h="11910" w:orient="landscape"/>
          <w:pgMar w:footer="822" w:header="0" w:top="1100" w:bottom="1020" w:left="1220" w:right="740"/>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224" w:hRule="atLeast"/>
        </w:trPr>
        <w:tc>
          <w:tcPr>
            <w:tcW w:w="2846" w:type="dxa"/>
            <w:vMerge w:val="restart"/>
          </w:tcPr>
          <w:p>
            <w:pPr>
              <w:pStyle w:val="TableParagraph"/>
              <w:rPr>
                <w:rFonts w:ascii="Times New Roman"/>
                <w:sz w:val="18"/>
              </w:rPr>
            </w:pPr>
          </w:p>
        </w:tc>
        <w:tc>
          <w:tcPr>
            <w:tcW w:w="2416" w:type="dxa"/>
            <w:tcBorders>
              <w:bottom w:val="nil"/>
            </w:tcBorders>
          </w:tcPr>
          <w:p>
            <w:pPr>
              <w:pStyle w:val="TableParagraph"/>
              <w:spacing w:line="205" w:lineRule="exact"/>
              <w:ind w:left="108"/>
              <w:rPr>
                <w:i/>
                <w:sz w:val="20"/>
              </w:rPr>
            </w:pPr>
            <w:r>
              <w:rPr>
                <w:i/>
                <w:sz w:val="20"/>
              </w:rPr>
              <w:t>affect whether people</w:t>
            </w:r>
          </w:p>
        </w:tc>
        <w:tc>
          <w:tcPr>
            <w:tcW w:w="2918" w:type="dxa"/>
            <w:tcBorders>
              <w:bottom w:val="nil"/>
            </w:tcBorders>
          </w:tcPr>
          <w:p>
            <w:pPr>
              <w:pStyle w:val="TableParagraph"/>
              <w:spacing w:line="205" w:lineRule="exact"/>
              <w:ind w:left="109"/>
              <w:rPr>
                <w:i/>
                <w:sz w:val="20"/>
              </w:rPr>
            </w:pPr>
            <w:r>
              <w:rPr>
                <w:i/>
                <w:sz w:val="20"/>
              </w:rPr>
              <w:t>quality of place affect crime?</w:t>
            </w:r>
          </w:p>
        </w:tc>
        <w:tc>
          <w:tcPr>
            <w:tcW w:w="801" w:type="dxa"/>
            <w:tcBorders>
              <w:bottom w:val="nil"/>
            </w:tcBorders>
          </w:tcPr>
          <w:p>
            <w:pPr>
              <w:pStyle w:val="TableParagraph"/>
              <w:spacing w:line="205" w:lineRule="exact"/>
              <w:ind w:left="14"/>
              <w:jc w:val="center"/>
              <w:rPr>
                <w:sz w:val="20"/>
              </w:rPr>
            </w:pPr>
            <w:r>
              <w:rPr>
                <w:color w:val="0000FF"/>
                <w:w w:val="99"/>
                <w:sz w:val="20"/>
              </w:rPr>
              <w:t>+</w:t>
            </w:r>
          </w:p>
        </w:tc>
        <w:tc>
          <w:tcPr>
            <w:tcW w:w="2104" w:type="dxa"/>
            <w:tcBorders>
              <w:bottom w:val="nil"/>
            </w:tcBorders>
          </w:tcPr>
          <w:p>
            <w:pPr>
              <w:pStyle w:val="TableParagraph"/>
              <w:spacing w:line="205" w:lineRule="exact"/>
              <w:ind w:left="110"/>
              <w:rPr>
                <w:sz w:val="20"/>
              </w:rPr>
            </w:pPr>
            <w:r>
              <w:rPr>
                <w:color w:val="0000FF"/>
                <w:sz w:val="20"/>
              </w:rPr>
              <w:t>promote pride in the</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19"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9" w:lineRule="exact"/>
              <w:ind w:left="108"/>
              <w:rPr>
                <w:i/>
                <w:sz w:val="20"/>
              </w:rPr>
            </w:pPr>
            <w:r>
              <w:rPr>
                <w:i/>
                <w:sz w:val="20"/>
              </w:rPr>
              <w:t>decide to commit a</w:t>
            </w:r>
          </w:p>
        </w:tc>
        <w:tc>
          <w:tcPr>
            <w:tcW w:w="2918" w:type="dxa"/>
            <w:tcBorders>
              <w:top w:val="nil"/>
              <w:bottom w:val="nil"/>
            </w:tcBorders>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place – reduced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9" w:lineRule="exact"/>
              <w:ind w:left="108"/>
              <w:rPr>
                <w:i/>
                <w:sz w:val="20"/>
              </w:rPr>
            </w:pPr>
            <w:r>
              <w:rPr>
                <w:i/>
                <w:sz w:val="20"/>
              </w:rPr>
              <w:t>crime or not, by</w:t>
            </w:r>
          </w:p>
        </w:tc>
        <w:tc>
          <w:tcPr>
            <w:tcW w:w="2918" w:type="dxa"/>
            <w:tcBorders>
              <w:top w:val="nil"/>
              <w:bottom w:val="nil"/>
            </w:tcBorders>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graffiti and low level</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200" w:lineRule="exact"/>
              <w:ind w:left="108"/>
              <w:rPr>
                <w:i/>
                <w:sz w:val="20"/>
              </w:rPr>
            </w:pPr>
            <w:r>
              <w:rPr>
                <w:i/>
                <w:sz w:val="20"/>
              </w:rPr>
              <w:t>enhancing the risk of</w:t>
            </w:r>
          </w:p>
        </w:tc>
        <w:tc>
          <w:tcPr>
            <w:tcW w:w="2918" w:type="dxa"/>
            <w:tcBorders>
              <w:top w:val="nil"/>
              <w:bottom w:val="nil"/>
            </w:tcBorders>
          </w:tcPr>
          <w:p>
            <w:pPr>
              <w:pStyle w:val="TableParagraph"/>
              <w:rPr>
                <w:rFonts w:ascii="Times New Roman"/>
                <w:sz w:val="14"/>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crime</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5" w:hRule="atLeast"/>
        </w:trPr>
        <w:tc>
          <w:tcPr>
            <w:tcW w:w="2846" w:type="dxa"/>
            <w:vMerge/>
            <w:tcBorders>
              <w:top w:val="nil"/>
            </w:tcBorders>
          </w:tcPr>
          <w:p>
            <w:pPr>
              <w:rPr>
                <w:sz w:val="2"/>
                <w:szCs w:val="2"/>
              </w:rPr>
            </w:pPr>
          </w:p>
        </w:tc>
        <w:tc>
          <w:tcPr>
            <w:tcW w:w="2416" w:type="dxa"/>
            <w:tcBorders>
              <w:top w:val="nil"/>
            </w:tcBorders>
          </w:tcPr>
          <w:p>
            <w:pPr>
              <w:pStyle w:val="TableParagraph"/>
              <w:spacing w:line="206" w:lineRule="exact"/>
              <w:ind w:left="108"/>
              <w:rPr>
                <w:i/>
                <w:sz w:val="20"/>
              </w:rPr>
            </w:pPr>
            <w:r>
              <w:rPr>
                <w:i/>
                <w:sz w:val="20"/>
              </w:rPr>
              <w:t>being watched/caught</w:t>
            </w:r>
          </w:p>
        </w:tc>
        <w:tc>
          <w:tcPr>
            <w:tcW w:w="2918" w:type="dxa"/>
            <w:tcBorders>
              <w:top w:val="nil"/>
            </w:tcBorders>
          </w:tcPr>
          <w:p>
            <w:pPr>
              <w:pStyle w:val="TableParagraph"/>
              <w:rPr>
                <w:rFonts w:ascii="Times New Roman"/>
                <w:sz w:val="16"/>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5" w:hRule="atLeast"/>
        </w:trPr>
        <w:tc>
          <w:tcPr>
            <w:tcW w:w="2846" w:type="dxa"/>
            <w:tcBorders>
              <w:bottom w:val="nil"/>
            </w:tcBorders>
          </w:tcPr>
          <w:p>
            <w:pPr>
              <w:pStyle w:val="TableParagraph"/>
              <w:spacing w:line="206" w:lineRule="exact"/>
              <w:ind w:right="101"/>
              <w:jc w:val="right"/>
              <w:rPr>
                <w:sz w:val="20"/>
              </w:rPr>
            </w:pPr>
            <w:r>
              <w:rPr>
                <w:w w:val="95"/>
                <w:sz w:val="20"/>
              </w:rPr>
              <w:t>Downstream</w:t>
            </w:r>
          </w:p>
        </w:tc>
        <w:tc>
          <w:tcPr>
            <w:tcW w:w="2416" w:type="dxa"/>
            <w:tcBorders>
              <w:bottom w:val="nil"/>
            </w:tcBorders>
          </w:tcPr>
          <w:p>
            <w:pPr>
              <w:pStyle w:val="TableParagraph"/>
              <w:spacing w:line="206" w:lineRule="exact"/>
              <w:ind w:left="108"/>
              <w:rPr>
                <w:sz w:val="20"/>
              </w:rPr>
            </w:pPr>
            <w:r>
              <w:rPr>
                <w:sz w:val="20"/>
              </w:rPr>
              <w:t>SA16: Cleaner, greener</w:t>
            </w:r>
          </w:p>
        </w:tc>
        <w:tc>
          <w:tcPr>
            <w:tcW w:w="2918" w:type="dxa"/>
            <w:vMerge w:val="restart"/>
          </w:tcPr>
          <w:p>
            <w:pPr>
              <w:pStyle w:val="TableParagraph"/>
              <w:spacing w:line="244" w:lineRule="auto"/>
              <w:ind w:left="109"/>
              <w:rPr>
                <w:rFonts w:ascii="Symbol" w:hAnsi="Symbol"/>
                <w:sz w:val="20"/>
              </w:rPr>
            </w:pPr>
            <w:r>
              <w:rPr>
                <w:sz w:val="20"/>
              </w:rPr>
              <w:t>SA16: Cleaner, greener and more attractive city</w:t>
            </w:r>
            <w:r>
              <w:rPr>
                <w:rFonts w:ascii="Symbol" w:hAnsi="Symbol"/>
                <w:sz w:val="20"/>
                <w:vertAlign w:val="superscript"/>
              </w:rPr>
              <w:t></w:t>
            </w:r>
          </w:p>
          <w:p>
            <w:pPr>
              <w:pStyle w:val="TableParagraph"/>
              <w:ind w:left="109" w:right="166"/>
              <w:rPr>
                <w:i/>
                <w:sz w:val="20"/>
              </w:rPr>
            </w:pPr>
            <w:r>
              <w:rPr>
                <w:i/>
                <w:sz w:val="20"/>
              </w:rPr>
              <w:t>How does the contribution to quality of place affect the creation of a cleaner, greener and more attractive city?</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sz w:val="20"/>
              </w:rPr>
            </w:pPr>
            <w:r>
              <w:rPr>
                <w:sz w:val="20"/>
              </w:rPr>
              <w:t>and more attractive city</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Good quality</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High quality</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0" w:lineRule="exact"/>
              <w:ind w:left="110"/>
              <w:rPr>
                <w:sz w:val="20"/>
              </w:rPr>
            </w:pPr>
            <w:r>
              <w:rPr>
                <w:color w:val="0000FF"/>
                <w:sz w:val="20"/>
              </w:rPr>
              <w:t>schemes will</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developments may</w:t>
            </w:r>
          </w:p>
        </w:tc>
        <w:tc>
          <w:tcPr>
            <w:tcW w:w="2918" w:type="dxa"/>
            <w:vMerge/>
            <w:tcBorders>
              <w:top w:val="nil"/>
            </w:tcBorders>
          </w:tcPr>
          <w:p>
            <w:pPr>
              <w:rPr>
                <w:sz w:val="2"/>
                <w:szCs w:val="2"/>
              </w:rPr>
            </w:pPr>
          </w:p>
        </w:tc>
        <w:tc>
          <w:tcPr>
            <w:tcW w:w="801" w:type="dxa"/>
            <w:tcBorders>
              <w:top w:val="nil"/>
              <w:bottom w:val="nil"/>
            </w:tcBorders>
          </w:tcPr>
          <w:p>
            <w:pPr>
              <w:pStyle w:val="TableParagraph"/>
              <w:spacing w:line="199" w:lineRule="exact"/>
              <w:ind w:left="14"/>
              <w:jc w:val="center"/>
              <w:rPr>
                <w:sz w:val="20"/>
              </w:rPr>
            </w:pPr>
            <w:r>
              <w:rPr>
                <w:color w:val="0000FF"/>
                <w:w w:val="99"/>
                <w:sz w:val="20"/>
              </w:rPr>
              <w:t>+</w:t>
            </w:r>
          </w:p>
        </w:tc>
        <w:tc>
          <w:tcPr>
            <w:tcW w:w="2104" w:type="dxa"/>
            <w:tcBorders>
              <w:top w:val="nil"/>
              <w:bottom w:val="nil"/>
            </w:tcBorders>
          </w:tcPr>
          <w:p>
            <w:pPr>
              <w:pStyle w:val="TableParagraph"/>
              <w:spacing w:line="199" w:lineRule="exact"/>
              <w:ind w:left="110"/>
              <w:rPr>
                <w:sz w:val="20"/>
              </w:rPr>
            </w:pPr>
            <w:r>
              <w:rPr>
                <w:color w:val="0000FF"/>
                <w:sz w:val="20"/>
              </w:rPr>
              <w:t>promote pride in</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improve neighbourhood</w:t>
            </w:r>
          </w:p>
        </w:tc>
        <w:tc>
          <w:tcPr>
            <w:tcW w:w="2918" w:type="dxa"/>
            <w:vMerge/>
            <w:tcBorders>
              <w:top w:val="nil"/>
            </w:tcBorders>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place and create a</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470" w:hRule="atLeast"/>
        </w:trPr>
        <w:tc>
          <w:tcPr>
            <w:tcW w:w="2846" w:type="dxa"/>
            <w:tcBorders>
              <w:top w:val="nil"/>
            </w:tcBorders>
          </w:tcPr>
          <w:p>
            <w:pPr>
              <w:pStyle w:val="TableParagraph"/>
              <w:rPr>
                <w:rFonts w:ascii="Times New Roman"/>
                <w:sz w:val="18"/>
              </w:rPr>
            </w:pPr>
          </w:p>
        </w:tc>
        <w:tc>
          <w:tcPr>
            <w:tcW w:w="2416" w:type="dxa"/>
            <w:tcBorders>
              <w:top w:val="nil"/>
            </w:tcBorders>
          </w:tcPr>
          <w:p>
            <w:pPr>
              <w:pStyle w:val="TableParagraph"/>
              <w:spacing w:line="220" w:lineRule="exact"/>
              <w:ind w:left="108"/>
              <w:rPr>
                <w:i/>
                <w:sz w:val="20"/>
              </w:rPr>
            </w:pPr>
            <w:r>
              <w:rPr>
                <w:i/>
                <w:sz w:val="20"/>
              </w:rPr>
              <w:t>cleanliness.</w:t>
            </w:r>
          </w:p>
        </w:tc>
        <w:tc>
          <w:tcPr>
            <w:tcW w:w="2918" w:type="dxa"/>
            <w:vMerge/>
            <w:tcBorders>
              <w:top w:val="nil"/>
            </w:tcBorders>
          </w:tcPr>
          <w:p>
            <w:pPr>
              <w:rPr>
                <w:sz w:val="2"/>
                <w:szCs w:val="2"/>
              </w:rPr>
            </w:pPr>
          </w:p>
        </w:tc>
        <w:tc>
          <w:tcPr>
            <w:tcW w:w="801" w:type="dxa"/>
            <w:tcBorders>
              <w:top w:val="nil"/>
            </w:tcBorders>
          </w:tcPr>
          <w:p>
            <w:pPr>
              <w:pStyle w:val="TableParagraph"/>
              <w:rPr>
                <w:rFonts w:ascii="Times New Roman"/>
                <w:sz w:val="18"/>
              </w:rPr>
            </w:pPr>
          </w:p>
        </w:tc>
        <w:tc>
          <w:tcPr>
            <w:tcW w:w="2104" w:type="dxa"/>
            <w:tcBorders>
              <w:top w:val="nil"/>
            </w:tcBorders>
          </w:tcPr>
          <w:p>
            <w:pPr>
              <w:pStyle w:val="TableParagraph"/>
              <w:spacing w:line="223" w:lineRule="exact"/>
              <w:ind w:left="110"/>
              <w:rPr>
                <w:sz w:val="20"/>
              </w:rPr>
            </w:pPr>
            <w:r>
              <w:rPr>
                <w:color w:val="0000FF"/>
                <w:sz w:val="20"/>
              </w:rPr>
              <w:t>more attractive city</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5" w:hRule="atLeast"/>
        </w:trPr>
        <w:tc>
          <w:tcPr>
            <w:tcW w:w="2846" w:type="dxa"/>
            <w:tcBorders>
              <w:bottom w:val="nil"/>
            </w:tcBorders>
          </w:tcPr>
          <w:p>
            <w:pPr>
              <w:pStyle w:val="TableParagraph"/>
              <w:spacing w:line="206" w:lineRule="exact"/>
              <w:ind w:right="101"/>
              <w:jc w:val="right"/>
              <w:rPr>
                <w:sz w:val="20"/>
              </w:rPr>
            </w:pPr>
            <w:r>
              <w:rPr>
                <w:w w:val="95"/>
                <w:sz w:val="20"/>
              </w:rPr>
              <w:t>Downstream</w:t>
            </w:r>
          </w:p>
        </w:tc>
        <w:tc>
          <w:tcPr>
            <w:tcW w:w="2416" w:type="dxa"/>
            <w:tcBorders>
              <w:bottom w:val="nil"/>
            </w:tcBorders>
          </w:tcPr>
          <w:p>
            <w:pPr>
              <w:pStyle w:val="TableParagraph"/>
              <w:spacing w:line="206" w:lineRule="exact"/>
              <w:ind w:left="108"/>
              <w:rPr>
                <w:sz w:val="20"/>
              </w:rPr>
            </w:pPr>
            <w:r>
              <w:rPr>
                <w:sz w:val="20"/>
              </w:rPr>
              <w:t>SA18: Climate change</w:t>
            </w:r>
          </w:p>
        </w:tc>
        <w:tc>
          <w:tcPr>
            <w:tcW w:w="2918" w:type="dxa"/>
            <w:vMerge w:val="restart"/>
            <w:shd w:val="clear" w:color="auto" w:fill="FFFF98"/>
          </w:tcPr>
          <w:p>
            <w:pPr>
              <w:pStyle w:val="TableParagraph"/>
              <w:spacing w:line="244" w:lineRule="auto"/>
              <w:ind w:left="109"/>
              <w:rPr>
                <w:rFonts w:ascii="Symbol" w:hAnsi="Symbol"/>
                <w:sz w:val="20"/>
              </w:rPr>
            </w:pPr>
            <w:r>
              <w:rPr>
                <w:sz w:val="20"/>
              </w:rPr>
              <w:t>SA18: Climate change mitigation</w:t>
            </w:r>
            <w:r>
              <w:rPr>
                <w:rFonts w:ascii="Symbol" w:hAnsi="Symbol"/>
                <w:sz w:val="20"/>
                <w:vertAlign w:val="superscript"/>
              </w:rPr>
              <w:t></w:t>
            </w:r>
          </w:p>
          <w:p>
            <w:pPr>
              <w:pStyle w:val="TableParagraph"/>
              <w:ind w:left="109" w:right="228"/>
              <w:jc w:val="both"/>
              <w:rPr>
                <w:i/>
                <w:sz w:val="20"/>
              </w:rPr>
            </w:pPr>
            <w:r>
              <w:rPr>
                <w:i/>
                <w:sz w:val="20"/>
              </w:rPr>
              <w:t>How does the contribution to quality of place affect climate change mitigation?</w:t>
            </w:r>
          </w:p>
        </w:tc>
        <w:tc>
          <w:tcPr>
            <w:tcW w:w="801" w:type="dxa"/>
            <w:tcBorders>
              <w:bottom w:val="nil"/>
            </w:tcBorders>
          </w:tcPr>
          <w:p>
            <w:pPr>
              <w:pStyle w:val="TableParagraph"/>
              <w:rPr>
                <w:rFonts w:ascii="Times New Roman"/>
                <w:sz w:val="16"/>
              </w:rPr>
            </w:pPr>
          </w:p>
        </w:tc>
        <w:tc>
          <w:tcPr>
            <w:tcW w:w="2104" w:type="dxa"/>
            <w:tcBorders>
              <w:bottom w:val="nil"/>
            </w:tcBorders>
          </w:tcPr>
          <w:p>
            <w:pPr>
              <w:pStyle w:val="TableParagraph"/>
              <w:rPr>
                <w:rFonts w:ascii="Times New Roman"/>
                <w:sz w:val="16"/>
              </w:rPr>
            </w:pP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sz w:val="20"/>
              </w:rPr>
            </w:pPr>
            <w:r>
              <w:rPr>
                <w:sz w:val="20"/>
              </w:rPr>
              <w:t>mitigation</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0"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200" w:lineRule="exact"/>
              <w:ind w:left="108"/>
              <w:rPr>
                <w:i/>
                <w:sz w:val="20"/>
              </w:rPr>
            </w:pPr>
            <w:r>
              <w:rPr>
                <w:i/>
                <w:sz w:val="20"/>
              </w:rPr>
              <w:t>Modern housing must</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spacing w:line="200" w:lineRule="exact"/>
              <w:ind w:left="13"/>
              <w:jc w:val="center"/>
              <w:rPr>
                <w:sz w:val="20"/>
              </w:rPr>
            </w:pPr>
            <w:r>
              <w:rPr>
                <w:color w:val="0000FF"/>
                <w:w w:val="99"/>
                <w:sz w:val="20"/>
              </w:rPr>
              <w:t>0</w:t>
            </w:r>
          </w:p>
        </w:tc>
        <w:tc>
          <w:tcPr>
            <w:tcW w:w="2104" w:type="dxa"/>
            <w:tcBorders>
              <w:top w:val="nil"/>
              <w:bottom w:val="nil"/>
            </w:tcBorders>
          </w:tcPr>
          <w:p>
            <w:pPr>
              <w:pStyle w:val="TableParagraph"/>
              <w:spacing w:line="200" w:lineRule="exact"/>
              <w:ind w:left="110"/>
              <w:rPr>
                <w:sz w:val="20"/>
              </w:rPr>
            </w:pPr>
            <w:r>
              <w:rPr>
                <w:color w:val="0000FF"/>
                <w:sz w:val="20"/>
              </w:rPr>
              <w:t>Neutral impact</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be built to higher energy</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efficiency standards</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19" w:hRule="atLeast"/>
        </w:trPr>
        <w:tc>
          <w:tcPr>
            <w:tcW w:w="2846" w:type="dxa"/>
            <w:tcBorders>
              <w:top w:val="nil"/>
              <w:bottom w:val="nil"/>
            </w:tcBorders>
          </w:tcPr>
          <w:p>
            <w:pPr>
              <w:pStyle w:val="TableParagraph"/>
              <w:rPr>
                <w:rFonts w:ascii="Times New Roman"/>
                <w:sz w:val="14"/>
              </w:rPr>
            </w:pPr>
          </w:p>
        </w:tc>
        <w:tc>
          <w:tcPr>
            <w:tcW w:w="2416" w:type="dxa"/>
            <w:tcBorders>
              <w:top w:val="nil"/>
              <w:bottom w:val="nil"/>
            </w:tcBorders>
          </w:tcPr>
          <w:p>
            <w:pPr>
              <w:pStyle w:val="TableParagraph"/>
              <w:spacing w:line="199" w:lineRule="exact"/>
              <w:ind w:left="108"/>
              <w:rPr>
                <w:i/>
                <w:sz w:val="20"/>
              </w:rPr>
            </w:pPr>
            <w:r>
              <w:rPr>
                <w:i/>
                <w:sz w:val="20"/>
              </w:rPr>
              <w:t>than in the past (building</w:t>
            </w:r>
          </w:p>
        </w:tc>
        <w:tc>
          <w:tcPr>
            <w:tcW w:w="2918" w:type="dxa"/>
            <w:vMerge/>
            <w:tcBorders>
              <w:top w:val="nil"/>
            </w:tcBorders>
            <w:shd w:val="clear" w:color="auto" w:fill="FFFF98"/>
          </w:tcPr>
          <w:p>
            <w:pPr>
              <w:rPr>
                <w:sz w:val="2"/>
                <w:szCs w:val="2"/>
              </w:rPr>
            </w:pP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rPr>
                <w:rFonts w:ascii="Times New Roman"/>
                <w:sz w:val="14"/>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227" w:hRule="atLeast"/>
        </w:trPr>
        <w:tc>
          <w:tcPr>
            <w:tcW w:w="2846" w:type="dxa"/>
            <w:tcBorders>
              <w:top w:val="nil"/>
            </w:tcBorders>
          </w:tcPr>
          <w:p>
            <w:pPr>
              <w:pStyle w:val="TableParagraph"/>
              <w:rPr>
                <w:rFonts w:ascii="Times New Roman"/>
                <w:sz w:val="16"/>
              </w:rPr>
            </w:pPr>
          </w:p>
        </w:tc>
        <w:tc>
          <w:tcPr>
            <w:tcW w:w="2416" w:type="dxa"/>
            <w:tcBorders>
              <w:top w:val="nil"/>
            </w:tcBorders>
          </w:tcPr>
          <w:p>
            <w:pPr>
              <w:pStyle w:val="TableParagraph"/>
              <w:spacing w:line="207" w:lineRule="exact"/>
              <w:ind w:left="108"/>
              <w:rPr>
                <w:i/>
                <w:sz w:val="20"/>
              </w:rPr>
            </w:pPr>
            <w:r>
              <w:rPr>
                <w:i/>
                <w:sz w:val="20"/>
              </w:rPr>
              <w:t>regulations, BREAM).</w:t>
            </w:r>
          </w:p>
        </w:tc>
        <w:tc>
          <w:tcPr>
            <w:tcW w:w="2918" w:type="dxa"/>
            <w:vMerge/>
            <w:tcBorders>
              <w:top w:val="nil"/>
            </w:tcBorders>
            <w:shd w:val="clear" w:color="auto" w:fill="FFFF98"/>
          </w:tcPr>
          <w:p>
            <w:pPr>
              <w:rPr>
                <w:sz w:val="2"/>
                <w:szCs w:val="2"/>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718" w:hRule="atLeast"/>
        </w:trPr>
        <w:tc>
          <w:tcPr>
            <w:tcW w:w="2846" w:type="dxa"/>
            <w:tcBorders>
              <w:bottom w:val="nil"/>
            </w:tcBorders>
          </w:tcPr>
          <w:p>
            <w:pPr>
              <w:pStyle w:val="TableParagraph"/>
              <w:spacing w:line="227" w:lineRule="exact"/>
              <w:ind w:right="101"/>
              <w:jc w:val="right"/>
              <w:rPr>
                <w:sz w:val="20"/>
              </w:rPr>
            </w:pPr>
            <w:r>
              <w:rPr>
                <w:w w:val="95"/>
                <w:sz w:val="20"/>
              </w:rPr>
              <w:t>Downstream</w:t>
            </w:r>
          </w:p>
        </w:tc>
        <w:tc>
          <w:tcPr>
            <w:tcW w:w="2416" w:type="dxa"/>
            <w:tcBorders>
              <w:bottom w:val="nil"/>
            </w:tcBorders>
          </w:tcPr>
          <w:p>
            <w:pPr>
              <w:pStyle w:val="TableParagraph"/>
              <w:ind w:left="108" w:right="161" w:hanging="1"/>
              <w:rPr>
                <w:i/>
                <w:sz w:val="20"/>
              </w:rPr>
            </w:pPr>
            <w:r>
              <w:rPr>
                <w:sz w:val="20"/>
              </w:rPr>
              <w:t>SA19: Flood risk </w:t>
            </w:r>
            <w:r>
              <w:rPr>
                <w:i/>
                <w:sz w:val="20"/>
              </w:rPr>
              <w:t>Wherever possible new developments should not be built in areas at risk of flooding (identified in the SFRA/PPS25)?</w:t>
            </w:r>
          </w:p>
        </w:tc>
        <w:tc>
          <w:tcPr>
            <w:tcW w:w="2918" w:type="dxa"/>
            <w:tcBorders>
              <w:bottom w:val="nil"/>
            </w:tcBorders>
          </w:tcPr>
          <w:p>
            <w:pPr>
              <w:pStyle w:val="TableParagraph"/>
              <w:spacing w:line="242" w:lineRule="exact"/>
              <w:ind w:left="109"/>
              <w:rPr>
                <w:rFonts w:ascii="Symbol" w:hAnsi="Symbol"/>
                <w:sz w:val="20"/>
              </w:rPr>
            </w:pPr>
            <w:r>
              <w:rPr>
                <w:sz w:val="20"/>
              </w:rPr>
              <w:t>SA19: Flood risk</w:t>
            </w:r>
            <w:r>
              <w:rPr>
                <w:rFonts w:ascii="Symbol" w:hAnsi="Symbol"/>
                <w:sz w:val="20"/>
                <w:vertAlign w:val="superscript"/>
              </w:rPr>
              <w:t></w:t>
            </w:r>
          </w:p>
          <w:p>
            <w:pPr>
              <w:pStyle w:val="TableParagraph"/>
              <w:ind w:left="109" w:right="244"/>
              <w:rPr>
                <w:i/>
                <w:sz w:val="20"/>
              </w:rPr>
            </w:pPr>
            <w:r>
              <w:rPr>
                <w:i/>
                <w:sz w:val="20"/>
              </w:rPr>
              <w:t>How does the contribution to quality of place affect flood risk?</w:t>
            </w:r>
          </w:p>
        </w:tc>
        <w:tc>
          <w:tcPr>
            <w:tcW w:w="801" w:type="dxa"/>
            <w:tcBorders>
              <w:bottom w:val="nil"/>
            </w:tcBorders>
          </w:tcPr>
          <w:p>
            <w:pPr>
              <w:pStyle w:val="TableParagraph"/>
              <w:rPr>
                <w:sz w:val="22"/>
              </w:rPr>
            </w:pPr>
          </w:p>
          <w:p>
            <w:pPr>
              <w:pStyle w:val="TableParagraph"/>
              <w:spacing w:before="9"/>
              <w:rPr>
                <w:sz w:val="17"/>
              </w:rPr>
            </w:pPr>
          </w:p>
          <w:p>
            <w:pPr>
              <w:pStyle w:val="TableParagraph"/>
              <w:ind w:left="14"/>
              <w:jc w:val="center"/>
              <w:rPr>
                <w:sz w:val="20"/>
              </w:rPr>
            </w:pPr>
            <w:r>
              <w:rPr>
                <w:color w:val="0000FF"/>
                <w:w w:val="99"/>
                <w:sz w:val="20"/>
              </w:rPr>
              <w:t>+</w:t>
            </w:r>
          </w:p>
        </w:tc>
        <w:tc>
          <w:tcPr>
            <w:tcW w:w="2104" w:type="dxa"/>
            <w:tcBorders>
              <w:bottom w:val="nil"/>
            </w:tcBorders>
          </w:tcPr>
          <w:p>
            <w:pPr>
              <w:pStyle w:val="TableParagraph"/>
              <w:ind w:left="110" w:right="118"/>
              <w:rPr>
                <w:sz w:val="20"/>
              </w:rPr>
            </w:pPr>
            <w:r>
              <w:rPr>
                <w:color w:val="0000FF"/>
                <w:sz w:val="20"/>
              </w:rPr>
              <w:t>Good quality schemes will provide both improvements to public realm and flood risk benefits</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342" w:hRule="atLeast"/>
        </w:trPr>
        <w:tc>
          <w:tcPr>
            <w:tcW w:w="2846" w:type="dxa"/>
            <w:tcBorders>
              <w:top w:val="nil"/>
            </w:tcBorders>
          </w:tcPr>
          <w:p>
            <w:pPr>
              <w:pStyle w:val="TableParagraph"/>
              <w:rPr>
                <w:rFonts w:ascii="Times New Roman"/>
                <w:sz w:val="18"/>
              </w:rPr>
            </w:pPr>
          </w:p>
        </w:tc>
        <w:tc>
          <w:tcPr>
            <w:tcW w:w="2416" w:type="dxa"/>
            <w:tcBorders>
              <w:top w:val="nil"/>
            </w:tcBorders>
          </w:tcPr>
          <w:p>
            <w:pPr>
              <w:pStyle w:val="TableParagraph"/>
              <w:spacing w:line="215" w:lineRule="exact" w:before="107"/>
              <w:ind w:left="108"/>
              <w:rPr>
                <w:i/>
                <w:sz w:val="20"/>
              </w:rPr>
            </w:pPr>
            <w:r>
              <w:rPr>
                <w:i/>
                <w:sz w:val="20"/>
              </w:rPr>
              <w:t>Flood protection</w:t>
            </w:r>
          </w:p>
        </w:tc>
        <w:tc>
          <w:tcPr>
            <w:tcW w:w="2918" w:type="dxa"/>
            <w:tcBorders>
              <w:top w:val="nil"/>
            </w:tcBorders>
          </w:tcPr>
          <w:p>
            <w:pPr>
              <w:pStyle w:val="TableParagraph"/>
              <w:rPr>
                <w:rFonts w:ascii="Times New Roman"/>
                <w:sz w:val="18"/>
              </w:rPr>
            </w:pPr>
          </w:p>
        </w:tc>
        <w:tc>
          <w:tcPr>
            <w:tcW w:w="801" w:type="dxa"/>
            <w:tcBorders>
              <w:top w:val="nil"/>
            </w:tcBorders>
          </w:tcPr>
          <w:p>
            <w:pPr>
              <w:pStyle w:val="TableParagraph"/>
              <w:rPr>
                <w:rFonts w:ascii="Times New Roman"/>
                <w:sz w:val="18"/>
              </w:rPr>
            </w:pPr>
          </w:p>
        </w:tc>
        <w:tc>
          <w:tcPr>
            <w:tcW w:w="2104" w:type="dxa"/>
            <w:tcBorders>
              <w:top w:val="nil"/>
            </w:tcBorders>
          </w:tcPr>
          <w:p>
            <w:pPr>
              <w:pStyle w:val="TableParagraph"/>
              <w:rPr>
                <w:rFonts w:ascii="Times New Roman"/>
                <w:sz w:val="18"/>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bl>
    <w:p>
      <w:pPr>
        <w:pStyle w:val="BodyText"/>
        <w:spacing w:before="9"/>
        <w:rPr>
          <w:sz w:val="21"/>
        </w:rPr>
      </w:pPr>
      <w:r>
        <w:rPr/>
        <w:pict>
          <v:line style="position:absolute;mso-position-horizontal-relative:page;mso-position-vertical-relative:paragraph;z-index:1712;mso-wrap-distance-left:0;mso-wrap-distance-right:0" from="72pt,14.820001pt" to="216.000005pt,14.820001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 Interrelationship between</w:t>
      </w:r>
      <w:r>
        <w:rPr>
          <w:spacing w:val="5"/>
          <w:sz w:val="20"/>
        </w:rPr>
        <w:t> </w:t>
      </w:r>
      <w:r>
        <w:rPr>
          <w:sz w:val="20"/>
        </w:rPr>
        <w:t>factors</w:t>
      </w:r>
    </w:p>
    <w:p>
      <w:pPr>
        <w:pStyle w:val="ListParagraph"/>
        <w:numPr>
          <w:ilvl w:val="0"/>
          <w:numId w:val="55"/>
        </w:numPr>
        <w:tabs>
          <w:tab w:pos="341" w:val="left" w:leader="none"/>
        </w:tabs>
        <w:spacing w:line="245" w:lineRule="exact" w:before="0" w:after="0"/>
        <w:ind w:left="340" w:right="0" w:hanging="120"/>
        <w:jc w:val="left"/>
        <w:rPr>
          <w:sz w:val="20"/>
        </w:rPr>
      </w:pPr>
      <w:r>
        <w:rPr>
          <w:sz w:val="20"/>
        </w:rPr>
        <w:t>SEA Directive: Climatic</w:t>
      </w:r>
      <w:r>
        <w:rPr>
          <w:spacing w:val="-19"/>
          <w:sz w:val="20"/>
        </w:rPr>
        <w:t> </w:t>
      </w:r>
      <w:r>
        <w:rPr>
          <w:sz w:val="20"/>
        </w:rPr>
        <w:t>factors</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Material</w:t>
      </w:r>
      <w:r>
        <w:rPr>
          <w:spacing w:val="-14"/>
          <w:sz w:val="20"/>
        </w:rPr>
        <w:t> </w:t>
      </w:r>
      <w:r>
        <w:rPr>
          <w:sz w:val="20"/>
        </w:rPr>
        <w:t>assets</w:t>
      </w:r>
    </w:p>
    <w:p>
      <w:pPr>
        <w:spacing w:after="0" w:line="254" w:lineRule="exact"/>
        <w:jc w:val="left"/>
        <w:rPr>
          <w:sz w:val="20"/>
        </w:rPr>
        <w:sectPr>
          <w:pgSz w:w="16840" w:h="11910" w:orient="landscape"/>
          <w:pgMar w:header="0" w:footer="814" w:top="1100" w:bottom="1000" w:left="1220" w:right="740"/>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2298" w:hRule="atLeast"/>
        </w:trPr>
        <w:tc>
          <w:tcPr>
            <w:tcW w:w="2846" w:type="dxa"/>
          </w:tcPr>
          <w:p>
            <w:pPr>
              <w:pStyle w:val="TableParagraph"/>
              <w:rPr>
                <w:rFonts w:ascii="Times New Roman"/>
                <w:sz w:val="18"/>
              </w:rPr>
            </w:pPr>
          </w:p>
        </w:tc>
        <w:tc>
          <w:tcPr>
            <w:tcW w:w="2416" w:type="dxa"/>
          </w:tcPr>
          <w:p>
            <w:pPr>
              <w:pStyle w:val="TableParagraph"/>
              <w:ind w:left="108"/>
              <w:rPr>
                <w:i/>
                <w:sz w:val="20"/>
              </w:rPr>
            </w:pPr>
            <w:r>
              <w:rPr>
                <w:i/>
                <w:sz w:val="20"/>
              </w:rPr>
              <w:t>measures should be designed into any new development sited in a flood risk area?</w:t>
            </w:r>
          </w:p>
          <w:p>
            <w:pPr>
              <w:pStyle w:val="TableParagraph"/>
              <w:spacing w:before="5"/>
              <w:rPr>
                <w:sz w:val="19"/>
              </w:rPr>
            </w:pPr>
          </w:p>
          <w:p>
            <w:pPr>
              <w:pStyle w:val="TableParagraph"/>
              <w:spacing w:before="1"/>
              <w:ind w:left="108" w:right="99"/>
              <w:rPr>
                <w:i/>
                <w:sz w:val="20"/>
              </w:rPr>
            </w:pPr>
            <w:r>
              <w:rPr>
                <w:i/>
                <w:sz w:val="20"/>
              </w:rPr>
              <w:t>A lot of the flood risk area in Leeds city centre constitutes historical buildings</w:t>
            </w:r>
          </w:p>
          <w:p>
            <w:pPr>
              <w:pStyle w:val="TableParagraph"/>
              <w:spacing w:line="215" w:lineRule="exact"/>
              <w:ind w:left="108"/>
              <w:rPr>
                <w:i/>
                <w:sz w:val="20"/>
              </w:rPr>
            </w:pPr>
            <w:r>
              <w:rPr>
                <w:i/>
                <w:sz w:val="20"/>
              </w:rPr>
              <w:t>(waterfront/wharf areas).</w:t>
            </w:r>
          </w:p>
        </w:tc>
        <w:tc>
          <w:tcPr>
            <w:tcW w:w="2918" w:type="dxa"/>
          </w:tcPr>
          <w:p>
            <w:pPr>
              <w:pStyle w:val="TableParagraph"/>
              <w:rPr>
                <w:rFonts w:ascii="Times New Roman"/>
                <w:sz w:val="18"/>
              </w:rPr>
            </w:pPr>
          </w:p>
        </w:tc>
        <w:tc>
          <w:tcPr>
            <w:tcW w:w="801" w:type="dxa"/>
          </w:tcPr>
          <w:p>
            <w:pPr>
              <w:pStyle w:val="TableParagraph"/>
              <w:rPr>
                <w:rFonts w:ascii="Times New Roman"/>
                <w:sz w:val="18"/>
              </w:rPr>
            </w:pPr>
          </w:p>
        </w:tc>
        <w:tc>
          <w:tcPr>
            <w:tcW w:w="2104" w:type="dxa"/>
          </w:tcPr>
          <w:p>
            <w:pPr>
              <w:pStyle w:val="TableParagraph"/>
              <w:rPr>
                <w:rFonts w:ascii="Times New Roman"/>
                <w:sz w:val="18"/>
              </w:rPr>
            </w:pP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1396" w:hRule="atLeast"/>
        </w:trPr>
        <w:tc>
          <w:tcPr>
            <w:tcW w:w="2846" w:type="dxa"/>
          </w:tcPr>
          <w:p>
            <w:pPr>
              <w:pStyle w:val="TableParagraph"/>
              <w:spacing w:line="227" w:lineRule="exact"/>
              <w:ind w:left="1615"/>
              <w:rPr>
                <w:sz w:val="20"/>
              </w:rPr>
            </w:pPr>
            <w:r>
              <w:rPr>
                <w:sz w:val="20"/>
              </w:rPr>
              <w:t>Downstream</w:t>
            </w:r>
          </w:p>
        </w:tc>
        <w:tc>
          <w:tcPr>
            <w:tcW w:w="2416" w:type="dxa"/>
          </w:tcPr>
          <w:p>
            <w:pPr>
              <w:pStyle w:val="TableParagraph"/>
              <w:ind w:left="108" w:right="433" w:hanging="1"/>
              <w:rPr>
                <w:sz w:val="20"/>
              </w:rPr>
            </w:pPr>
            <w:r>
              <w:rPr>
                <w:sz w:val="20"/>
              </w:rPr>
              <w:t>SA21: Contaminated land</w:t>
            </w:r>
          </w:p>
          <w:p>
            <w:pPr>
              <w:pStyle w:val="TableParagraph"/>
              <w:ind w:left="108" w:right="288"/>
              <w:rPr>
                <w:i/>
                <w:sz w:val="20"/>
              </w:rPr>
            </w:pPr>
            <w:r>
              <w:rPr>
                <w:i/>
                <w:sz w:val="20"/>
              </w:rPr>
              <w:t>A lot of historical industrial areas known to be heavily contaminated.</w:t>
            </w:r>
          </w:p>
        </w:tc>
        <w:tc>
          <w:tcPr>
            <w:tcW w:w="2918" w:type="dxa"/>
            <w:shd w:val="clear" w:color="auto" w:fill="FFFF98"/>
          </w:tcPr>
          <w:p>
            <w:pPr>
              <w:pStyle w:val="TableParagraph"/>
              <w:spacing w:line="237" w:lineRule="auto" w:before="2"/>
              <w:ind w:left="109" w:right="244"/>
              <w:rPr>
                <w:i/>
                <w:sz w:val="20"/>
              </w:rPr>
            </w:pPr>
            <w:r>
              <w:rPr>
                <w:sz w:val="20"/>
              </w:rPr>
              <w:t>SA21: Contaminated land</w:t>
            </w:r>
            <w:r>
              <w:rPr>
                <w:rFonts w:ascii="Symbol" w:hAnsi="Symbol"/>
                <w:sz w:val="20"/>
                <w:vertAlign w:val="superscript"/>
              </w:rPr>
              <w:t></w:t>
            </w:r>
            <w:r>
              <w:rPr>
                <w:rFonts w:ascii="Times New Roman" w:hAnsi="Times New Roman"/>
                <w:sz w:val="20"/>
                <w:vertAlign w:val="baseline"/>
              </w:rPr>
              <w:t> </w:t>
            </w:r>
            <w:r>
              <w:rPr>
                <w:i/>
                <w:sz w:val="20"/>
                <w:vertAlign w:val="baseline"/>
              </w:rPr>
              <w:t>How does the contribution to quality of place affect remediation of contaminated land?</w:t>
            </w:r>
          </w:p>
        </w:tc>
        <w:tc>
          <w:tcPr>
            <w:tcW w:w="801" w:type="dxa"/>
          </w:tcPr>
          <w:p>
            <w:pPr>
              <w:pStyle w:val="TableParagraph"/>
              <w:rPr>
                <w:sz w:val="22"/>
              </w:rPr>
            </w:pPr>
          </w:p>
          <w:p>
            <w:pPr>
              <w:pStyle w:val="TableParagraph"/>
              <w:spacing w:before="9"/>
              <w:rPr>
                <w:sz w:val="17"/>
              </w:rPr>
            </w:pPr>
          </w:p>
          <w:p>
            <w:pPr>
              <w:pStyle w:val="TableParagraph"/>
              <w:ind w:left="14"/>
              <w:jc w:val="center"/>
              <w:rPr>
                <w:sz w:val="20"/>
              </w:rPr>
            </w:pPr>
            <w:r>
              <w:rPr>
                <w:color w:val="0000FF"/>
                <w:w w:val="99"/>
                <w:sz w:val="20"/>
              </w:rPr>
              <w:t>+</w:t>
            </w:r>
          </w:p>
        </w:tc>
        <w:tc>
          <w:tcPr>
            <w:tcW w:w="2104" w:type="dxa"/>
          </w:tcPr>
          <w:p>
            <w:pPr>
              <w:pStyle w:val="TableParagraph"/>
              <w:ind w:left="110" w:right="85"/>
              <w:rPr>
                <w:sz w:val="20"/>
              </w:rPr>
            </w:pPr>
            <w:r>
              <w:rPr>
                <w:color w:val="0000FF"/>
                <w:sz w:val="20"/>
              </w:rPr>
              <w:t>Opportunity for remediation through schemes which provide opportunity for new development</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933" w:hRule="atLeast"/>
        </w:trPr>
        <w:tc>
          <w:tcPr>
            <w:tcW w:w="2846" w:type="dxa"/>
            <w:vMerge w:val="restart"/>
          </w:tcPr>
          <w:p>
            <w:pPr>
              <w:pStyle w:val="TableParagraph"/>
              <w:ind w:left="107" w:right="175"/>
              <w:rPr>
                <w:b/>
                <w:sz w:val="20"/>
              </w:rPr>
            </w:pPr>
            <w:r>
              <w:rPr>
                <w:b/>
                <w:sz w:val="20"/>
              </w:rPr>
              <w:t>UPSTREAM SA7: ENERGY AND LOW CARBON GENERATION</w:t>
            </w:r>
          </w:p>
          <w:p>
            <w:pPr>
              <w:pStyle w:val="TableParagraph"/>
              <w:ind w:left="107" w:right="104"/>
              <w:rPr>
                <w:i/>
                <w:sz w:val="20"/>
              </w:rPr>
            </w:pPr>
            <w:r>
              <w:rPr>
                <w:i/>
                <w:sz w:val="20"/>
              </w:rPr>
              <w:t>INCREASE ENERGY EFFICIENCY, LOW AND ZERO CARBON FORMS OF ENERGY GENERATION AND LOCAL DISTRIBUTION</w:t>
            </w:r>
          </w:p>
        </w:tc>
        <w:tc>
          <w:tcPr>
            <w:tcW w:w="2416" w:type="dxa"/>
            <w:vMerge w:val="restart"/>
          </w:tcPr>
          <w:p>
            <w:pPr>
              <w:pStyle w:val="TableParagraph"/>
              <w:rPr>
                <w:rFonts w:ascii="Times New Roman"/>
                <w:sz w:val="18"/>
              </w:rPr>
            </w:pPr>
          </w:p>
        </w:tc>
        <w:tc>
          <w:tcPr>
            <w:tcW w:w="2918" w:type="dxa"/>
          </w:tcPr>
          <w:p>
            <w:pPr>
              <w:pStyle w:val="TableParagraph"/>
              <w:ind w:left="109" w:right="325"/>
              <w:rPr>
                <w:i/>
                <w:sz w:val="20"/>
              </w:rPr>
            </w:pPr>
            <w:r>
              <w:rPr>
                <w:b/>
                <w:sz w:val="20"/>
              </w:rPr>
              <w:t>SA7: ENERGY AND LOW CARBON GENERATION</w:t>
            </w:r>
            <w:r>
              <w:rPr>
                <w:rFonts w:ascii="Symbol" w:hAnsi="Symbol"/>
                <w:b/>
                <w:sz w:val="20"/>
                <w:vertAlign w:val="superscript"/>
              </w:rPr>
              <w:t></w:t>
            </w:r>
            <w:r>
              <w:rPr>
                <w:b/>
                <w:sz w:val="20"/>
                <w:vertAlign w:val="baseline"/>
              </w:rPr>
              <w:t>? </w:t>
            </w:r>
            <w:r>
              <w:rPr>
                <w:i/>
                <w:sz w:val="20"/>
                <w:vertAlign w:val="baseline"/>
              </w:rPr>
              <w:t>HOW DOES IT:-</w:t>
            </w:r>
          </w:p>
        </w:tc>
        <w:tc>
          <w:tcPr>
            <w:tcW w:w="80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4"/>
              <w:ind w:left="14"/>
              <w:jc w:val="center"/>
              <w:rPr>
                <w:sz w:val="20"/>
              </w:rPr>
            </w:pPr>
            <w:r>
              <w:rPr>
                <w:color w:val="0000FF"/>
                <w:w w:val="99"/>
                <w:sz w:val="20"/>
              </w:rPr>
              <w:t>+</w:t>
            </w:r>
          </w:p>
          <w:p>
            <w:pPr>
              <w:pStyle w:val="TableParagraph"/>
              <w:rPr>
                <w:sz w:val="22"/>
              </w:rPr>
            </w:pPr>
          </w:p>
          <w:p>
            <w:pPr>
              <w:pStyle w:val="TableParagraph"/>
              <w:spacing w:before="11"/>
              <w:rPr>
                <w:sz w:val="17"/>
              </w:rPr>
            </w:pPr>
          </w:p>
          <w:p>
            <w:pPr>
              <w:pStyle w:val="TableParagraph"/>
              <w:ind w:left="14"/>
              <w:jc w:val="center"/>
              <w:rPr>
                <w:sz w:val="20"/>
              </w:rPr>
            </w:pPr>
            <w:r>
              <w:rPr>
                <w:color w:val="0000FF"/>
                <w:w w:val="99"/>
                <w:sz w:val="20"/>
              </w:rPr>
              <w:t>+</w:t>
            </w:r>
          </w:p>
        </w:tc>
        <w:tc>
          <w:tcPr>
            <w:tcW w:w="2104" w:type="dxa"/>
            <w:vMerge w:val="restart"/>
          </w:tcPr>
          <w:p>
            <w:pPr>
              <w:pStyle w:val="TableParagraph"/>
              <w:rPr>
                <w:sz w:val="22"/>
              </w:rPr>
            </w:pPr>
          </w:p>
          <w:p>
            <w:pPr>
              <w:pStyle w:val="TableParagraph"/>
              <w:rPr>
                <w:sz w:val="22"/>
              </w:rPr>
            </w:pPr>
          </w:p>
          <w:p>
            <w:pPr>
              <w:pStyle w:val="TableParagraph"/>
              <w:spacing w:before="180"/>
              <w:ind w:left="110" w:right="185"/>
              <w:rPr>
                <w:sz w:val="20"/>
              </w:rPr>
            </w:pPr>
            <w:r>
              <w:rPr>
                <w:color w:val="0000FF"/>
                <w:sz w:val="20"/>
              </w:rPr>
              <w:t>Measure 18 – pump operation carbon reduction</w:t>
            </w:r>
          </w:p>
          <w:p>
            <w:pPr>
              <w:pStyle w:val="TableParagraph"/>
              <w:spacing w:before="10"/>
              <w:rPr>
                <w:sz w:val="19"/>
              </w:rPr>
            </w:pPr>
          </w:p>
          <w:p>
            <w:pPr>
              <w:pStyle w:val="TableParagraph"/>
              <w:ind w:left="110" w:right="105"/>
              <w:rPr>
                <w:sz w:val="20"/>
              </w:rPr>
            </w:pPr>
            <w:r>
              <w:rPr>
                <w:color w:val="0000FF"/>
                <w:sz w:val="20"/>
              </w:rPr>
              <w:t>Potential incorporation of hydro electric, solar panels, wind</w:t>
            </w:r>
            <w:r>
              <w:rPr>
                <w:color w:val="0000FF"/>
                <w:spacing w:val="-14"/>
                <w:sz w:val="20"/>
              </w:rPr>
              <w:t> </w:t>
            </w:r>
            <w:r>
              <w:rPr>
                <w:color w:val="0000FF"/>
                <w:sz w:val="20"/>
              </w:rPr>
              <w:t>turbines</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sz w:val="22"/>
              </w:rPr>
            </w:pPr>
          </w:p>
          <w:p>
            <w:pPr>
              <w:pStyle w:val="TableParagraph"/>
              <w:rPr>
                <w:sz w:val="22"/>
              </w:rPr>
            </w:pPr>
          </w:p>
          <w:p>
            <w:pPr>
              <w:pStyle w:val="TableParagraph"/>
              <w:spacing w:before="180"/>
              <w:ind w:left="112" w:right="122"/>
              <w:rPr>
                <w:sz w:val="20"/>
              </w:rPr>
            </w:pPr>
            <w:r>
              <w:rPr>
                <w:color w:val="0000FF"/>
                <w:sz w:val="20"/>
              </w:rPr>
              <w:t>Strengthen objectives to include reference to low carbon</w:t>
            </w:r>
          </w:p>
        </w:tc>
      </w:tr>
      <w:tr>
        <w:trPr>
          <w:trHeight w:val="690"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ind w:left="109"/>
              <w:rPr>
                <w:i/>
                <w:sz w:val="20"/>
              </w:rPr>
            </w:pPr>
            <w:r>
              <w:rPr>
                <w:i/>
                <w:sz w:val="20"/>
              </w:rPr>
              <w:t>A) INCREASE ENERGY EFFICIENCY?</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921"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ind w:left="108" w:right="157"/>
              <w:rPr>
                <w:i/>
                <w:sz w:val="20"/>
              </w:rPr>
            </w:pPr>
            <w:r>
              <w:rPr>
                <w:i/>
                <w:sz w:val="20"/>
              </w:rPr>
              <w:t>B) PROVIDE FOR LOW AND ZERO CARBON GENERATION?</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bl>
    <w:p>
      <w:pPr>
        <w:pStyle w:val="BodyText"/>
        <w:rPr>
          <w:sz w:val="20"/>
        </w:rPr>
      </w:pPr>
    </w:p>
    <w:p>
      <w:pPr>
        <w:pStyle w:val="BodyText"/>
        <w:rPr>
          <w:sz w:val="20"/>
        </w:rPr>
      </w:pPr>
    </w:p>
    <w:p>
      <w:pPr>
        <w:pStyle w:val="BodyText"/>
        <w:spacing w:before="5"/>
        <w:rPr>
          <w:sz w:val="24"/>
        </w:rPr>
      </w:pPr>
    </w:p>
    <w:p>
      <w:pPr>
        <w:pStyle w:val="ListParagraph"/>
        <w:numPr>
          <w:ilvl w:val="0"/>
          <w:numId w:val="55"/>
        </w:numPr>
        <w:tabs>
          <w:tab w:pos="341" w:val="left" w:leader="none"/>
        </w:tabs>
        <w:spacing w:line="254" w:lineRule="exact" w:before="101" w:after="0"/>
        <w:ind w:left="340" w:right="0" w:hanging="120"/>
        <w:jc w:val="left"/>
        <w:rPr>
          <w:sz w:val="20"/>
        </w:rPr>
      </w:pPr>
      <w:r>
        <w:rPr>
          <w:sz w:val="20"/>
        </w:rPr>
        <w:t>SEA Directive:</w:t>
      </w:r>
      <w:r>
        <w:rPr>
          <w:spacing w:val="2"/>
          <w:sz w:val="20"/>
        </w:rPr>
        <w:t> </w:t>
      </w:r>
      <w:r>
        <w:rPr>
          <w:sz w:val="20"/>
        </w:rPr>
        <w:t>Soil</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Material</w:t>
      </w:r>
      <w:r>
        <w:rPr>
          <w:spacing w:val="2"/>
          <w:sz w:val="20"/>
        </w:rPr>
        <w:t> </w:t>
      </w:r>
      <w:r>
        <w:rPr>
          <w:sz w:val="20"/>
        </w:rPr>
        <w:t>assets</w:t>
      </w:r>
    </w:p>
    <w:p>
      <w:pPr>
        <w:spacing w:after="0" w:line="254" w:lineRule="exact"/>
        <w:jc w:val="left"/>
        <w:rPr>
          <w:sz w:val="20"/>
        </w:rPr>
        <w:sectPr>
          <w:footerReference w:type="default" r:id="rId82"/>
          <w:footerReference w:type="even" r:id="rId83"/>
          <w:pgSz w:w="16840" w:h="11910" w:orient="landscape"/>
          <w:pgMar w:footer="822" w:header="0" w:top="1100" w:bottom="1020" w:left="1220" w:right="740"/>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tcBorders>
              <w:bottom w:val="nil"/>
            </w:tcBorders>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tcBorders>
              <w:bottom w:val="nil"/>
            </w:tcBorders>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bottom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bottom w:val="nil"/>
            </w:tcBorders>
            <w:shd w:val="clear" w:color="auto" w:fill="FF0000"/>
          </w:tcPr>
          <w:p>
            <w:pPr>
              <w:rPr>
                <w:sz w:val="2"/>
                <w:szCs w:val="2"/>
              </w:rPr>
            </w:pPr>
          </w:p>
        </w:tc>
      </w:tr>
      <w:tr>
        <w:trPr>
          <w:trHeight w:val="918" w:hRule="atLeast"/>
        </w:trPr>
        <w:tc>
          <w:tcPr>
            <w:tcW w:w="2846" w:type="dxa"/>
          </w:tcPr>
          <w:p>
            <w:pPr>
              <w:pStyle w:val="TableParagraph"/>
              <w:rPr>
                <w:rFonts w:ascii="Times New Roman"/>
                <w:sz w:val="18"/>
              </w:rPr>
            </w:pPr>
          </w:p>
        </w:tc>
        <w:tc>
          <w:tcPr>
            <w:tcW w:w="2416" w:type="dxa"/>
            <w:tcBorders>
              <w:top w:val="nil"/>
            </w:tcBorders>
          </w:tcPr>
          <w:p>
            <w:pPr>
              <w:pStyle w:val="TableParagraph"/>
              <w:rPr>
                <w:rFonts w:ascii="Times New Roman"/>
                <w:sz w:val="18"/>
              </w:rPr>
            </w:pPr>
          </w:p>
        </w:tc>
        <w:tc>
          <w:tcPr>
            <w:tcW w:w="2918" w:type="dxa"/>
          </w:tcPr>
          <w:p>
            <w:pPr>
              <w:pStyle w:val="TableParagraph"/>
              <w:ind w:left="109" w:right="320"/>
              <w:rPr>
                <w:i/>
                <w:sz w:val="20"/>
              </w:rPr>
            </w:pPr>
            <w:r>
              <w:rPr>
                <w:i/>
                <w:sz w:val="20"/>
              </w:rPr>
              <w:t>C) PROVIDE FOR LOCAL ENERGY (INCLUDING HEAT) DISTRIBUTION?</w:t>
            </w:r>
          </w:p>
        </w:tc>
        <w:tc>
          <w:tcPr>
            <w:tcW w:w="801" w:type="dxa"/>
          </w:tcPr>
          <w:p>
            <w:pPr>
              <w:pStyle w:val="TableParagraph"/>
              <w:spacing w:line="227" w:lineRule="exact"/>
              <w:ind w:left="14"/>
              <w:jc w:val="center"/>
              <w:rPr>
                <w:sz w:val="20"/>
              </w:rPr>
            </w:pPr>
            <w:r>
              <w:rPr>
                <w:color w:val="0000FF"/>
                <w:w w:val="99"/>
                <w:sz w:val="20"/>
              </w:rPr>
              <w:t>+</w:t>
            </w:r>
          </w:p>
        </w:tc>
        <w:tc>
          <w:tcPr>
            <w:tcW w:w="2104" w:type="dxa"/>
          </w:tcPr>
          <w:p>
            <w:pPr>
              <w:pStyle w:val="TableParagraph"/>
              <w:spacing w:line="227" w:lineRule="exact"/>
              <w:ind w:left="110"/>
              <w:rPr>
                <w:sz w:val="20"/>
              </w:rPr>
            </w:pPr>
            <w:r>
              <w:rPr>
                <w:color w:val="0000FF"/>
                <w:sz w:val="20"/>
              </w:rPr>
              <w:t>in schemes</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Borders>
              <w:top w:val="nil"/>
            </w:tcBorders>
          </w:tcPr>
          <w:p>
            <w:pPr>
              <w:pStyle w:val="TableParagraph"/>
              <w:rPr>
                <w:rFonts w:ascii="Times New Roman"/>
                <w:sz w:val="18"/>
              </w:rPr>
            </w:pPr>
          </w:p>
        </w:tc>
      </w:tr>
      <w:tr>
        <w:trPr>
          <w:trHeight w:val="2529"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ind w:left="108" w:right="110" w:hanging="1"/>
              <w:rPr>
                <w:i/>
                <w:sz w:val="20"/>
              </w:rPr>
            </w:pPr>
            <w:r>
              <w:rPr>
                <w:sz w:val="20"/>
              </w:rPr>
              <w:t>SA14: Health </w:t>
            </w:r>
            <w:r>
              <w:rPr>
                <w:i/>
                <w:sz w:val="20"/>
              </w:rPr>
              <w:t>Community CHP projects could reduce fuel poverty by providing cheap or free sources of heat to homes, and would therefore alleviate ill health resulting from living on cold or damp conditions (particularly</w:t>
            </w:r>
          </w:p>
          <w:p>
            <w:pPr>
              <w:pStyle w:val="TableParagraph"/>
              <w:spacing w:line="212" w:lineRule="exact"/>
              <w:ind w:left="108"/>
              <w:rPr>
                <w:i/>
                <w:sz w:val="20"/>
              </w:rPr>
            </w:pPr>
            <w:r>
              <w:rPr>
                <w:i/>
                <w:sz w:val="20"/>
              </w:rPr>
              <w:t>for the elderly).</w:t>
            </w:r>
          </w:p>
        </w:tc>
        <w:tc>
          <w:tcPr>
            <w:tcW w:w="2918" w:type="dxa"/>
            <w:shd w:val="clear" w:color="auto" w:fill="CCFFCC"/>
          </w:tcPr>
          <w:p>
            <w:pPr>
              <w:pStyle w:val="TableParagraph"/>
              <w:spacing w:line="242" w:lineRule="exact"/>
              <w:ind w:left="109"/>
              <w:rPr>
                <w:rFonts w:ascii="Symbol" w:hAnsi="Symbol"/>
                <w:sz w:val="20"/>
              </w:rPr>
            </w:pPr>
            <w:r>
              <w:rPr>
                <w:sz w:val="20"/>
              </w:rPr>
              <w:t>SA14: Health</w:t>
            </w:r>
            <w:r>
              <w:rPr>
                <w:rFonts w:ascii="Symbol" w:hAnsi="Symbol"/>
                <w:sz w:val="20"/>
                <w:vertAlign w:val="superscript"/>
              </w:rPr>
              <w:t></w:t>
            </w:r>
          </w:p>
          <w:p>
            <w:pPr>
              <w:pStyle w:val="TableParagraph"/>
              <w:ind w:left="109" w:right="244"/>
              <w:rPr>
                <w:i/>
                <w:sz w:val="20"/>
              </w:rPr>
            </w:pPr>
            <w:r>
              <w:rPr>
                <w:i/>
                <w:sz w:val="20"/>
              </w:rPr>
              <w:t>How does the contribution to energy and low carbon generation affect health and health inequalities?</w:t>
            </w:r>
          </w:p>
        </w:tc>
        <w:tc>
          <w:tcPr>
            <w:tcW w:w="801" w:type="dxa"/>
          </w:tcPr>
          <w:p>
            <w:pPr>
              <w:pStyle w:val="TableParagraph"/>
              <w:rPr>
                <w:sz w:val="22"/>
              </w:rPr>
            </w:pPr>
          </w:p>
          <w:p>
            <w:pPr>
              <w:pStyle w:val="TableParagraph"/>
              <w:rPr>
                <w:sz w:val="22"/>
              </w:rPr>
            </w:pPr>
          </w:p>
          <w:p>
            <w:pPr>
              <w:pStyle w:val="TableParagraph"/>
              <w:spacing w:before="182"/>
              <w:ind w:left="13"/>
              <w:jc w:val="center"/>
              <w:rPr>
                <w:sz w:val="20"/>
              </w:rPr>
            </w:pPr>
            <w:r>
              <w:rPr>
                <w:color w:val="0000FF"/>
                <w:w w:val="99"/>
                <w:sz w:val="20"/>
              </w:rPr>
              <w:t>0</w:t>
            </w:r>
          </w:p>
        </w:tc>
        <w:tc>
          <w:tcPr>
            <w:tcW w:w="2104" w:type="dxa"/>
          </w:tcPr>
          <w:p>
            <w:pPr>
              <w:pStyle w:val="TableParagraph"/>
              <w:rPr>
                <w:sz w:val="22"/>
              </w:rPr>
            </w:pPr>
          </w:p>
          <w:p>
            <w:pPr>
              <w:pStyle w:val="TableParagraph"/>
              <w:rPr>
                <w:sz w:val="22"/>
              </w:rPr>
            </w:pPr>
          </w:p>
          <w:p>
            <w:pPr>
              <w:pStyle w:val="TableParagraph"/>
              <w:spacing w:before="182"/>
              <w:ind w:left="110" w:right="352"/>
              <w:rPr>
                <w:sz w:val="20"/>
              </w:rPr>
            </w:pPr>
            <w:r>
              <w:rPr>
                <w:color w:val="0000FF"/>
                <w:sz w:val="20"/>
              </w:rPr>
              <w:t>Neutral impact – could possibly sell on electricity</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1840"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ind w:left="108" w:hanging="1"/>
              <w:rPr>
                <w:sz w:val="20"/>
              </w:rPr>
            </w:pPr>
            <w:r>
              <w:rPr>
                <w:sz w:val="20"/>
              </w:rPr>
              <w:t>SA18: Climate change mitigation</w:t>
            </w:r>
          </w:p>
          <w:p>
            <w:pPr>
              <w:pStyle w:val="TableParagraph"/>
              <w:ind w:left="108" w:right="130"/>
              <w:rPr>
                <w:i/>
                <w:sz w:val="20"/>
              </w:rPr>
            </w:pPr>
            <w:r>
              <w:rPr>
                <w:i/>
                <w:sz w:val="20"/>
              </w:rPr>
              <w:t>Increasing energy efficiency and introducing alternative local energy generation are likely to produce</w:t>
            </w:r>
          </w:p>
          <w:p>
            <w:pPr>
              <w:pStyle w:val="TableParagraph"/>
              <w:spacing w:line="215" w:lineRule="exact"/>
              <w:ind w:left="108"/>
              <w:rPr>
                <w:i/>
                <w:sz w:val="20"/>
              </w:rPr>
            </w:pPr>
            <w:r>
              <w:rPr>
                <w:i/>
                <w:sz w:val="20"/>
              </w:rPr>
              <w:t>fewer carbon emissions.</w:t>
            </w:r>
          </w:p>
        </w:tc>
        <w:tc>
          <w:tcPr>
            <w:tcW w:w="2918" w:type="dxa"/>
            <w:shd w:val="clear" w:color="auto" w:fill="FFFF98"/>
          </w:tcPr>
          <w:p>
            <w:pPr>
              <w:pStyle w:val="TableParagraph"/>
              <w:spacing w:line="244" w:lineRule="auto"/>
              <w:ind w:left="109"/>
              <w:rPr>
                <w:rFonts w:ascii="Symbol" w:hAnsi="Symbol"/>
                <w:sz w:val="20"/>
              </w:rPr>
            </w:pPr>
            <w:r>
              <w:rPr>
                <w:sz w:val="20"/>
              </w:rPr>
              <w:t>SA18: Climate change mitigation</w:t>
            </w:r>
            <w:r>
              <w:rPr>
                <w:rFonts w:ascii="Symbol" w:hAnsi="Symbol"/>
                <w:sz w:val="20"/>
                <w:vertAlign w:val="superscript"/>
              </w:rPr>
              <w:t></w:t>
            </w:r>
          </w:p>
          <w:p>
            <w:pPr>
              <w:pStyle w:val="TableParagraph"/>
              <w:ind w:left="109" w:right="244"/>
              <w:rPr>
                <w:i/>
                <w:sz w:val="20"/>
              </w:rPr>
            </w:pPr>
            <w:r>
              <w:rPr>
                <w:i/>
                <w:sz w:val="20"/>
              </w:rPr>
              <w:t>How does the contribution to energy and low carbon generation affect climate change mitigation?</w:t>
            </w:r>
          </w:p>
        </w:tc>
        <w:tc>
          <w:tcPr>
            <w:tcW w:w="801" w:type="dxa"/>
          </w:tcPr>
          <w:p>
            <w:pPr>
              <w:pStyle w:val="TableParagraph"/>
              <w:spacing w:before="8"/>
              <w:rPr>
                <w:sz w:val="19"/>
              </w:rPr>
            </w:pPr>
          </w:p>
          <w:p>
            <w:pPr>
              <w:pStyle w:val="TableParagraph"/>
              <w:spacing w:before="1"/>
              <w:ind w:left="12"/>
              <w:jc w:val="center"/>
              <w:rPr>
                <w:sz w:val="20"/>
              </w:rPr>
            </w:pPr>
            <w:r>
              <w:rPr>
                <w:color w:val="0000FF"/>
                <w:w w:val="99"/>
                <w:sz w:val="20"/>
              </w:rPr>
              <w:t>-</w:t>
            </w:r>
          </w:p>
        </w:tc>
        <w:tc>
          <w:tcPr>
            <w:tcW w:w="2104" w:type="dxa"/>
          </w:tcPr>
          <w:p>
            <w:pPr>
              <w:pStyle w:val="TableParagraph"/>
              <w:spacing w:before="8"/>
              <w:rPr>
                <w:sz w:val="19"/>
              </w:rPr>
            </w:pPr>
          </w:p>
          <w:p>
            <w:pPr>
              <w:pStyle w:val="TableParagraph"/>
              <w:spacing w:before="1"/>
              <w:ind w:left="110" w:right="107"/>
              <w:rPr>
                <w:sz w:val="20"/>
              </w:rPr>
            </w:pPr>
            <w:r>
              <w:rPr>
                <w:color w:val="0000FF"/>
                <w:sz w:val="20"/>
              </w:rPr>
              <w:t>More pumping would be bad for the environment but potentially offset by green energy</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spacing w:before="8"/>
              <w:rPr>
                <w:sz w:val="19"/>
              </w:rPr>
            </w:pPr>
          </w:p>
          <w:p>
            <w:pPr>
              <w:pStyle w:val="TableParagraph"/>
              <w:spacing w:before="1"/>
              <w:ind w:left="112" w:right="122"/>
              <w:rPr>
                <w:sz w:val="20"/>
              </w:rPr>
            </w:pPr>
            <w:r>
              <w:rPr>
                <w:color w:val="0000FF"/>
                <w:sz w:val="20"/>
              </w:rPr>
              <w:t>Strengthen objectives to include reference to low carbon</w:t>
            </w:r>
          </w:p>
        </w:tc>
      </w:tr>
      <w:tr>
        <w:trPr>
          <w:trHeight w:val="1396"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spacing w:line="226" w:lineRule="exact"/>
              <w:ind w:left="108"/>
              <w:rPr>
                <w:sz w:val="20"/>
              </w:rPr>
            </w:pPr>
            <w:r>
              <w:rPr>
                <w:sz w:val="20"/>
              </w:rPr>
              <w:t>SA20: Waste</w:t>
            </w:r>
          </w:p>
          <w:p>
            <w:pPr>
              <w:pStyle w:val="TableParagraph"/>
              <w:ind w:left="108"/>
              <w:rPr>
                <w:i/>
                <w:sz w:val="20"/>
              </w:rPr>
            </w:pPr>
            <w:r>
              <w:rPr>
                <w:i/>
                <w:sz w:val="20"/>
              </w:rPr>
              <w:t>New energy production processes are likely to involve energy-from- waste</w:t>
            </w:r>
          </w:p>
        </w:tc>
        <w:tc>
          <w:tcPr>
            <w:tcW w:w="2918" w:type="dxa"/>
          </w:tcPr>
          <w:p>
            <w:pPr>
              <w:pStyle w:val="TableParagraph"/>
              <w:spacing w:line="242" w:lineRule="exact"/>
              <w:ind w:left="109"/>
              <w:rPr>
                <w:rFonts w:ascii="Symbol" w:hAnsi="Symbol"/>
                <w:sz w:val="20"/>
              </w:rPr>
            </w:pPr>
            <w:r>
              <w:rPr>
                <w:sz w:val="20"/>
              </w:rPr>
              <w:t>SA20: Waste</w:t>
            </w:r>
            <w:r>
              <w:rPr>
                <w:rFonts w:ascii="Symbol" w:hAnsi="Symbol"/>
                <w:sz w:val="20"/>
                <w:vertAlign w:val="superscript"/>
              </w:rPr>
              <w:t></w:t>
            </w:r>
          </w:p>
          <w:p>
            <w:pPr>
              <w:pStyle w:val="TableParagraph"/>
              <w:ind w:left="109" w:right="244"/>
              <w:rPr>
                <w:i/>
                <w:sz w:val="20"/>
              </w:rPr>
            </w:pPr>
            <w:r>
              <w:rPr>
                <w:i/>
                <w:sz w:val="20"/>
              </w:rPr>
              <w:t>How does the contribution to energy and low carbon generation affect waste and waste management?</w:t>
            </w:r>
          </w:p>
        </w:tc>
        <w:tc>
          <w:tcPr>
            <w:tcW w:w="801" w:type="dxa"/>
          </w:tcPr>
          <w:p>
            <w:pPr>
              <w:pStyle w:val="TableParagraph"/>
              <w:spacing w:before="8"/>
              <w:rPr>
                <w:sz w:val="19"/>
              </w:rPr>
            </w:pPr>
          </w:p>
          <w:p>
            <w:pPr>
              <w:pStyle w:val="TableParagraph"/>
              <w:spacing w:before="1"/>
              <w:ind w:left="14"/>
              <w:jc w:val="center"/>
              <w:rPr>
                <w:sz w:val="20"/>
              </w:rPr>
            </w:pPr>
            <w:r>
              <w:rPr>
                <w:color w:val="0000FF"/>
                <w:w w:val="99"/>
                <w:sz w:val="20"/>
              </w:rPr>
              <w:t>+</w:t>
            </w:r>
          </w:p>
        </w:tc>
        <w:tc>
          <w:tcPr>
            <w:tcW w:w="2104" w:type="dxa"/>
          </w:tcPr>
          <w:p>
            <w:pPr>
              <w:pStyle w:val="TableParagraph"/>
              <w:spacing w:before="8"/>
              <w:rPr>
                <w:sz w:val="19"/>
              </w:rPr>
            </w:pPr>
          </w:p>
          <w:p>
            <w:pPr>
              <w:pStyle w:val="TableParagraph"/>
              <w:spacing w:before="1"/>
              <w:ind w:left="110" w:right="583"/>
              <w:jc w:val="both"/>
              <w:rPr>
                <w:sz w:val="20"/>
              </w:rPr>
            </w:pPr>
            <w:r>
              <w:rPr>
                <w:color w:val="0000FF"/>
                <w:sz w:val="20"/>
              </w:rPr>
              <w:t>Management of (waste) water is improved</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bl>
    <w:p>
      <w:pPr>
        <w:pStyle w:val="BodyText"/>
        <w:spacing w:before="1"/>
      </w:pPr>
      <w:r>
        <w:rPr/>
        <w:pict>
          <v:line style="position:absolute;mso-position-horizontal-relative:page;mso-position-vertical-relative:paragraph;z-index:1736;mso-wrap-distance-left:0;mso-wrap-distance-right:0" from="72pt,15.540001pt" to="216.000005pt,15.540001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 Human</w:t>
      </w:r>
      <w:r>
        <w:rPr>
          <w:spacing w:val="1"/>
          <w:sz w:val="20"/>
        </w:rPr>
        <w:t> </w:t>
      </w:r>
      <w:r>
        <w:rPr>
          <w:sz w:val="20"/>
        </w:rPr>
        <w:t>health</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Climatic</w:t>
      </w:r>
      <w:r>
        <w:rPr>
          <w:spacing w:val="2"/>
          <w:sz w:val="20"/>
        </w:rPr>
        <w:t> </w:t>
      </w:r>
      <w:r>
        <w:rPr>
          <w:sz w:val="20"/>
        </w:rPr>
        <w:t>factors</w:t>
      </w:r>
    </w:p>
    <w:p>
      <w:pPr>
        <w:spacing w:after="0" w:line="254" w:lineRule="exact"/>
        <w:jc w:val="left"/>
        <w:rPr>
          <w:sz w:val="20"/>
        </w:rPr>
        <w:sectPr>
          <w:pgSz w:w="16840" w:h="11910" w:orient="landscape"/>
          <w:pgMar w:header="0" w:footer="822" w:top="1100" w:bottom="1020" w:left="1220" w:right="740"/>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1163" w:hRule="atLeast"/>
        </w:trPr>
        <w:tc>
          <w:tcPr>
            <w:tcW w:w="2846" w:type="dxa"/>
            <w:vMerge w:val="restart"/>
          </w:tcPr>
          <w:p>
            <w:pPr>
              <w:pStyle w:val="TableParagraph"/>
              <w:ind w:left="107" w:right="352"/>
              <w:rPr>
                <w:i/>
                <w:sz w:val="20"/>
              </w:rPr>
            </w:pPr>
            <w:r>
              <w:rPr>
                <w:b/>
                <w:sz w:val="20"/>
              </w:rPr>
              <w:t>UPSTREAM SA8: RESOURCE CONSUMPTION </w:t>
            </w:r>
            <w:r>
              <w:rPr>
                <w:i/>
                <w:sz w:val="20"/>
              </w:rPr>
              <w:t>REDUCE RESOURCE CONSUMPTION AND ENCOURAGE</w:t>
            </w:r>
            <w:r>
              <w:rPr>
                <w:i/>
                <w:spacing w:val="-5"/>
                <w:sz w:val="20"/>
              </w:rPr>
              <w:t> </w:t>
            </w:r>
            <w:r>
              <w:rPr>
                <w:i/>
                <w:sz w:val="20"/>
              </w:rPr>
              <w:t>EFFICIENT USE OF NATURAL RESOURCES</w:t>
            </w:r>
          </w:p>
        </w:tc>
        <w:tc>
          <w:tcPr>
            <w:tcW w:w="2416" w:type="dxa"/>
            <w:vMerge w:val="restart"/>
          </w:tcPr>
          <w:p>
            <w:pPr>
              <w:pStyle w:val="TableParagraph"/>
              <w:rPr>
                <w:rFonts w:ascii="Times New Roman"/>
                <w:sz w:val="18"/>
              </w:rPr>
            </w:pPr>
          </w:p>
        </w:tc>
        <w:tc>
          <w:tcPr>
            <w:tcW w:w="2918" w:type="dxa"/>
          </w:tcPr>
          <w:p>
            <w:pPr>
              <w:pStyle w:val="TableParagraph"/>
              <w:spacing w:line="244" w:lineRule="auto"/>
              <w:ind w:left="109" w:right="1134"/>
              <w:rPr>
                <w:rFonts w:ascii="Symbol" w:hAnsi="Symbol"/>
                <w:b/>
                <w:sz w:val="20"/>
              </w:rPr>
            </w:pPr>
            <w:r>
              <w:rPr>
                <w:b/>
                <w:sz w:val="20"/>
              </w:rPr>
              <w:t>SA8: RESOURCE CONSUMPTION</w:t>
            </w:r>
            <w:r>
              <w:rPr>
                <w:rFonts w:ascii="Symbol" w:hAnsi="Symbol"/>
                <w:b/>
                <w:sz w:val="20"/>
                <w:vertAlign w:val="superscript"/>
              </w:rPr>
              <w:t></w:t>
            </w:r>
          </w:p>
          <w:p>
            <w:pPr>
              <w:pStyle w:val="TableParagraph"/>
              <w:spacing w:line="237" w:lineRule="auto"/>
              <w:ind w:left="109"/>
              <w:rPr>
                <w:i/>
                <w:sz w:val="20"/>
              </w:rPr>
            </w:pPr>
            <w:r>
              <w:rPr>
                <w:i/>
                <w:sz w:val="20"/>
              </w:rPr>
              <w:t>HOW DOES IT REDUCE THE USE OF RESOURCES BY:-</w:t>
            </w:r>
          </w:p>
        </w:tc>
        <w:tc>
          <w:tcPr>
            <w:tcW w:w="80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31"/>
              </w:rPr>
            </w:pPr>
          </w:p>
          <w:p>
            <w:pPr>
              <w:pStyle w:val="TableParagraph"/>
              <w:ind w:left="14"/>
              <w:jc w:val="center"/>
              <w:rPr>
                <w:sz w:val="20"/>
              </w:rPr>
            </w:pPr>
            <w:r>
              <w:rPr>
                <w:color w:val="0000FF"/>
                <w:w w:val="99"/>
                <w:sz w:val="20"/>
              </w:rPr>
              <w:t>+</w:t>
            </w:r>
          </w:p>
          <w:p>
            <w:pPr>
              <w:pStyle w:val="TableParagraph"/>
              <w:rPr>
                <w:sz w:val="22"/>
              </w:rPr>
            </w:pPr>
          </w:p>
          <w:p>
            <w:pPr>
              <w:pStyle w:val="TableParagraph"/>
              <w:rPr>
                <w:sz w:val="22"/>
              </w:rPr>
            </w:pPr>
          </w:p>
          <w:p>
            <w:pPr>
              <w:pStyle w:val="TableParagraph"/>
              <w:spacing w:before="184"/>
              <w:ind w:left="14"/>
              <w:jc w:val="center"/>
              <w:rPr>
                <w:sz w:val="20"/>
              </w:rPr>
            </w:pPr>
            <w:r>
              <w:rPr>
                <w:color w:val="0000FF"/>
                <w:w w:val="99"/>
                <w:sz w:val="20"/>
              </w:rPr>
              <w:t>+</w:t>
            </w:r>
          </w:p>
          <w:p>
            <w:pPr>
              <w:pStyle w:val="TableParagraph"/>
              <w:rPr>
                <w:sz w:val="22"/>
              </w:rPr>
            </w:pPr>
          </w:p>
          <w:p>
            <w:pPr>
              <w:pStyle w:val="TableParagraph"/>
              <w:spacing w:before="10"/>
              <w:rPr>
                <w:sz w:val="17"/>
              </w:rPr>
            </w:pPr>
          </w:p>
          <w:p>
            <w:pPr>
              <w:pStyle w:val="TableParagraph"/>
              <w:ind w:left="14"/>
              <w:jc w:val="center"/>
              <w:rPr>
                <w:sz w:val="20"/>
              </w:rPr>
            </w:pPr>
            <w:r>
              <w:rPr>
                <w:color w:val="0000FF"/>
                <w:w w:val="99"/>
                <w:sz w:val="20"/>
              </w:rPr>
              <w:t>+</w:t>
            </w:r>
          </w:p>
          <w:p>
            <w:pPr>
              <w:pStyle w:val="TableParagraph"/>
              <w:rPr>
                <w:sz w:val="22"/>
              </w:rPr>
            </w:pPr>
          </w:p>
          <w:p>
            <w:pPr>
              <w:pStyle w:val="TableParagraph"/>
              <w:rPr>
                <w:sz w:val="22"/>
              </w:rPr>
            </w:pPr>
          </w:p>
          <w:p>
            <w:pPr>
              <w:pStyle w:val="TableParagraph"/>
              <w:spacing w:before="186"/>
              <w:ind w:left="14"/>
              <w:jc w:val="center"/>
              <w:rPr>
                <w:sz w:val="20"/>
              </w:rPr>
            </w:pPr>
            <w:r>
              <w:rPr>
                <w:color w:val="0000FF"/>
                <w:w w:val="99"/>
                <w:sz w:val="20"/>
              </w:rPr>
              <w:t>+</w:t>
            </w:r>
          </w:p>
        </w:tc>
        <w:tc>
          <w:tcPr>
            <w:tcW w:w="210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31"/>
              </w:rPr>
            </w:pPr>
          </w:p>
          <w:p>
            <w:pPr>
              <w:pStyle w:val="TableParagraph"/>
              <w:ind w:left="110" w:right="174"/>
              <w:rPr>
                <w:sz w:val="20"/>
              </w:rPr>
            </w:pPr>
            <w:r>
              <w:rPr>
                <w:color w:val="0000FF"/>
                <w:sz w:val="20"/>
              </w:rPr>
              <w:t>Re-use of materials, sustainable materials, SuDS</w:t>
            </w:r>
          </w:p>
          <w:p>
            <w:pPr>
              <w:pStyle w:val="TableParagraph"/>
              <w:spacing w:before="11"/>
              <w:rPr>
                <w:sz w:val="19"/>
              </w:rPr>
            </w:pPr>
          </w:p>
          <w:p>
            <w:pPr>
              <w:pStyle w:val="TableParagraph"/>
              <w:ind w:left="110" w:right="374"/>
              <w:rPr>
                <w:sz w:val="20"/>
              </w:rPr>
            </w:pPr>
            <w:r>
              <w:rPr>
                <w:color w:val="0000FF"/>
                <w:sz w:val="20"/>
              </w:rPr>
              <w:t>Choice of building materials</w:t>
            </w:r>
          </w:p>
          <w:p>
            <w:pPr>
              <w:pStyle w:val="TableParagraph"/>
              <w:spacing w:before="10"/>
              <w:rPr>
                <w:sz w:val="19"/>
              </w:rPr>
            </w:pPr>
          </w:p>
          <w:p>
            <w:pPr>
              <w:pStyle w:val="TableParagraph"/>
              <w:ind w:left="110" w:right="162"/>
              <w:rPr>
                <w:sz w:val="20"/>
              </w:rPr>
            </w:pPr>
            <w:r>
              <w:rPr>
                <w:color w:val="0000FF"/>
                <w:sz w:val="20"/>
              </w:rPr>
              <w:t>Sustainable scheme design and implementation</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vMerge w:val="restart"/>
          </w:tcPr>
          <w:p>
            <w:pPr>
              <w:pStyle w:val="TableParagraph"/>
              <w:rPr>
                <w:rFonts w:ascii="Times New Roman"/>
                <w:sz w:val="18"/>
              </w:rPr>
            </w:pPr>
          </w:p>
        </w:tc>
      </w:tr>
      <w:tr>
        <w:trPr>
          <w:trHeight w:val="690"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spacing w:line="225" w:lineRule="exact"/>
              <w:ind w:left="109"/>
              <w:rPr>
                <w:i/>
                <w:sz w:val="20"/>
              </w:rPr>
            </w:pPr>
            <w:r>
              <w:rPr>
                <w:i/>
                <w:sz w:val="20"/>
              </w:rPr>
              <w:t>A) REUSING RESOURCES?</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918"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ind w:left="109" w:right="112"/>
              <w:rPr>
                <w:i/>
                <w:sz w:val="20"/>
              </w:rPr>
            </w:pPr>
            <w:r>
              <w:rPr>
                <w:i/>
                <w:sz w:val="20"/>
              </w:rPr>
              <w:t>B) DIVERTING RESOURCES FROM THE WASTE STREAM?</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690"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ind w:left="109" w:right="190"/>
              <w:rPr>
                <w:i/>
                <w:sz w:val="20"/>
              </w:rPr>
            </w:pPr>
            <w:r>
              <w:rPr>
                <w:i/>
                <w:sz w:val="20"/>
              </w:rPr>
              <w:t>C) MINIMISING RESOURCE USE?</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149" w:hRule="atLeast"/>
        </w:trPr>
        <w:tc>
          <w:tcPr>
            <w:tcW w:w="2846" w:type="dxa"/>
            <w:vMerge/>
            <w:tcBorders>
              <w:top w:val="nil"/>
            </w:tcBorders>
          </w:tcPr>
          <w:p>
            <w:pPr>
              <w:rPr>
                <w:sz w:val="2"/>
                <w:szCs w:val="2"/>
              </w:rPr>
            </w:pPr>
          </w:p>
        </w:tc>
        <w:tc>
          <w:tcPr>
            <w:tcW w:w="2416" w:type="dxa"/>
            <w:vMerge/>
            <w:tcBorders>
              <w:top w:val="nil"/>
            </w:tcBorders>
          </w:tcPr>
          <w:p>
            <w:pPr>
              <w:rPr>
                <w:sz w:val="2"/>
                <w:szCs w:val="2"/>
              </w:rPr>
            </w:pPr>
          </w:p>
        </w:tc>
        <w:tc>
          <w:tcPr>
            <w:tcW w:w="2918" w:type="dxa"/>
          </w:tcPr>
          <w:p>
            <w:pPr>
              <w:pStyle w:val="TableParagraph"/>
              <w:ind w:left="108"/>
              <w:rPr>
                <w:i/>
                <w:sz w:val="20"/>
              </w:rPr>
            </w:pPr>
            <w:r>
              <w:rPr>
                <w:i/>
                <w:sz w:val="20"/>
              </w:rPr>
              <w:t>D) REDUCING THE IMPACT OF RESOURCE USE THROUGH DESIGN AND METHOD?</w:t>
            </w:r>
          </w:p>
        </w:tc>
        <w:tc>
          <w:tcPr>
            <w:tcW w:w="801" w:type="dxa"/>
            <w:vMerge/>
            <w:tcBorders>
              <w:top w:val="nil"/>
            </w:tcBorders>
          </w:tcPr>
          <w:p>
            <w:pPr>
              <w:rPr>
                <w:sz w:val="2"/>
                <w:szCs w:val="2"/>
              </w:rPr>
            </w:pPr>
          </w:p>
        </w:tc>
        <w:tc>
          <w:tcPr>
            <w:tcW w:w="2104" w:type="dxa"/>
            <w:vMerge/>
            <w:tcBorders>
              <w:top w:val="nil"/>
            </w:tcBorders>
          </w:tcPr>
          <w:p>
            <w:pPr>
              <w:rPr>
                <w:sz w:val="2"/>
                <w:szCs w:val="2"/>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vMerge/>
            <w:tcBorders>
              <w:top w:val="nil"/>
            </w:tcBorders>
          </w:tcPr>
          <w:p>
            <w:pPr>
              <w:rPr>
                <w:sz w:val="2"/>
                <w:szCs w:val="2"/>
              </w:rPr>
            </w:pPr>
          </w:p>
        </w:tc>
      </w:tr>
      <w:tr>
        <w:trPr>
          <w:trHeight w:val="1166" w:hRule="atLeast"/>
        </w:trPr>
        <w:tc>
          <w:tcPr>
            <w:tcW w:w="2846" w:type="dxa"/>
          </w:tcPr>
          <w:p>
            <w:pPr>
              <w:pStyle w:val="TableParagraph"/>
              <w:spacing w:line="227" w:lineRule="exact"/>
              <w:ind w:right="101"/>
              <w:jc w:val="right"/>
              <w:rPr>
                <w:sz w:val="20"/>
              </w:rPr>
            </w:pPr>
            <w:r>
              <w:rPr>
                <w:w w:val="95"/>
                <w:sz w:val="20"/>
              </w:rPr>
              <w:t>Midstream</w:t>
            </w:r>
          </w:p>
        </w:tc>
        <w:tc>
          <w:tcPr>
            <w:tcW w:w="2416" w:type="dxa"/>
          </w:tcPr>
          <w:p>
            <w:pPr>
              <w:pStyle w:val="TableParagraph"/>
              <w:ind w:left="108" w:right="799"/>
              <w:rPr>
                <w:sz w:val="20"/>
              </w:rPr>
            </w:pPr>
            <w:r>
              <w:rPr>
                <w:sz w:val="20"/>
              </w:rPr>
              <w:t>SA11: Air quality No justification</w:t>
            </w:r>
          </w:p>
        </w:tc>
        <w:tc>
          <w:tcPr>
            <w:tcW w:w="2918" w:type="dxa"/>
          </w:tcPr>
          <w:p>
            <w:pPr>
              <w:pStyle w:val="TableParagraph"/>
              <w:spacing w:line="243" w:lineRule="exact"/>
              <w:ind w:left="109"/>
              <w:rPr>
                <w:rFonts w:ascii="Symbol" w:hAnsi="Symbol"/>
                <w:sz w:val="20"/>
              </w:rPr>
            </w:pPr>
            <w:r>
              <w:rPr>
                <w:sz w:val="20"/>
              </w:rPr>
              <w:t>SA11: Air quality</w:t>
            </w:r>
            <w:r>
              <w:rPr>
                <w:rFonts w:ascii="Symbol" w:hAnsi="Symbol"/>
                <w:sz w:val="20"/>
                <w:vertAlign w:val="superscript"/>
              </w:rPr>
              <w:t></w:t>
            </w:r>
          </w:p>
          <w:p>
            <w:pPr>
              <w:pStyle w:val="TableParagraph"/>
              <w:ind w:left="109" w:right="262"/>
              <w:jc w:val="both"/>
              <w:rPr>
                <w:sz w:val="20"/>
              </w:rPr>
            </w:pPr>
            <w:r>
              <w:rPr>
                <w:sz w:val="20"/>
              </w:rPr>
              <w:t>How does the contribution to resource consumption affect air quality?</w:t>
            </w:r>
          </w:p>
        </w:tc>
        <w:tc>
          <w:tcPr>
            <w:tcW w:w="801" w:type="dxa"/>
          </w:tcPr>
          <w:p>
            <w:pPr>
              <w:pStyle w:val="TableParagraph"/>
              <w:spacing w:before="8"/>
              <w:rPr>
                <w:sz w:val="19"/>
              </w:rPr>
            </w:pPr>
          </w:p>
          <w:p>
            <w:pPr>
              <w:pStyle w:val="TableParagraph"/>
              <w:spacing w:before="1"/>
              <w:ind w:left="12"/>
              <w:jc w:val="center"/>
              <w:rPr>
                <w:sz w:val="20"/>
              </w:rPr>
            </w:pPr>
            <w:r>
              <w:rPr>
                <w:color w:val="0000FF"/>
                <w:w w:val="99"/>
                <w:sz w:val="20"/>
              </w:rPr>
              <w:t>-</w:t>
            </w:r>
          </w:p>
        </w:tc>
        <w:tc>
          <w:tcPr>
            <w:tcW w:w="2104" w:type="dxa"/>
          </w:tcPr>
          <w:p>
            <w:pPr>
              <w:pStyle w:val="TableParagraph"/>
              <w:ind w:left="109" w:right="582"/>
              <w:jc w:val="both"/>
              <w:rPr>
                <w:sz w:val="20"/>
              </w:rPr>
            </w:pPr>
            <w:r>
              <w:rPr>
                <w:color w:val="0000FF"/>
                <w:sz w:val="20"/>
              </w:rPr>
              <w:t>Consumption of more resources would affect air quality</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ind w:left="112" w:right="110"/>
              <w:rPr>
                <w:sz w:val="20"/>
              </w:rPr>
            </w:pPr>
            <w:r>
              <w:rPr>
                <w:color w:val="0000FF"/>
                <w:sz w:val="20"/>
              </w:rPr>
              <w:t>Keep resource consumption low</w:t>
            </w:r>
          </w:p>
        </w:tc>
      </w:tr>
      <w:tr>
        <w:trPr>
          <w:trHeight w:val="474" w:hRule="atLeast"/>
        </w:trPr>
        <w:tc>
          <w:tcPr>
            <w:tcW w:w="2846" w:type="dxa"/>
          </w:tcPr>
          <w:p>
            <w:pPr>
              <w:pStyle w:val="TableParagraph"/>
              <w:spacing w:line="227" w:lineRule="exact"/>
              <w:ind w:right="101"/>
              <w:jc w:val="right"/>
              <w:rPr>
                <w:sz w:val="20"/>
              </w:rPr>
            </w:pPr>
            <w:r>
              <w:rPr>
                <w:w w:val="95"/>
                <w:sz w:val="20"/>
              </w:rPr>
              <w:t>Midstream</w:t>
            </w:r>
          </w:p>
        </w:tc>
        <w:tc>
          <w:tcPr>
            <w:tcW w:w="2416" w:type="dxa"/>
          </w:tcPr>
          <w:p>
            <w:pPr>
              <w:pStyle w:val="TableParagraph"/>
              <w:spacing w:line="225" w:lineRule="exact"/>
              <w:ind w:left="108"/>
              <w:rPr>
                <w:sz w:val="20"/>
              </w:rPr>
            </w:pPr>
            <w:r>
              <w:rPr>
                <w:sz w:val="20"/>
              </w:rPr>
              <w:t>SA12: Water quality</w:t>
            </w:r>
          </w:p>
          <w:p>
            <w:pPr>
              <w:pStyle w:val="TableParagraph"/>
              <w:spacing w:line="228" w:lineRule="exact"/>
              <w:ind w:left="108"/>
              <w:rPr>
                <w:i/>
                <w:sz w:val="20"/>
              </w:rPr>
            </w:pPr>
            <w:r>
              <w:rPr>
                <w:i/>
                <w:sz w:val="20"/>
              </w:rPr>
              <w:t>Reduced water</w:t>
            </w:r>
          </w:p>
        </w:tc>
        <w:tc>
          <w:tcPr>
            <w:tcW w:w="2918" w:type="dxa"/>
            <w:shd w:val="clear" w:color="auto" w:fill="FFFF98"/>
          </w:tcPr>
          <w:p>
            <w:pPr>
              <w:pStyle w:val="TableParagraph"/>
              <w:spacing w:line="242" w:lineRule="exact"/>
              <w:ind w:left="109"/>
              <w:rPr>
                <w:rFonts w:ascii="Symbol" w:hAnsi="Symbol"/>
                <w:sz w:val="20"/>
              </w:rPr>
            </w:pPr>
            <w:r>
              <w:rPr>
                <w:sz w:val="20"/>
              </w:rPr>
              <w:t>SA12: Water quality</w:t>
            </w:r>
            <w:r>
              <w:rPr>
                <w:rFonts w:ascii="Symbol" w:hAnsi="Symbol"/>
                <w:sz w:val="20"/>
                <w:vertAlign w:val="superscript"/>
              </w:rPr>
              <w:t></w:t>
            </w:r>
          </w:p>
          <w:p>
            <w:pPr>
              <w:pStyle w:val="TableParagraph"/>
              <w:spacing w:line="212" w:lineRule="exact"/>
              <w:ind w:left="109"/>
              <w:rPr>
                <w:i/>
                <w:sz w:val="20"/>
              </w:rPr>
            </w:pPr>
            <w:r>
              <w:rPr>
                <w:i/>
                <w:sz w:val="20"/>
              </w:rPr>
              <w:t>How does the contribution to</w:t>
            </w:r>
          </w:p>
        </w:tc>
        <w:tc>
          <w:tcPr>
            <w:tcW w:w="801" w:type="dxa"/>
          </w:tcPr>
          <w:p>
            <w:pPr>
              <w:pStyle w:val="TableParagraph"/>
              <w:rPr>
                <w:rFonts w:ascii="Times New Roman"/>
                <w:sz w:val="18"/>
              </w:rPr>
            </w:pPr>
          </w:p>
        </w:tc>
        <w:tc>
          <w:tcPr>
            <w:tcW w:w="2104" w:type="dxa"/>
          </w:tcPr>
          <w:p>
            <w:pPr>
              <w:pStyle w:val="TableParagraph"/>
              <w:rPr>
                <w:rFonts w:ascii="Times New Roman"/>
                <w:sz w:val="18"/>
              </w:rPr>
            </w:pP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bl>
    <w:p>
      <w:pPr>
        <w:pStyle w:val="BodyText"/>
        <w:spacing w:before="4"/>
        <w:rPr>
          <w:sz w:val="15"/>
        </w:rPr>
      </w:pPr>
      <w:r>
        <w:rPr/>
        <w:pict>
          <v:line style="position:absolute;mso-position-horizontal-relative:page;mso-position-vertical-relative:paragraph;z-index:1760;mso-wrap-distance-left:0;mso-wrap-distance-right:0" from="72pt,11.1pt" to="778.920022pt,11.1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 Material</w:t>
      </w:r>
      <w:r>
        <w:rPr>
          <w:spacing w:val="-14"/>
          <w:sz w:val="20"/>
        </w:rPr>
        <w:t> </w:t>
      </w:r>
      <w:r>
        <w:rPr>
          <w:sz w:val="20"/>
        </w:rPr>
        <w:t>assets</w:t>
      </w:r>
    </w:p>
    <w:p>
      <w:pPr>
        <w:pStyle w:val="ListParagraph"/>
        <w:numPr>
          <w:ilvl w:val="0"/>
          <w:numId w:val="55"/>
        </w:numPr>
        <w:tabs>
          <w:tab w:pos="341" w:val="left" w:leader="none"/>
        </w:tabs>
        <w:spacing w:line="245" w:lineRule="exact" w:before="0" w:after="0"/>
        <w:ind w:left="340" w:right="0" w:hanging="120"/>
        <w:jc w:val="left"/>
        <w:rPr>
          <w:sz w:val="20"/>
        </w:rPr>
      </w:pPr>
      <w:r>
        <w:rPr>
          <w:sz w:val="20"/>
        </w:rPr>
        <w:t>SEA Directive: Material</w:t>
      </w:r>
      <w:r>
        <w:rPr>
          <w:spacing w:val="-14"/>
          <w:sz w:val="20"/>
        </w:rPr>
        <w:t> </w:t>
      </w:r>
      <w:r>
        <w:rPr>
          <w:sz w:val="20"/>
        </w:rPr>
        <w:t>assets</w:t>
      </w:r>
    </w:p>
    <w:p>
      <w:pPr>
        <w:pStyle w:val="ListParagraph"/>
        <w:numPr>
          <w:ilvl w:val="0"/>
          <w:numId w:val="55"/>
        </w:numPr>
        <w:tabs>
          <w:tab w:pos="341" w:val="left" w:leader="none"/>
        </w:tabs>
        <w:spacing w:line="245" w:lineRule="exact" w:before="0" w:after="0"/>
        <w:ind w:left="340" w:right="0" w:hanging="120"/>
        <w:jc w:val="left"/>
        <w:rPr>
          <w:sz w:val="20"/>
        </w:rPr>
      </w:pPr>
      <w:r>
        <w:rPr>
          <w:sz w:val="20"/>
        </w:rPr>
        <w:t>SEA Directive:</w:t>
      </w:r>
      <w:r>
        <w:rPr>
          <w:spacing w:val="2"/>
          <w:sz w:val="20"/>
        </w:rPr>
        <w:t> </w:t>
      </w:r>
      <w:r>
        <w:rPr>
          <w:sz w:val="20"/>
        </w:rPr>
        <w:t>Air</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w:t>
      </w:r>
      <w:r>
        <w:rPr>
          <w:spacing w:val="-3"/>
          <w:sz w:val="20"/>
        </w:rPr>
        <w:t> </w:t>
      </w:r>
      <w:r>
        <w:rPr>
          <w:sz w:val="20"/>
        </w:rPr>
        <w:t>Water</w:t>
      </w:r>
    </w:p>
    <w:p>
      <w:pPr>
        <w:spacing w:after="0" w:line="254" w:lineRule="exact"/>
        <w:jc w:val="left"/>
        <w:rPr>
          <w:sz w:val="20"/>
        </w:rPr>
        <w:sectPr>
          <w:footerReference w:type="even" r:id="rId84"/>
          <w:footerReference w:type="default" r:id="rId85"/>
          <w:pgSz w:w="16840" w:h="11910" w:orient="landscape"/>
          <w:pgMar w:footer="822" w:header="0" w:top="1100" w:bottom="1020" w:left="1220" w:right="740"/>
          <w:pgNumType w:start="42"/>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1149" w:hRule="atLeast"/>
        </w:trPr>
        <w:tc>
          <w:tcPr>
            <w:tcW w:w="2846" w:type="dxa"/>
          </w:tcPr>
          <w:p>
            <w:pPr>
              <w:pStyle w:val="TableParagraph"/>
              <w:rPr>
                <w:rFonts w:ascii="Times New Roman"/>
                <w:sz w:val="18"/>
              </w:rPr>
            </w:pPr>
          </w:p>
        </w:tc>
        <w:tc>
          <w:tcPr>
            <w:tcW w:w="2416" w:type="dxa"/>
          </w:tcPr>
          <w:p>
            <w:pPr>
              <w:pStyle w:val="TableParagraph"/>
              <w:ind w:left="108" w:right="61"/>
              <w:rPr>
                <w:i/>
                <w:sz w:val="20"/>
              </w:rPr>
            </w:pPr>
            <w:r>
              <w:rPr>
                <w:i/>
                <w:sz w:val="20"/>
              </w:rPr>
              <w:t>consumption means that less water will be exposed to</w:t>
            </w:r>
          </w:p>
          <w:p>
            <w:pPr>
              <w:pStyle w:val="TableParagraph"/>
              <w:spacing w:line="230" w:lineRule="exact"/>
              <w:ind w:left="108" w:right="199"/>
              <w:rPr>
                <w:i/>
                <w:sz w:val="20"/>
              </w:rPr>
            </w:pPr>
            <w:r>
              <w:rPr>
                <w:i/>
                <w:sz w:val="20"/>
              </w:rPr>
              <w:t>contaminants, requiring less treatment.</w:t>
            </w:r>
          </w:p>
        </w:tc>
        <w:tc>
          <w:tcPr>
            <w:tcW w:w="2918" w:type="dxa"/>
            <w:shd w:val="clear" w:color="auto" w:fill="FFFF98"/>
          </w:tcPr>
          <w:p>
            <w:pPr>
              <w:pStyle w:val="TableParagraph"/>
              <w:ind w:left="109" w:right="266"/>
              <w:rPr>
                <w:i/>
                <w:sz w:val="20"/>
              </w:rPr>
            </w:pPr>
            <w:r>
              <w:rPr>
                <w:i/>
                <w:sz w:val="20"/>
              </w:rPr>
              <w:t>resource consumption affect water quality?</w:t>
            </w:r>
          </w:p>
        </w:tc>
        <w:tc>
          <w:tcPr>
            <w:tcW w:w="801" w:type="dxa"/>
          </w:tcPr>
          <w:p>
            <w:pPr>
              <w:pStyle w:val="TableParagraph"/>
              <w:spacing w:line="227" w:lineRule="exact"/>
              <w:ind w:left="14"/>
              <w:jc w:val="center"/>
              <w:rPr>
                <w:sz w:val="20"/>
              </w:rPr>
            </w:pPr>
            <w:r>
              <w:rPr>
                <w:color w:val="0000FF"/>
                <w:w w:val="99"/>
                <w:sz w:val="20"/>
              </w:rPr>
              <w:t>+</w:t>
            </w:r>
          </w:p>
        </w:tc>
        <w:tc>
          <w:tcPr>
            <w:tcW w:w="2104" w:type="dxa"/>
          </w:tcPr>
          <w:p>
            <w:pPr>
              <w:pStyle w:val="TableParagraph"/>
              <w:ind w:left="110" w:right="218"/>
              <w:rPr>
                <w:sz w:val="20"/>
              </w:rPr>
            </w:pPr>
            <w:r>
              <w:rPr>
                <w:color w:val="0000FF"/>
                <w:sz w:val="20"/>
              </w:rPr>
              <w:t>SuDS have positive impact on water quality</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1839" w:hRule="atLeast"/>
        </w:trPr>
        <w:tc>
          <w:tcPr>
            <w:tcW w:w="2846" w:type="dxa"/>
          </w:tcPr>
          <w:p>
            <w:pPr>
              <w:pStyle w:val="TableParagraph"/>
              <w:spacing w:line="226" w:lineRule="exact"/>
              <w:ind w:right="101"/>
              <w:jc w:val="right"/>
              <w:rPr>
                <w:sz w:val="20"/>
              </w:rPr>
            </w:pPr>
            <w:r>
              <w:rPr>
                <w:w w:val="95"/>
                <w:sz w:val="20"/>
              </w:rPr>
              <w:t>Downstream</w:t>
            </w:r>
          </w:p>
        </w:tc>
        <w:tc>
          <w:tcPr>
            <w:tcW w:w="2416" w:type="dxa"/>
          </w:tcPr>
          <w:p>
            <w:pPr>
              <w:pStyle w:val="TableParagraph"/>
              <w:ind w:left="108" w:right="132" w:hanging="1"/>
              <w:rPr>
                <w:i/>
                <w:sz w:val="20"/>
              </w:rPr>
            </w:pPr>
            <w:r>
              <w:rPr>
                <w:sz w:val="20"/>
              </w:rPr>
              <w:t>SA17: Biodiversity / geological conservation </w:t>
            </w:r>
            <w:r>
              <w:rPr>
                <w:i/>
                <w:sz w:val="20"/>
              </w:rPr>
              <w:t>Encouraging efficient use of natural resources means more biological and geological resources will be left</w:t>
            </w:r>
          </w:p>
          <w:p>
            <w:pPr>
              <w:pStyle w:val="TableParagraph"/>
              <w:spacing w:line="214" w:lineRule="exact"/>
              <w:ind w:left="108"/>
              <w:rPr>
                <w:i/>
                <w:sz w:val="20"/>
              </w:rPr>
            </w:pPr>
            <w:r>
              <w:rPr>
                <w:i/>
                <w:sz w:val="20"/>
              </w:rPr>
              <w:t>intact.</w:t>
            </w:r>
          </w:p>
        </w:tc>
        <w:tc>
          <w:tcPr>
            <w:tcW w:w="2918" w:type="dxa"/>
            <w:shd w:val="clear" w:color="auto" w:fill="FFFF98"/>
          </w:tcPr>
          <w:p>
            <w:pPr>
              <w:pStyle w:val="TableParagraph"/>
              <w:spacing w:line="237" w:lineRule="auto" w:before="1"/>
              <w:ind w:left="109" w:right="262"/>
              <w:rPr>
                <w:i/>
                <w:sz w:val="20"/>
              </w:rPr>
            </w:pPr>
            <w:r>
              <w:rPr>
                <w:sz w:val="20"/>
              </w:rPr>
              <w:t>SA17: Biodiversity </w:t>
            </w:r>
            <w:r>
              <w:rPr>
                <w:rFonts w:ascii="Symbol" w:hAnsi="Symbol"/>
                <w:sz w:val="20"/>
                <w:vertAlign w:val="superscript"/>
              </w:rPr>
              <w:t></w:t>
            </w:r>
            <w:r>
              <w:rPr>
                <w:sz w:val="20"/>
                <w:vertAlign w:val="baseline"/>
              </w:rPr>
              <w:t>/ geological conservation </w:t>
            </w:r>
            <w:r>
              <w:rPr>
                <w:i/>
                <w:sz w:val="20"/>
                <w:vertAlign w:val="baseline"/>
              </w:rPr>
              <w:t>How does the contribution</w:t>
            </w:r>
            <w:r>
              <w:rPr>
                <w:i/>
                <w:spacing w:val="-20"/>
                <w:sz w:val="20"/>
                <w:vertAlign w:val="baseline"/>
              </w:rPr>
              <w:t> </w:t>
            </w:r>
            <w:r>
              <w:rPr>
                <w:i/>
                <w:spacing w:val="2"/>
                <w:sz w:val="20"/>
                <w:vertAlign w:val="baseline"/>
              </w:rPr>
              <w:t>to </w:t>
            </w:r>
            <w:r>
              <w:rPr>
                <w:i/>
                <w:sz w:val="20"/>
                <w:vertAlign w:val="baseline"/>
              </w:rPr>
              <w:t>resource consumption affect biodiversity?</w:t>
            </w:r>
          </w:p>
        </w:tc>
        <w:tc>
          <w:tcPr>
            <w:tcW w:w="801" w:type="dxa"/>
          </w:tcPr>
          <w:p>
            <w:pPr>
              <w:pStyle w:val="TableParagraph"/>
              <w:rPr>
                <w:sz w:val="22"/>
              </w:rPr>
            </w:pPr>
          </w:p>
          <w:p>
            <w:pPr>
              <w:pStyle w:val="TableParagraph"/>
              <w:spacing w:before="8"/>
              <w:rPr>
                <w:sz w:val="17"/>
              </w:rPr>
            </w:pPr>
          </w:p>
          <w:p>
            <w:pPr>
              <w:pStyle w:val="TableParagraph"/>
              <w:ind w:left="14"/>
              <w:jc w:val="center"/>
              <w:rPr>
                <w:sz w:val="20"/>
              </w:rPr>
            </w:pPr>
            <w:r>
              <w:rPr>
                <w:color w:val="0000FF"/>
                <w:w w:val="99"/>
                <w:sz w:val="20"/>
              </w:rPr>
              <w:t>+</w:t>
            </w:r>
          </w:p>
        </w:tc>
        <w:tc>
          <w:tcPr>
            <w:tcW w:w="2104" w:type="dxa"/>
          </w:tcPr>
          <w:p>
            <w:pPr>
              <w:pStyle w:val="TableParagraph"/>
              <w:rPr>
                <w:sz w:val="22"/>
              </w:rPr>
            </w:pPr>
          </w:p>
          <w:p>
            <w:pPr>
              <w:pStyle w:val="TableParagraph"/>
              <w:spacing w:before="8"/>
              <w:rPr>
                <w:sz w:val="17"/>
              </w:rPr>
            </w:pPr>
          </w:p>
          <w:p>
            <w:pPr>
              <w:pStyle w:val="TableParagraph"/>
              <w:ind w:left="110" w:right="363"/>
              <w:rPr>
                <w:sz w:val="20"/>
              </w:rPr>
            </w:pPr>
            <w:r>
              <w:rPr>
                <w:color w:val="0000FF"/>
                <w:sz w:val="20"/>
              </w:rPr>
              <w:t>SuDS amd green corridors have a positive impact on biodiversity</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2068"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ind w:left="108" w:hanging="1"/>
              <w:rPr>
                <w:sz w:val="20"/>
              </w:rPr>
            </w:pPr>
            <w:r>
              <w:rPr>
                <w:sz w:val="20"/>
              </w:rPr>
              <w:t>SA18: Climate change adaptation</w:t>
            </w:r>
          </w:p>
          <w:p>
            <w:pPr>
              <w:pStyle w:val="TableParagraph"/>
              <w:ind w:left="108" w:right="130"/>
              <w:rPr>
                <w:i/>
                <w:sz w:val="20"/>
              </w:rPr>
            </w:pPr>
            <w:r>
              <w:rPr>
                <w:i/>
                <w:sz w:val="20"/>
              </w:rPr>
              <w:t>Reduced resource consumption mean less extraction and processing of materials and will therefore result</w:t>
            </w:r>
          </w:p>
          <w:p>
            <w:pPr>
              <w:pStyle w:val="TableParagraph"/>
              <w:spacing w:line="228" w:lineRule="exact"/>
              <w:ind w:left="108"/>
              <w:rPr>
                <w:i/>
                <w:sz w:val="20"/>
              </w:rPr>
            </w:pPr>
            <w:r>
              <w:rPr>
                <w:i/>
                <w:sz w:val="20"/>
              </w:rPr>
              <w:t>in fewer greenhouse gas emissions.</w:t>
            </w:r>
          </w:p>
        </w:tc>
        <w:tc>
          <w:tcPr>
            <w:tcW w:w="2918" w:type="dxa"/>
            <w:shd w:val="clear" w:color="auto" w:fill="FFFF98"/>
          </w:tcPr>
          <w:p>
            <w:pPr>
              <w:pStyle w:val="TableParagraph"/>
              <w:spacing w:line="244" w:lineRule="auto"/>
              <w:ind w:left="109"/>
              <w:rPr>
                <w:rFonts w:ascii="Symbol" w:hAnsi="Symbol"/>
                <w:sz w:val="20"/>
              </w:rPr>
            </w:pPr>
            <w:r>
              <w:rPr>
                <w:sz w:val="20"/>
              </w:rPr>
              <w:t>SA18: Climate change mitigation</w:t>
            </w:r>
            <w:r>
              <w:rPr>
                <w:rFonts w:ascii="Symbol" w:hAnsi="Symbol"/>
                <w:sz w:val="20"/>
                <w:vertAlign w:val="superscript"/>
              </w:rPr>
              <w:t></w:t>
            </w:r>
          </w:p>
          <w:p>
            <w:pPr>
              <w:pStyle w:val="TableParagraph"/>
              <w:ind w:left="109" w:right="262"/>
              <w:jc w:val="both"/>
              <w:rPr>
                <w:i/>
                <w:sz w:val="20"/>
              </w:rPr>
            </w:pPr>
            <w:r>
              <w:rPr>
                <w:i/>
                <w:sz w:val="20"/>
              </w:rPr>
              <w:t>How does the contribution to resource consumption affect climate change mitigation</w:t>
            </w:r>
          </w:p>
        </w:tc>
        <w:tc>
          <w:tcPr>
            <w:tcW w:w="801" w:type="dxa"/>
          </w:tcPr>
          <w:p>
            <w:pPr>
              <w:pStyle w:val="TableParagraph"/>
              <w:rPr>
                <w:sz w:val="22"/>
              </w:rPr>
            </w:pPr>
          </w:p>
          <w:p>
            <w:pPr>
              <w:pStyle w:val="TableParagraph"/>
              <w:spacing w:before="6"/>
              <w:rPr>
                <w:sz w:val="17"/>
              </w:rPr>
            </w:pPr>
          </w:p>
          <w:p>
            <w:pPr>
              <w:pStyle w:val="TableParagraph"/>
              <w:spacing w:before="1"/>
              <w:ind w:left="14"/>
              <w:jc w:val="center"/>
              <w:rPr>
                <w:sz w:val="20"/>
              </w:rPr>
            </w:pPr>
            <w:r>
              <w:rPr>
                <w:color w:val="0000FF"/>
                <w:w w:val="99"/>
                <w:sz w:val="20"/>
              </w:rPr>
              <w:t>+</w:t>
            </w:r>
          </w:p>
        </w:tc>
        <w:tc>
          <w:tcPr>
            <w:tcW w:w="2104" w:type="dxa"/>
          </w:tcPr>
          <w:p>
            <w:pPr>
              <w:pStyle w:val="TableParagraph"/>
              <w:rPr>
                <w:sz w:val="22"/>
              </w:rPr>
            </w:pPr>
          </w:p>
          <w:p>
            <w:pPr>
              <w:pStyle w:val="TableParagraph"/>
              <w:spacing w:before="6"/>
              <w:rPr>
                <w:sz w:val="17"/>
              </w:rPr>
            </w:pPr>
          </w:p>
          <w:p>
            <w:pPr>
              <w:pStyle w:val="TableParagraph"/>
              <w:spacing w:before="1"/>
              <w:ind w:left="110" w:right="162"/>
              <w:rPr>
                <w:sz w:val="20"/>
              </w:rPr>
            </w:pPr>
            <w:r>
              <w:rPr>
                <w:color w:val="0000FF"/>
                <w:sz w:val="20"/>
              </w:rPr>
              <w:t>Marginal improvement through efficient use of resources</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1166" w:hRule="atLeast"/>
        </w:trPr>
        <w:tc>
          <w:tcPr>
            <w:tcW w:w="2846" w:type="dxa"/>
          </w:tcPr>
          <w:p>
            <w:pPr>
              <w:pStyle w:val="TableParagraph"/>
              <w:spacing w:line="227" w:lineRule="exact"/>
              <w:ind w:right="101"/>
              <w:jc w:val="right"/>
              <w:rPr>
                <w:sz w:val="20"/>
              </w:rPr>
            </w:pPr>
            <w:r>
              <w:rPr>
                <w:w w:val="95"/>
                <w:sz w:val="20"/>
              </w:rPr>
              <w:t>Downstream</w:t>
            </w:r>
          </w:p>
        </w:tc>
        <w:tc>
          <w:tcPr>
            <w:tcW w:w="2416" w:type="dxa"/>
          </w:tcPr>
          <w:p>
            <w:pPr>
              <w:pStyle w:val="TableParagraph"/>
              <w:ind w:left="108" w:right="265" w:hanging="1"/>
              <w:rPr>
                <w:i/>
                <w:sz w:val="20"/>
              </w:rPr>
            </w:pPr>
            <w:r>
              <w:rPr>
                <w:sz w:val="20"/>
              </w:rPr>
              <w:t>SA19: Flood risk </w:t>
            </w:r>
            <w:r>
              <w:rPr>
                <w:i/>
                <w:sz w:val="20"/>
              </w:rPr>
              <w:t>Green design (grass roofs, porous</w:t>
            </w:r>
            <w:r>
              <w:rPr>
                <w:i/>
                <w:spacing w:val="-16"/>
                <w:sz w:val="20"/>
              </w:rPr>
              <w:t> </w:t>
            </w:r>
            <w:r>
              <w:rPr>
                <w:i/>
                <w:sz w:val="20"/>
              </w:rPr>
              <w:t>surfaces, etc) can reduce</w:t>
            </w:r>
            <w:r>
              <w:rPr>
                <w:i/>
                <w:spacing w:val="-3"/>
                <w:sz w:val="20"/>
              </w:rPr>
              <w:t> </w:t>
            </w:r>
            <w:r>
              <w:rPr>
                <w:i/>
                <w:sz w:val="20"/>
              </w:rPr>
              <w:t>flood</w:t>
            </w:r>
          </w:p>
          <w:p>
            <w:pPr>
              <w:pStyle w:val="TableParagraph"/>
              <w:spacing w:line="229" w:lineRule="exact"/>
              <w:ind w:left="108"/>
              <w:rPr>
                <w:i/>
                <w:sz w:val="20"/>
              </w:rPr>
            </w:pPr>
            <w:r>
              <w:rPr>
                <w:i/>
                <w:sz w:val="20"/>
              </w:rPr>
              <w:t>risk.</w:t>
            </w:r>
          </w:p>
        </w:tc>
        <w:tc>
          <w:tcPr>
            <w:tcW w:w="2918" w:type="dxa"/>
          </w:tcPr>
          <w:p>
            <w:pPr>
              <w:pStyle w:val="TableParagraph"/>
              <w:spacing w:line="242" w:lineRule="exact"/>
              <w:ind w:left="109"/>
              <w:rPr>
                <w:rFonts w:ascii="Symbol" w:hAnsi="Symbol"/>
                <w:sz w:val="20"/>
              </w:rPr>
            </w:pPr>
            <w:r>
              <w:rPr>
                <w:sz w:val="20"/>
              </w:rPr>
              <w:t>SA19: Flood risk</w:t>
            </w:r>
            <w:r>
              <w:rPr>
                <w:rFonts w:ascii="Symbol" w:hAnsi="Symbol"/>
                <w:sz w:val="20"/>
                <w:vertAlign w:val="superscript"/>
              </w:rPr>
              <w:t></w:t>
            </w:r>
          </w:p>
          <w:p>
            <w:pPr>
              <w:pStyle w:val="TableParagraph"/>
              <w:ind w:left="109" w:right="262"/>
              <w:jc w:val="both"/>
              <w:rPr>
                <w:i/>
                <w:sz w:val="20"/>
              </w:rPr>
            </w:pPr>
            <w:r>
              <w:rPr>
                <w:i/>
                <w:sz w:val="20"/>
              </w:rPr>
              <w:t>How does the contribution to resource consumption affect flood risk</w:t>
            </w:r>
          </w:p>
        </w:tc>
        <w:tc>
          <w:tcPr>
            <w:tcW w:w="801" w:type="dxa"/>
          </w:tcPr>
          <w:p>
            <w:pPr>
              <w:pStyle w:val="TableParagraph"/>
              <w:spacing w:before="8"/>
              <w:rPr>
                <w:sz w:val="19"/>
              </w:rPr>
            </w:pPr>
          </w:p>
          <w:p>
            <w:pPr>
              <w:pStyle w:val="TableParagraph"/>
              <w:spacing w:before="1"/>
              <w:ind w:left="14"/>
              <w:jc w:val="center"/>
              <w:rPr>
                <w:sz w:val="20"/>
              </w:rPr>
            </w:pPr>
            <w:r>
              <w:rPr>
                <w:color w:val="0000FF"/>
                <w:w w:val="99"/>
                <w:sz w:val="20"/>
              </w:rPr>
              <w:t>+</w:t>
            </w:r>
          </w:p>
        </w:tc>
        <w:tc>
          <w:tcPr>
            <w:tcW w:w="2104" w:type="dxa"/>
          </w:tcPr>
          <w:p>
            <w:pPr>
              <w:pStyle w:val="TableParagraph"/>
              <w:spacing w:before="8"/>
              <w:rPr>
                <w:sz w:val="19"/>
              </w:rPr>
            </w:pPr>
          </w:p>
          <w:p>
            <w:pPr>
              <w:pStyle w:val="TableParagraph"/>
              <w:spacing w:before="1"/>
              <w:ind w:left="110" w:right="85"/>
              <w:rPr>
                <w:sz w:val="20"/>
              </w:rPr>
            </w:pPr>
            <w:r>
              <w:rPr>
                <w:color w:val="0000FF"/>
                <w:sz w:val="20"/>
              </w:rPr>
              <w:t>Efficient use of resources will reduce flood risk</w:t>
            </w:r>
          </w:p>
        </w:tc>
        <w:tc>
          <w:tcPr>
            <w:tcW w:w="772" w:type="dxa"/>
          </w:tcPr>
          <w:p>
            <w:pPr>
              <w:pStyle w:val="TableParagraph"/>
              <w:rPr>
                <w:rFonts w:ascii="Times New Roman"/>
                <w:sz w:val="18"/>
              </w:rPr>
            </w:pPr>
          </w:p>
        </w:tc>
        <w:tc>
          <w:tcPr>
            <w:tcW w:w="1206" w:type="dxa"/>
          </w:tcPr>
          <w:p>
            <w:pPr>
              <w:pStyle w:val="TableParagraph"/>
              <w:rPr>
                <w:rFonts w:ascii="Times New Roman"/>
                <w:sz w:val="18"/>
              </w:rPr>
            </w:pPr>
          </w:p>
        </w:tc>
        <w:tc>
          <w:tcPr>
            <w:tcW w:w="1576" w:type="dxa"/>
          </w:tcPr>
          <w:p>
            <w:pPr>
              <w:pStyle w:val="TableParagraph"/>
              <w:rPr>
                <w:rFonts w:ascii="Times New Roman"/>
                <w:sz w:val="18"/>
              </w:rPr>
            </w:pPr>
          </w:p>
        </w:tc>
      </w:tr>
      <w:tr>
        <w:trPr>
          <w:trHeight w:val="244" w:hRule="atLeast"/>
        </w:trPr>
        <w:tc>
          <w:tcPr>
            <w:tcW w:w="2846" w:type="dxa"/>
          </w:tcPr>
          <w:p>
            <w:pPr>
              <w:pStyle w:val="TableParagraph"/>
              <w:spacing w:line="224" w:lineRule="exact"/>
              <w:ind w:right="101"/>
              <w:jc w:val="right"/>
              <w:rPr>
                <w:sz w:val="20"/>
              </w:rPr>
            </w:pPr>
            <w:r>
              <w:rPr>
                <w:w w:val="95"/>
                <w:sz w:val="20"/>
              </w:rPr>
              <w:t>Downstream</w:t>
            </w:r>
          </w:p>
        </w:tc>
        <w:tc>
          <w:tcPr>
            <w:tcW w:w="2416" w:type="dxa"/>
          </w:tcPr>
          <w:p>
            <w:pPr>
              <w:pStyle w:val="TableParagraph"/>
              <w:spacing w:line="224" w:lineRule="exact"/>
              <w:ind w:left="108"/>
              <w:rPr>
                <w:sz w:val="20"/>
              </w:rPr>
            </w:pPr>
            <w:r>
              <w:rPr>
                <w:sz w:val="20"/>
              </w:rPr>
              <w:t>SA20: Waste</w:t>
            </w:r>
          </w:p>
        </w:tc>
        <w:tc>
          <w:tcPr>
            <w:tcW w:w="2918" w:type="dxa"/>
          </w:tcPr>
          <w:p>
            <w:pPr>
              <w:pStyle w:val="TableParagraph"/>
              <w:spacing w:line="224" w:lineRule="exact"/>
              <w:ind w:left="109"/>
              <w:rPr>
                <w:rFonts w:ascii="Symbol" w:hAnsi="Symbol"/>
                <w:sz w:val="20"/>
              </w:rPr>
            </w:pPr>
            <w:r>
              <w:rPr>
                <w:sz w:val="20"/>
              </w:rPr>
              <w:t>SA20: Waste</w:t>
            </w:r>
            <w:r>
              <w:rPr>
                <w:rFonts w:ascii="Symbol" w:hAnsi="Symbol"/>
                <w:sz w:val="20"/>
                <w:vertAlign w:val="superscript"/>
              </w:rPr>
              <w:t></w:t>
            </w:r>
          </w:p>
        </w:tc>
        <w:tc>
          <w:tcPr>
            <w:tcW w:w="801" w:type="dxa"/>
          </w:tcPr>
          <w:p>
            <w:pPr>
              <w:pStyle w:val="TableParagraph"/>
              <w:rPr>
                <w:rFonts w:ascii="Times New Roman"/>
                <w:sz w:val="16"/>
              </w:rPr>
            </w:pPr>
          </w:p>
        </w:tc>
        <w:tc>
          <w:tcPr>
            <w:tcW w:w="2104" w:type="dxa"/>
          </w:tcPr>
          <w:p>
            <w:pPr>
              <w:pStyle w:val="TableParagraph"/>
              <w:rPr>
                <w:rFonts w:ascii="Times New Roman"/>
                <w:sz w:val="16"/>
              </w:rPr>
            </w:pPr>
          </w:p>
        </w:tc>
        <w:tc>
          <w:tcPr>
            <w:tcW w:w="772" w:type="dxa"/>
          </w:tcPr>
          <w:p>
            <w:pPr>
              <w:pStyle w:val="TableParagraph"/>
              <w:rPr>
                <w:rFonts w:ascii="Times New Roman"/>
                <w:sz w:val="16"/>
              </w:rPr>
            </w:pPr>
          </w:p>
        </w:tc>
        <w:tc>
          <w:tcPr>
            <w:tcW w:w="1206" w:type="dxa"/>
          </w:tcPr>
          <w:p>
            <w:pPr>
              <w:pStyle w:val="TableParagraph"/>
              <w:rPr>
                <w:rFonts w:ascii="Times New Roman"/>
                <w:sz w:val="16"/>
              </w:rPr>
            </w:pPr>
          </w:p>
        </w:tc>
        <w:tc>
          <w:tcPr>
            <w:tcW w:w="1576" w:type="dxa"/>
          </w:tcPr>
          <w:p>
            <w:pPr>
              <w:pStyle w:val="TableParagraph"/>
              <w:spacing w:line="224" w:lineRule="exact"/>
              <w:ind w:left="112"/>
              <w:rPr>
                <w:sz w:val="20"/>
              </w:rPr>
            </w:pPr>
            <w:r>
              <w:rPr>
                <w:color w:val="0000FF"/>
                <w:sz w:val="20"/>
              </w:rPr>
              <w:t>Use of ‘site</w:t>
            </w:r>
          </w:p>
        </w:tc>
      </w:tr>
    </w:tbl>
    <w:p>
      <w:pPr>
        <w:pStyle w:val="BodyText"/>
        <w:spacing w:before="8"/>
        <w:rPr>
          <w:sz w:val="19"/>
        </w:rPr>
      </w:pPr>
      <w:r>
        <w:rPr/>
        <w:pict>
          <v:line style="position:absolute;mso-position-horizontal-relative:page;mso-position-vertical-relative:paragraph;z-index:1784;mso-wrap-distance-left:0;mso-wrap-distance-right:0" from="72pt,13.620001pt" to="216.000005pt,13.620001pt" stroked="true" strokeweight=".6pt" strokecolor="#000000">
            <v:stroke dashstyle="solid"/>
            <w10:wrap type="topAndBottom"/>
          </v:line>
        </w:pict>
      </w:r>
    </w:p>
    <w:p>
      <w:pPr>
        <w:pStyle w:val="ListParagraph"/>
        <w:numPr>
          <w:ilvl w:val="0"/>
          <w:numId w:val="55"/>
        </w:numPr>
        <w:tabs>
          <w:tab w:pos="341" w:val="left" w:leader="none"/>
        </w:tabs>
        <w:spacing w:line="254" w:lineRule="exact" w:before="62" w:after="0"/>
        <w:ind w:left="340" w:right="0" w:hanging="120"/>
        <w:jc w:val="left"/>
        <w:rPr>
          <w:sz w:val="20"/>
        </w:rPr>
      </w:pPr>
      <w:r>
        <w:rPr>
          <w:sz w:val="20"/>
        </w:rPr>
        <w:t>SEA Directive: Biodiversity, fauna,</w:t>
      </w:r>
      <w:r>
        <w:rPr>
          <w:spacing w:val="1"/>
          <w:sz w:val="20"/>
        </w:rPr>
        <w:t> </w:t>
      </w:r>
      <w:r>
        <w:rPr>
          <w:sz w:val="20"/>
        </w:rPr>
        <w:t>flora</w:t>
      </w:r>
    </w:p>
    <w:p>
      <w:pPr>
        <w:pStyle w:val="ListParagraph"/>
        <w:numPr>
          <w:ilvl w:val="0"/>
          <w:numId w:val="55"/>
        </w:numPr>
        <w:tabs>
          <w:tab w:pos="341" w:val="left" w:leader="none"/>
        </w:tabs>
        <w:spacing w:line="245" w:lineRule="exact" w:before="0" w:after="0"/>
        <w:ind w:left="340" w:right="0" w:hanging="120"/>
        <w:jc w:val="left"/>
        <w:rPr>
          <w:sz w:val="20"/>
        </w:rPr>
      </w:pPr>
      <w:r>
        <w:rPr>
          <w:sz w:val="20"/>
        </w:rPr>
        <w:t>SEA Directive: Climatic</w:t>
      </w:r>
      <w:r>
        <w:rPr>
          <w:spacing w:val="-19"/>
          <w:sz w:val="20"/>
        </w:rPr>
        <w:t> </w:t>
      </w:r>
      <w:r>
        <w:rPr>
          <w:sz w:val="20"/>
        </w:rPr>
        <w:t>factors</w:t>
      </w:r>
    </w:p>
    <w:p>
      <w:pPr>
        <w:pStyle w:val="ListParagraph"/>
        <w:numPr>
          <w:ilvl w:val="0"/>
          <w:numId w:val="55"/>
        </w:numPr>
        <w:tabs>
          <w:tab w:pos="341" w:val="left" w:leader="none"/>
        </w:tabs>
        <w:spacing w:line="254" w:lineRule="exact" w:before="0" w:after="0"/>
        <w:ind w:left="340" w:right="0" w:hanging="120"/>
        <w:jc w:val="left"/>
        <w:rPr>
          <w:sz w:val="20"/>
        </w:rPr>
      </w:pPr>
      <w:r>
        <w:rPr>
          <w:sz w:val="20"/>
        </w:rPr>
        <w:t>SEA Directive: Material</w:t>
      </w:r>
      <w:r>
        <w:rPr>
          <w:spacing w:val="-14"/>
          <w:sz w:val="20"/>
        </w:rPr>
        <w:t> </w:t>
      </w:r>
      <w:r>
        <w:rPr>
          <w:sz w:val="20"/>
        </w:rPr>
        <w:t>assets</w:t>
      </w:r>
    </w:p>
    <w:p>
      <w:pPr>
        <w:spacing w:after="0" w:line="254" w:lineRule="exact"/>
        <w:jc w:val="left"/>
        <w:rPr>
          <w:sz w:val="20"/>
        </w:rPr>
        <w:sectPr>
          <w:pgSz w:w="16840" w:h="11910" w:orient="landscape"/>
          <w:pgMar w:header="0" w:footer="822" w:top="1100" w:bottom="1020" w:left="1220" w:right="740"/>
        </w:sectPr>
      </w:pPr>
    </w:p>
    <w:p>
      <w:pPr>
        <w:pStyle w:val="BodyText"/>
        <w:spacing w:before="4" w:after="1"/>
        <w:rPr>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416"/>
        <w:gridCol w:w="2918"/>
        <w:gridCol w:w="801"/>
        <w:gridCol w:w="2104"/>
        <w:gridCol w:w="772"/>
        <w:gridCol w:w="1206"/>
        <w:gridCol w:w="1576"/>
      </w:tblGrid>
      <w:tr>
        <w:trPr>
          <w:trHeight w:val="458" w:hRule="atLeast"/>
        </w:trPr>
        <w:tc>
          <w:tcPr>
            <w:tcW w:w="2846" w:type="dxa"/>
            <w:shd w:val="clear" w:color="auto" w:fill="FF0000"/>
          </w:tcPr>
          <w:p>
            <w:pPr>
              <w:pStyle w:val="TableParagraph"/>
              <w:spacing w:line="228" w:lineRule="exact"/>
              <w:ind w:left="107" w:right="452"/>
              <w:rPr>
                <w:b/>
                <w:i/>
                <w:sz w:val="20"/>
              </w:rPr>
            </w:pPr>
            <w:r>
              <w:rPr>
                <w:b/>
                <w:sz w:val="20"/>
              </w:rPr>
              <w:t>Sustainability Objective and </w:t>
            </w:r>
            <w:r>
              <w:rPr>
                <w:b/>
                <w:i/>
                <w:sz w:val="20"/>
              </w:rPr>
              <w:t>definition</w:t>
            </w:r>
          </w:p>
        </w:tc>
        <w:tc>
          <w:tcPr>
            <w:tcW w:w="2416" w:type="dxa"/>
            <w:vMerge w:val="restart"/>
            <w:shd w:val="clear" w:color="auto" w:fill="FF0000"/>
          </w:tcPr>
          <w:p>
            <w:pPr>
              <w:pStyle w:val="TableParagraph"/>
              <w:spacing w:line="225" w:lineRule="exact"/>
              <w:ind w:left="108"/>
              <w:rPr>
                <w:b/>
                <w:sz w:val="20"/>
              </w:rPr>
            </w:pPr>
            <w:r>
              <w:rPr>
                <w:b/>
                <w:sz w:val="20"/>
              </w:rPr>
              <w:t>Justification</w:t>
            </w:r>
          </w:p>
        </w:tc>
        <w:tc>
          <w:tcPr>
            <w:tcW w:w="2918" w:type="dxa"/>
            <w:vMerge w:val="restart"/>
            <w:shd w:val="clear" w:color="auto" w:fill="FF0000"/>
          </w:tcPr>
          <w:p>
            <w:pPr>
              <w:pStyle w:val="TableParagraph"/>
              <w:spacing w:line="225" w:lineRule="exact"/>
              <w:ind w:left="109"/>
              <w:rPr>
                <w:b/>
                <w:sz w:val="20"/>
              </w:rPr>
            </w:pPr>
            <w:r>
              <w:rPr>
                <w:b/>
                <w:sz w:val="20"/>
              </w:rPr>
              <w:t>Linked objective and</w:t>
            </w:r>
          </w:p>
          <w:p>
            <w:pPr>
              <w:pStyle w:val="TableParagraph"/>
              <w:ind w:left="109"/>
              <w:rPr>
                <w:b/>
                <w:i/>
                <w:sz w:val="20"/>
              </w:rPr>
            </w:pPr>
            <w:r>
              <w:rPr>
                <w:b/>
                <w:i/>
                <w:sz w:val="20"/>
              </w:rPr>
              <w:t>Decision making criteria:</w:t>
            </w:r>
          </w:p>
          <w:p>
            <w:pPr>
              <w:pStyle w:val="TableParagraph"/>
              <w:spacing w:before="9"/>
              <w:rPr>
                <w:sz w:val="19"/>
              </w:rPr>
            </w:pPr>
          </w:p>
          <w:p>
            <w:pPr>
              <w:pStyle w:val="TableParagraph"/>
              <w:ind w:left="109" w:right="320"/>
              <w:rPr>
                <w:b/>
                <w:sz w:val="16"/>
              </w:rPr>
            </w:pPr>
            <w:r>
              <w:rPr>
                <w:b/>
                <w:sz w:val="16"/>
              </w:rPr>
              <w:t>Yellow highlight = Health Impact Monitoring</w:t>
            </w:r>
          </w:p>
          <w:p>
            <w:pPr>
              <w:pStyle w:val="TableParagraph"/>
              <w:ind w:left="109" w:right="355"/>
              <w:rPr>
                <w:b/>
                <w:sz w:val="16"/>
              </w:rPr>
            </w:pPr>
            <w:r>
              <w:rPr>
                <w:b/>
                <w:sz w:val="16"/>
              </w:rPr>
              <w:t>Blue highlight = Equality</w:t>
            </w:r>
            <w:r>
              <w:rPr>
                <w:b/>
                <w:spacing w:val="-8"/>
                <w:sz w:val="16"/>
              </w:rPr>
              <w:t> </w:t>
            </w:r>
            <w:r>
              <w:rPr>
                <w:b/>
                <w:sz w:val="16"/>
              </w:rPr>
              <w:t>Impact Monitoring</w:t>
            </w:r>
          </w:p>
          <w:p>
            <w:pPr>
              <w:pStyle w:val="TableParagraph"/>
              <w:spacing w:before="1"/>
              <w:ind w:left="109" w:right="596"/>
              <w:rPr>
                <w:b/>
                <w:sz w:val="16"/>
              </w:rPr>
            </w:pPr>
            <w:r>
              <w:rPr>
                <w:b/>
                <w:sz w:val="16"/>
              </w:rPr>
              <w:t>Green highlight = Health and Equality Impact Monitoring</w:t>
            </w:r>
          </w:p>
        </w:tc>
        <w:tc>
          <w:tcPr>
            <w:tcW w:w="2905" w:type="dxa"/>
            <w:gridSpan w:val="2"/>
            <w:shd w:val="clear" w:color="auto" w:fill="FF0000"/>
          </w:tcPr>
          <w:p>
            <w:pPr>
              <w:pStyle w:val="TableParagraph"/>
              <w:spacing w:line="225" w:lineRule="exact"/>
              <w:ind w:left="109"/>
              <w:rPr>
                <w:b/>
                <w:sz w:val="20"/>
              </w:rPr>
            </w:pPr>
            <w:r>
              <w:rPr>
                <w:b/>
                <w:sz w:val="20"/>
              </w:rPr>
              <w:t>OPTION A</w:t>
            </w:r>
          </w:p>
        </w:tc>
        <w:tc>
          <w:tcPr>
            <w:tcW w:w="1978" w:type="dxa"/>
            <w:gridSpan w:val="2"/>
            <w:shd w:val="clear" w:color="auto" w:fill="FF0000"/>
          </w:tcPr>
          <w:p>
            <w:pPr>
              <w:pStyle w:val="TableParagraph"/>
              <w:spacing w:line="225" w:lineRule="exact"/>
              <w:ind w:left="110"/>
              <w:rPr>
                <w:b/>
                <w:sz w:val="20"/>
              </w:rPr>
            </w:pPr>
            <w:r>
              <w:rPr>
                <w:b/>
                <w:sz w:val="20"/>
              </w:rPr>
              <w:t>OPTION B</w:t>
            </w:r>
          </w:p>
        </w:tc>
        <w:tc>
          <w:tcPr>
            <w:tcW w:w="1576" w:type="dxa"/>
            <w:vMerge w:val="restart"/>
            <w:shd w:val="clear" w:color="auto" w:fill="FF0000"/>
          </w:tcPr>
          <w:p>
            <w:pPr>
              <w:pStyle w:val="TableParagraph"/>
              <w:ind w:left="112" w:right="122"/>
              <w:rPr>
                <w:b/>
                <w:sz w:val="20"/>
              </w:rPr>
            </w:pPr>
            <w:r>
              <w:rPr>
                <w:b/>
                <w:sz w:val="20"/>
              </w:rPr>
              <w:t>Opportunities to improve sustainability</w:t>
            </w:r>
          </w:p>
          <w:p>
            <w:pPr>
              <w:pStyle w:val="TableParagraph"/>
              <w:ind w:left="112" w:right="122"/>
              <w:rPr>
                <w:b/>
                <w:sz w:val="20"/>
              </w:rPr>
            </w:pPr>
            <w:r>
              <w:rPr>
                <w:b/>
                <w:sz w:val="20"/>
              </w:rPr>
              <w:t>/ mitigate negative sustainability impacts</w:t>
            </w:r>
          </w:p>
        </w:tc>
      </w:tr>
      <w:tr>
        <w:trPr>
          <w:trHeight w:val="1415" w:hRule="atLeast"/>
        </w:trPr>
        <w:tc>
          <w:tcPr>
            <w:tcW w:w="2846" w:type="dxa"/>
            <w:shd w:val="clear" w:color="auto" w:fill="FF0000"/>
          </w:tcPr>
          <w:p>
            <w:pPr>
              <w:pStyle w:val="TableParagraph"/>
              <w:ind w:left="107" w:right="864"/>
              <w:rPr>
                <w:b/>
                <w:sz w:val="20"/>
              </w:rPr>
            </w:pPr>
            <w:r>
              <w:rPr>
                <w:b/>
                <w:sz w:val="20"/>
              </w:rPr>
              <w:t>Linked to Up / Mid / Downstream topics</w:t>
            </w:r>
          </w:p>
        </w:tc>
        <w:tc>
          <w:tcPr>
            <w:tcW w:w="2416" w:type="dxa"/>
            <w:vMerge/>
            <w:tcBorders>
              <w:top w:val="nil"/>
            </w:tcBorders>
            <w:shd w:val="clear" w:color="auto" w:fill="FF0000"/>
          </w:tcPr>
          <w:p>
            <w:pPr>
              <w:rPr>
                <w:sz w:val="2"/>
                <w:szCs w:val="2"/>
              </w:rPr>
            </w:pPr>
          </w:p>
        </w:tc>
        <w:tc>
          <w:tcPr>
            <w:tcW w:w="2918" w:type="dxa"/>
            <w:vMerge/>
            <w:tcBorders>
              <w:top w:val="nil"/>
            </w:tcBorders>
            <w:shd w:val="clear" w:color="auto" w:fill="FF0000"/>
          </w:tcPr>
          <w:p>
            <w:pPr>
              <w:rPr>
                <w:sz w:val="2"/>
                <w:szCs w:val="2"/>
              </w:rPr>
            </w:pPr>
          </w:p>
        </w:tc>
        <w:tc>
          <w:tcPr>
            <w:tcW w:w="801" w:type="dxa"/>
            <w:shd w:val="clear" w:color="auto" w:fill="FF0000"/>
          </w:tcPr>
          <w:p>
            <w:pPr>
              <w:pStyle w:val="TableParagraph"/>
              <w:spacing w:line="225" w:lineRule="exact"/>
              <w:ind w:left="89" w:right="105"/>
              <w:jc w:val="center"/>
              <w:rPr>
                <w:b/>
                <w:sz w:val="20"/>
              </w:rPr>
            </w:pPr>
            <w:r>
              <w:rPr>
                <w:b/>
                <w:sz w:val="20"/>
              </w:rPr>
              <w:t>Score</w:t>
            </w:r>
          </w:p>
        </w:tc>
        <w:tc>
          <w:tcPr>
            <w:tcW w:w="2104" w:type="dxa"/>
            <w:shd w:val="clear" w:color="auto" w:fill="FF0000"/>
          </w:tcPr>
          <w:p>
            <w:pPr>
              <w:pStyle w:val="TableParagraph"/>
              <w:spacing w:line="225" w:lineRule="exact"/>
              <w:ind w:left="110"/>
              <w:rPr>
                <w:b/>
                <w:sz w:val="20"/>
              </w:rPr>
            </w:pPr>
            <w:r>
              <w:rPr>
                <w:b/>
                <w:sz w:val="20"/>
              </w:rPr>
              <w:t>Record of Decision</w:t>
            </w:r>
          </w:p>
        </w:tc>
        <w:tc>
          <w:tcPr>
            <w:tcW w:w="772" w:type="dxa"/>
            <w:shd w:val="clear" w:color="auto" w:fill="FF0000"/>
          </w:tcPr>
          <w:p>
            <w:pPr>
              <w:pStyle w:val="TableParagraph"/>
              <w:spacing w:line="225" w:lineRule="exact"/>
              <w:ind w:left="110"/>
              <w:rPr>
                <w:b/>
                <w:sz w:val="20"/>
              </w:rPr>
            </w:pPr>
            <w:r>
              <w:rPr>
                <w:b/>
                <w:sz w:val="20"/>
              </w:rPr>
              <w:t>Score</w:t>
            </w:r>
          </w:p>
        </w:tc>
        <w:tc>
          <w:tcPr>
            <w:tcW w:w="1206" w:type="dxa"/>
            <w:shd w:val="clear" w:color="auto" w:fill="FF0000"/>
          </w:tcPr>
          <w:p>
            <w:pPr>
              <w:pStyle w:val="TableParagraph"/>
              <w:ind w:left="111"/>
              <w:rPr>
                <w:b/>
                <w:sz w:val="20"/>
              </w:rPr>
            </w:pPr>
            <w:r>
              <w:rPr>
                <w:b/>
                <w:sz w:val="20"/>
              </w:rPr>
              <w:t>Record of Decision</w:t>
            </w:r>
          </w:p>
        </w:tc>
        <w:tc>
          <w:tcPr>
            <w:tcW w:w="1576" w:type="dxa"/>
            <w:vMerge/>
            <w:tcBorders>
              <w:top w:val="nil"/>
            </w:tcBorders>
            <w:shd w:val="clear" w:color="auto" w:fill="FF0000"/>
          </w:tcPr>
          <w:p>
            <w:pPr>
              <w:rPr>
                <w:sz w:val="2"/>
                <w:szCs w:val="2"/>
              </w:rPr>
            </w:pPr>
          </w:p>
        </w:tc>
      </w:tr>
      <w:tr>
        <w:trPr>
          <w:trHeight w:val="224" w:hRule="atLeast"/>
        </w:trPr>
        <w:tc>
          <w:tcPr>
            <w:tcW w:w="2846" w:type="dxa"/>
            <w:vMerge w:val="restart"/>
          </w:tcPr>
          <w:p>
            <w:pPr>
              <w:pStyle w:val="TableParagraph"/>
              <w:rPr>
                <w:rFonts w:ascii="Times New Roman"/>
                <w:sz w:val="18"/>
              </w:rPr>
            </w:pPr>
          </w:p>
        </w:tc>
        <w:tc>
          <w:tcPr>
            <w:tcW w:w="2416" w:type="dxa"/>
            <w:tcBorders>
              <w:bottom w:val="nil"/>
            </w:tcBorders>
          </w:tcPr>
          <w:p>
            <w:pPr>
              <w:pStyle w:val="TableParagraph"/>
              <w:spacing w:line="205" w:lineRule="exact"/>
              <w:ind w:left="108"/>
              <w:rPr>
                <w:i/>
                <w:sz w:val="20"/>
              </w:rPr>
            </w:pPr>
            <w:r>
              <w:rPr>
                <w:i/>
                <w:sz w:val="20"/>
              </w:rPr>
              <w:t>Efficient use of</w:t>
            </w:r>
          </w:p>
        </w:tc>
        <w:tc>
          <w:tcPr>
            <w:tcW w:w="2918" w:type="dxa"/>
            <w:tcBorders>
              <w:bottom w:val="nil"/>
            </w:tcBorders>
          </w:tcPr>
          <w:p>
            <w:pPr>
              <w:pStyle w:val="TableParagraph"/>
              <w:spacing w:line="205" w:lineRule="exact"/>
              <w:ind w:left="109"/>
              <w:rPr>
                <w:i/>
                <w:sz w:val="20"/>
              </w:rPr>
            </w:pPr>
            <w:r>
              <w:rPr>
                <w:i/>
                <w:sz w:val="20"/>
              </w:rPr>
              <w:t>How does the contribution to</w:t>
            </w:r>
          </w:p>
        </w:tc>
        <w:tc>
          <w:tcPr>
            <w:tcW w:w="801" w:type="dxa"/>
            <w:tcBorders>
              <w:bottom w:val="nil"/>
            </w:tcBorders>
          </w:tcPr>
          <w:p>
            <w:pPr>
              <w:pStyle w:val="TableParagraph"/>
              <w:spacing w:line="205" w:lineRule="exact"/>
              <w:ind w:left="12"/>
              <w:jc w:val="center"/>
              <w:rPr>
                <w:sz w:val="20"/>
              </w:rPr>
            </w:pPr>
            <w:r>
              <w:rPr>
                <w:color w:val="0000FF"/>
                <w:w w:val="99"/>
                <w:sz w:val="20"/>
              </w:rPr>
              <w:t>-</w:t>
            </w:r>
          </w:p>
        </w:tc>
        <w:tc>
          <w:tcPr>
            <w:tcW w:w="2104" w:type="dxa"/>
            <w:tcBorders>
              <w:bottom w:val="nil"/>
            </w:tcBorders>
          </w:tcPr>
          <w:p>
            <w:pPr>
              <w:pStyle w:val="TableParagraph"/>
              <w:spacing w:line="205" w:lineRule="exact"/>
              <w:ind w:left="110"/>
              <w:rPr>
                <w:sz w:val="20"/>
              </w:rPr>
            </w:pPr>
            <w:r>
              <w:rPr>
                <w:color w:val="0000FF"/>
                <w:sz w:val="20"/>
              </w:rPr>
              <w:t>Construction creates</w:t>
            </w:r>
          </w:p>
        </w:tc>
        <w:tc>
          <w:tcPr>
            <w:tcW w:w="772" w:type="dxa"/>
            <w:vMerge w:val="restart"/>
          </w:tcPr>
          <w:p>
            <w:pPr>
              <w:pStyle w:val="TableParagraph"/>
              <w:rPr>
                <w:rFonts w:ascii="Times New Roman"/>
                <w:sz w:val="18"/>
              </w:rPr>
            </w:pPr>
          </w:p>
        </w:tc>
        <w:tc>
          <w:tcPr>
            <w:tcW w:w="1206" w:type="dxa"/>
            <w:vMerge w:val="restart"/>
          </w:tcPr>
          <w:p>
            <w:pPr>
              <w:pStyle w:val="TableParagraph"/>
              <w:rPr>
                <w:rFonts w:ascii="Times New Roman"/>
                <w:sz w:val="18"/>
              </w:rPr>
            </w:pPr>
          </w:p>
        </w:tc>
        <w:tc>
          <w:tcPr>
            <w:tcW w:w="1576" w:type="dxa"/>
            <w:tcBorders>
              <w:bottom w:val="nil"/>
            </w:tcBorders>
          </w:tcPr>
          <w:p>
            <w:pPr>
              <w:pStyle w:val="TableParagraph"/>
              <w:spacing w:line="205" w:lineRule="exact"/>
              <w:ind w:left="112"/>
              <w:rPr>
                <w:sz w:val="20"/>
              </w:rPr>
            </w:pPr>
            <w:r>
              <w:rPr>
                <w:color w:val="0000FF"/>
                <w:sz w:val="20"/>
              </w:rPr>
              <w:t>waste</w:t>
            </w:r>
          </w:p>
        </w:tc>
      </w:tr>
      <w:tr>
        <w:trPr>
          <w:trHeight w:val="219"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9" w:lineRule="exact"/>
              <w:ind w:left="108"/>
              <w:rPr>
                <w:i/>
                <w:sz w:val="20"/>
              </w:rPr>
            </w:pPr>
            <w:r>
              <w:rPr>
                <w:i/>
                <w:sz w:val="20"/>
              </w:rPr>
              <w:t>resources will result in</w:t>
            </w:r>
          </w:p>
        </w:tc>
        <w:tc>
          <w:tcPr>
            <w:tcW w:w="2918" w:type="dxa"/>
            <w:tcBorders>
              <w:top w:val="nil"/>
              <w:bottom w:val="nil"/>
            </w:tcBorders>
          </w:tcPr>
          <w:p>
            <w:pPr>
              <w:pStyle w:val="TableParagraph"/>
              <w:spacing w:line="199" w:lineRule="exact"/>
              <w:ind w:left="109"/>
              <w:rPr>
                <w:i/>
                <w:sz w:val="20"/>
              </w:rPr>
            </w:pPr>
            <w:r>
              <w:rPr>
                <w:i/>
                <w:sz w:val="20"/>
              </w:rPr>
              <w:t>resource consumption affect</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waste – materials</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management</w:t>
            </w:r>
          </w:p>
        </w:tc>
      </w:tr>
      <w:tr>
        <w:trPr>
          <w:trHeight w:val="219" w:hRule="atLeast"/>
        </w:trPr>
        <w:tc>
          <w:tcPr>
            <w:tcW w:w="2846" w:type="dxa"/>
            <w:vMerge/>
            <w:tcBorders>
              <w:top w:val="nil"/>
            </w:tcBorders>
          </w:tcPr>
          <w:p>
            <w:pPr>
              <w:rPr>
                <w:sz w:val="2"/>
                <w:szCs w:val="2"/>
              </w:rPr>
            </w:pPr>
          </w:p>
        </w:tc>
        <w:tc>
          <w:tcPr>
            <w:tcW w:w="2416" w:type="dxa"/>
            <w:tcBorders>
              <w:top w:val="nil"/>
              <w:bottom w:val="nil"/>
            </w:tcBorders>
          </w:tcPr>
          <w:p>
            <w:pPr>
              <w:pStyle w:val="TableParagraph"/>
              <w:spacing w:line="199" w:lineRule="exact"/>
              <w:ind w:left="108"/>
              <w:rPr>
                <w:i/>
                <w:sz w:val="20"/>
              </w:rPr>
            </w:pPr>
            <w:r>
              <w:rPr>
                <w:i/>
                <w:sz w:val="20"/>
              </w:rPr>
              <w:t>less waste arisings.</w:t>
            </w:r>
          </w:p>
        </w:tc>
        <w:tc>
          <w:tcPr>
            <w:tcW w:w="2918" w:type="dxa"/>
            <w:tcBorders>
              <w:top w:val="nil"/>
              <w:bottom w:val="nil"/>
            </w:tcBorders>
          </w:tcPr>
          <w:p>
            <w:pPr>
              <w:pStyle w:val="TableParagraph"/>
              <w:spacing w:line="199" w:lineRule="exact"/>
              <w:ind w:left="109"/>
              <w:rPr>
                <w:i/>
                <w:sz w:val="20"/>
              </w:rPr>
            </w:pPr>
            <w:r>
              <w:rPr>
                <w:i/>
                <w:sz w:val="20"/>
              </w:rPr>
              <w:t>waste and waste</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199" w:lineRule="exact"/>
              <w:ind w:left="110"/>
              <w:rPr>
                <w:sz w:val="20"/>
              </w:rPr>
            </w:pPr>
            <w:r>
              <w:rPr>
                <w:color w:val="0000FF"/>
                <w:sz w:val="20"/>
              </w:rPr>
              <w:t>should be reused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199" w:lineRule="exact"/>
              <w:ind w:left="112"/>
              <w:rPr>
                <w:sz w:val="20"/>
              </w:rPr>
            </w:pPr>
            <w:r>
              <w:rPr>
                <w:color w:val="0000FF"/>
                <w:sz w:val="20"/>
              </w:rPr>
              <w:t>plans’ to</w:t>
            </w:r>
          </w:p>
        </w:tc>
      </w:tr>
      <w:tr>
        <w:trPr>
          <w:trHeight w:val="221" w:hRule="atLeast"/>
        </w:trPr>
        <w:tc>
          <w:tcPr>
            <w:tcW w:w="2846" w:type="dxa"/>
            <w:vMerge/>
            <w:tcBorders>
              <w:top w:val="nil"/>
            </w:tcBorders>
          </w:tcPr>
          <w:p>
            <w:pPr>
              <w:rPr>
                <w:sz w:val="2"/>
                <w:szCs w:val="2"/>
              </w:rPr>
            </w:pPr>
          </w:p>
        </w:tc>
        <w:tc>
          <w:tcPr>
            <w:tcW w:w="2416" w:type="dxa"/>
            <w:tcBorders>
              <w:top w:val="nil"/>
              <w:bottom w:val="nil"/>
            </w:tcBorders>
          </w:tcPr>
          <w:p>
            <w:pPr>
              <w:pStyle w:val="TableParagraph"/>
              <w:rPr>
                <w:rFonts w:ascii="Times New Roman"/>
                <w:sz w:val="14"/>
              </w:rPr>
            </w:pPr>
          </w:p>
        </w:tc>
        <w:tc>
          <w:tcPr>
            <w:tcW w:w="2918" w:type="dxa"/>
            <w:tcBorders>
              <w:top w:val="nil"/>
              <w:bottom w:val="nil"/>
            </w:tcBorders>
          </w:tcPr>
          <w:p>
            <w:pPr>
              <w:pStyle w:val="TableParagraph"/>
              <w:spacing w:line="202" w:lineRule="exact"/>
              <w:ind w:left="109"/>
              <w:rPr>
                <w:i/>
                <w:sz w:val="20"/>
              </w:rPr>
            </w:pPr>
            <w:r>
              <w:rPr>
                <w:i/>
                <w:sz w:val="20"/>
              </w:rPr>
              <w:t>management?</w:t>
            </w:r>
          </w:p>
        </w:tc>
        <w:tc>
          <w:tcPr>
            <w:tcW w:w="801" w:type="dxa"/>
            <w:tcBorders>
              <w:top w:val="nil"/>
              <w:bottom w:val="nil"/>
            </w:tcBorders>
          </w:tcPr>
          <w:p>
            <w:pPr>
              <w:pStyle w:val="TableParagraph"/>
              <w:rPr>
                <w:rFonts w:ascii="Times New Roman"/>
                <w:sz w:val="14"/>
              </w:rPr>
            </w:pPr>
          </w:p>
        </w:tc>
        <w:tc>
          <w:tcPr>
            <w:tcW w:w="2104" w:type="dxa"/>
            <w:tcBorders>
              <w:top w:val="nil"/>
              <w:bottom w:val="nil"/>
            </w:tcBorders>
          </w:tcPr>
          <w:p>
            <w:pPr>
              <w:pStyle w:val="TableParagraph"/>
              <w:spacing w:line="202" w:lineRule="exact"/>
              <w:ind w:left="110"/>
              <w:rPr>
                <w:sz w:val="20"/>
              </w:rPr>
            </w:pPr>
            <w:r>
              <w:rPr>
                <w:color w:val="0000FF"/>
                <w:sz w:val="20"/>
              </w:rPr>
              <w:t>and recycled</w:t>
            </w: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bottom w:val="nil"/>
            </w:tcBorders>
          </w:tcPr>
          <w:p>
            <w:pPr>
              <w:pStyle w:val="TableParagraph"/>
              <w:spacing w:line="202" w:lineRule="exact"/>
              <w:ind w:left="112"/>
              <w:rPr>
                <w:sz w:val="20"/>
              </w:rPr>
            </w:pPr>
            <w:r>
              <w:rPr>
                <w:color w:val="0000FF"/>
                <w:sz w:val="20"/>
              </w:rPr>
              <w:t>reduce waste</w:t>
            </w:r>
          </w:p>
        </w:tc>
      </w:tr>
      <w:tr>
        <w:trPr>
          <w:trHeight w:val="224" w:hRule="atLeast"/>
        </w:trPr>
        <w:tc>
          <w:tcPr>
            <w:tcW w:w="2846" w:type="dxa"/>
            <w:vMerge/>
            <w:tcBorders>
              <w:top w:val="nil"/>
            </w:tcBorders>
          </w:tcPr>
          <w:p>
            <w:pPr>
              <w:rPr>
                <w:sz w:val="2"/>
                <w:szCs w:val="2"/>
              </w:rPr>
            </w:pPr>
          </w:p>
        </w:tc>
        <w:tc>
          <w:tcPr>
            <w:tcW w:w="2416" w:type="dxa"/>
            <w:tcBorders>
              <w:top w:val="nil"/>
            </w:tcBorders>
          </w:tcPr>
          <w:p>
            <w:pPr>
              <w:pStyle w:val="TableParagraph"/>
              <w:rPr>
                <w:rFonts w:ascii="Times New Roman"/>
                <w:sz w:val="16"/>
              </w:rPr>
            </w:pPr>
          </w:p>
        </w:tc>
        <w:tc>
          <w:tcPr>
            <w:tcW w:w="2918" w:type="dxa"/>
            <w:tcBorders>
              <w:top w:val="nil"/>
            </w:tcBorders>
          </w:tcPr>
          <w:p>
            <w:pPr>
              <w:pStyle w:val="TableParagraph"/>
              <w:rPr>
                <w:rFonts w:ascii="Times New Roman"/>
                <w:sz w:val="16"/>
              </w:rPr>
            </w:pPr>
          </w:p>
        </w:tc>
        <w:tc>
          <w:tcPr>
            <w:tcW w:w="801" w:type="dxa"/>
            <w:tcBorders>
              <w:top w:val="nil"/>
            </w:tcBorders>
          </w:tcPr>
          <w:p>
            <w:pPr>
              <w:pStyle w:val="TableParagraph"/>
              <w:rPr>
                <w:rFonts w:ascii="Times New Roman"/>
                <w:sz w:val="16"/>
              </w:rPr>
            </w:pPr>
          </w:p>
        </w:tc>
        <w:tc>
          <w:tcPr>
            <w:tcW w:w="2104" w:type="dxa"/>
            <w:tcBorders>
              <w:top w:val="nil"/>
            </w:tcBorders>
          </w:tcPr>
          <w:p>
            <w:pPr>
              <w:pStyle w:val="TableParagraph"/>
              <w:rPr>
                <w:rFonts w:ascii="Times New Roman"/>
                <w:sz w:val="16"/>
              </w:rPr>
            </w:pPr>
          </w:p>
        </w:tc>
        <w:tc>
          <w:tcPr>
            <w:tcW w:w="772" w:type="dxa"/>
            <w:vMerge/>
            <w:tcBorders>
              <w:top w:val="nil"/>
            </w:tcBorders>
          </w:tcPr>
          <w:p>
            <w:pPr>
              <w:rPr>
                <w:sz w:val="2"/>
                <w:szCs w:val="2"/>
              </w:rPr>
            </w:pPr>
          </w:p>
        </w:tc>
        <w:tc>
          <w:tcPr>
            <w:tcW w:w="1206" w:type="dxa"/>
            <w:vMerge/>
            <w:tcBorders>
              <w:top w:val="nil"/>
            </w:tcBorders>
          </w:tcPr>
          <w:p>
            <w:pPr>
              <w:rPr>
                <w:sz w:val="2"/>
                <w:szCs w:val="2"/>
              </w:rPr>
            </w:pPr>
          </w:p>
        </w:tc>
        <w:tc>
          <w:tcPr>
            <w:tcW w:w="1576" w:type="dxa"/>
            <w:tcBorders>
              <w:top w:val="nil"/>
            </w:tcBorders>
          </w:tcPr>
          <w:p>
            <w:pPr>
              <w:pStyle w:val="TableParagraph"/>
              <w:spacing w:line="205" w:lineRule="exact"/>
              <w:ind w:left="112"/>
              <w:rPr>
                <w:sz w:val="20"/>
              </w:rPr>
            </w:pPr>
            <w:r>
              <w:rPr>
                <w:color w:val="0000FF"/>
                <w:sz w:val="20"/>
              </w:rPr>
              <w:t>consumption</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r>
        <w:rPr/>
        <w:pict>
          <v:line style="position:absolute;mso-position-horizontal-relative:page;mso-position-vertical-relative:paragraph;z-index:1808;mso-wrap-distance-left:0;mso-wrap-distance-right:0" from="72pt,18.585384pt" to="778.920022pt,18.585384pt" stroked="true" strokeweight=".6pt" strokecolor="#000000">
            <v:stroke dashstyle="solid"/>
            <w10:wrap type="topAndBottom"/>
          </v:line>
        </w:pict>
      </w:r>
    </w:p>
    <w:p>
      <w:pPr>
        <w:pStyle w:val="ListParagraph"/>
        <w:numPr>
          <w:ilvl w:val="0"/>
          <w:numId w:val="55"/>
        </w:numPr>
        <w:tabs>
          <w:tab w:pos="341" w:val="left" w:leader="none"/>
        </w:tabs>
        <w:spacing w:line="240" w:lineRule="auto" w:before="62" w:after="0"/>
        <w:ind w:left="340" w:right="0" w:hanging="120"/>
        <w:jc w:val="left"/>
        <w:rPr>
          <w:sz w:val="20"/>
        </w:rPr>
      </w:pPr>
      <w:r>
        <w:rPr>
          <w:sz w:val="20"/>
        </w:rPr>
        <w:t>SEA Directive: Material</w:t>
      </w:r>
      <w:r>
        <w:rPr>
          <w:spacing w:val="2"/>
          <w:sz w:val="20"/>
        </w:rPr>
        <w:t> </w:t>
      </w:r>
      <w:r>
        <w:rPr>
          <w:sz w:val="20"/>
        </w:rPr>
        <w:t>assets</w:t>
      </w:r>
    </w:p>
    <w:p>
      <w:pPr>
        <w:spacing w:after="0" w:line="240" w:lineRule="auto"/>
        <w:jc w:val="left"/>
        <w:rPr>
          <w:sz w:val="20"/>
        </w:rPr>
        <w:sectPr>
          <w:pgSz w:w="16840" w:h="11910" w:orient="landscape"/>
          <w:pgMar w:header="0" w:footer="822" w:top="1100" w:bottom="1080" w:left="1220" w:right="740"/>
        </w:sectPr>
      </w:pPr>
    </w:p>
    <w:p>
      <w:pPr>
        <w:pStyle w:val="BodyText"/>
        <w:spacing w:before="10"/>
        <w:rPr>
          <w:sz w:val="25"/>
        </w:rPr>
      </w:pPr>
    </w:p>
    <w:p>
      <w:pPr>
        <w:pStyle w:val="Heading2"/>
        <w:spacing w:before="92"/>
        <w:ind w:left="220"/>
      </w:pPr>
      <w:bookmarkStart w:name="_TOC_250000" w:id="99"/>
      <w:bookmarkEnd w:id="99"/>
      <w:r>
        <w:rPr/>
        <w:t>Appendix F – Climate Proofing Assessment</w:t>
      </w:r>
    </w:p>
    <w:p>
      <w:pPr>
        <w:pStyle w:val="BodyText"/>
        <w:spacing w:before="3"/>
        <w:rPr>
          <w:b/>
          <w:sz w:val="29"/>
        </w:rPr>
      </w:pPr>
    </w:p>
    <w:p>
      <w:pPr>
        <w:pStyle w:val="Heading3"/>
        <w:ind w:left="220" w:right="982"/>
      </w:pPr>
      <w:r>
        <w:rPr/>
        <w:t>This is a summary of the discussions undertaken on 5</w:t>
      </w:r>
      <w:r>
        <w:rPr>
          <w:vertAlign w:val="superscript"/>
        </w:rPr>
        <w:t>th</w:t>
      </w:r>
      <w:r>
        <w:rPr>
          <w:vertAlign w:val="baseline"/>
        </w:rPr>
        <w:t> July 2012 to appraise the Leeds Local Flood Risk Management Strategy. The discussions from the SEA workshop are in the </w:t>
      </w:r>
      <w:r>
        <w:rPr>
          <w:b/>
          <w:color w:val="0000FF"/>
          <w:vertAlign w:val="baseline"/>
        </w:rPr>
        <w:t>blue </w:t>
      </w:r>
      <w:r>
        <w:rPr>
          <w:vertAlign w:val="baseline"/>
        </w:rPr>
        <w:t>coloured font.</w:t>
      </w:r>
    </w:p>
    <w:p>
      <w:pPr>
        <w:pStyle w:val="BodyText"/>
        <w:spacing w:before="2"/>
        <w:rPr>
          <w:sz w:val="20"/>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2560"/>
        <w:gridCol w:w="5159"/>
        <w:gridCol w:w="3779"/>
      </w:tblGrid>
      <w:tr>
        <w:trPr>
          <w:trHeight w:val="798" w:hRule="atLeast"/>
        </w:trPr>
        <w:tc>
          <w:tcPr>
            <w:tcW w:w="5118" w:type="dxa"/>
            <w:gridSpan w:val="2"/>
            <w:shd w:val="clear" w:color="auto" w:fill="CCCCCC"/>
          </w:tcPr>
          <w:p>
            <w:pPr>
              <w:pStyle w:val="TableParagraph"/>
              <w:spacing w:before="1"/>
              <w:rPr>
                <w:sz w:val="23"/>
              </w:rPr>
            </w:pPr>
          </w:p>
          <w:p>
            <w:pPr>
              <w:pStyle w:val="TableParagraph"/>
              <w:ind w:left="1305"/>
              <w:rPr>
                <w:b/>
                <w:sz w:val="22"/>
              </w:rPr>
            </w:pPr>
            <w:r>
              <w:rPr>
                <w:b/>
                <w:sz w:val="22"/>
              </w:rPr>
              <w:t>STRATEGY OBJECTIVE</w:t>
            </w:r>
          </w:p>
        </w:tc>
        <w:tc>
          <w:tcPr>
            <w:tcW w:w="5159" w:type="dxa"/>
            <w:shd w:val="clear" w:color="auto" w:fill="CCCCCC"/>
          </w:tcPr>
          <w:p>
            <w:pPr>
              <w:pStyle w:val="TableParagraph"/>
              <w:spacing w:before="151"/>
              <w:ind w:left="435" w:right="422"/>
              <w:jc w:val="center"/>
              <w:rPr>
                <w:b/>
                <w:sz w:val="22"/>
              </w:rPr>
            </w:pPr>
            <w:r>
              <w:rPr>
                <w:b/>
                <w:sz w:val="22"/>
              </w:rPr>
              <w:t>EXISTING CLIMATE RISKS</w:t>
            </w:r>
          </w:p>
          <w:p>
            <w:pPr>
              <w:pStyle w:val="TableParagraph"/>
              <w:spacing w:before="1"/>
              <w:ind w:left="435" w:right="427"/>
              <w:jc w:val="center"/>
              <w:rPr>
                <w:b/>
                <w:sz w:val="20"/>
              </w:rPr>
            </w:pPr>
            <w:r>
              <w:rPr>
                <w:b/>
                <w:sz w:val="20"/>
              </w:rPr>
              <w:t>(vulnerability mapping / LCLIP / PEPU Plans)</w:t>
            </w:r>
          </w:p>
        </w:tc>
        <w:tc>
          <w:tcPr>
            <w:tcW w:w="3779" w:type="dxa"/>
            <w:shd w:val="clear" w:color="auto" w:fill="CCCCCC"/>
          </w:tcPr>
          <w:p>
            <w:pPr>
              <w:pStyle w:val="TableParagraph"/>
              <w:spacing w:before="151"/>
              <w:ind w:left="119" w:right="105"/>
              <w:jc w:val="center"/>
              <w:rPr>
                <w:b/>
                <w:sz w:val="22"/>
              </w:rPr>
            </w:pPr>
            <w:r>
              <w:rPr>
                <w:b/>
                <w:sz w:val="22"/>
              </w:rPr>
              <w:t>PROJECTED CLIMATE RISKS</w:t>
            </w:r>
          </w:p>
          <w:p>
            <w:pPr>
              <w:pStyle w:val="TableParagraph"/>
              <w:spacing w:before="1"/>
              <w:ind w:left="119" w:right="108"/>
              <w:jc w:val="center"/>
              <w:rPr>
                <w:b/>
                <w:sz w:val="20"/>
              </w:rPr>
            </w:pPr>
            <w:r>
              <w:rPr>
                <w:b/>
                <w:sz w:val="20"/>
              </w:rPr>
              <w:t>(use of EA models or UKCIP models)</w:t>
            </w:r>
          </w:p>
        </w:tc>
      </w:tr>
      <w:tr>
        <w:trPr>
          <w:trHeight w:val="2298" w:hRule="atLeast"/>
        </w:trPr>
        <w:tc>
          <w:tcPr>
            <w:tcW w:w="2558" w:type="dxa"/>
          </w:tcPr>
          <w:p>
            <w:pPr>
              <w:pStyle w:val="TableParagraph"/>
              <w:ind w:left="107" w:right="153"/>
              <w:rPr>
                <w:sz w:val="20"/>
              </w:rPr>
            </w:pPr>
            <w:r>
              <w:rPr>
                <w:b/>
                <w:sz w:val="20"/>
              </w:rPr>
              <w:t>Objective 1</w:t>
            </w:r>
            <w:r>
              <w:rPr>
                <w:sz w:val="20"/>
              </w:rPr>
              <w:t>: Improve co- operation between LLFA and other RMAs, in terms of procedure, to meet the requirements of new legislation and achieve holistic solutions to identified risks/problems.</w:t>
            </w:r>
          </w:p>
        </w:tc>
        <w:tc>
          <w:tcPr>
            <w:tcW w:w="2560" w:type="dxa"/>
          </w:tcPr>
          <w:p>
            <w:pPr>
              <w:pStyle w:val="TableParagraph"/>
              <w:numPr>
                <w:ilvl w:val="0"/>
                <w:numId w:val="56"/>
              </w:numPr>
              <w:tabs>
                <w:tab w:pos="230" w:val="left" w:leader="none"/>
              </w:tabs>
              <w:spacing w:line="237" w:lineRule="auto" w:before="0" w:after="0"/>
              <w:ind w:left="108" w:right="940" w:firstLine="0"/>
              <w:jc w:val="left"/>
              <w:rPr>
                <w:sz w:val="20"/>
              </w:rPr>
            </w:pPr>
            <w:r>
              <w:rPr>
                <w:sz w:val="20"/>
              </w:rPr>
              <w:t>Improve </w:t>
            </w:r>
            <w:r>
              <w:rPr>
                <w:w w:val="95"/>
                <w:sz w:val="20"/>
              </w:rPr>
              <w:t>communications;</w:t>
            </w:r>
          </w:p>
          <w:p>
            <w:pPr>
              <w:pStyle w:val="TableParagraph"/>
              <w:numPr>
                <w:ilvl w:val="0"/>
                <w:numId w:val="56"/>
              </w:numPr>
              <w:tabs>
                <w:tab w:pos="230" w:val="left" w:leader="none"/>
              </w:tabs>
              <w:spacing w:line="240" w:lineRule="auto" w:before="0" w:after="0"/>
              <w:ind w:left="108" w:right="165" w:firstLine="0"/>
              <w:jc w:val="left"/>
              <w:rPr>
                <w:sz w:val="20"/>
              </w:rPr>
            </w:pPr>
            <w:r>
              <w:rPr>
                <w:sz w:val="20"/>
              </w:rPr>
              <w:t>Review and update relevant guidance /</w:t>
            </w:r>
            <w:r>
              <w:rPr>
                <w:spacing w:val="-17"/>
                <w:sz w:val="20"/>
              </w:rPr>
              <w:t> </w:t>
            </w:r>
            <w:r>
              <w:rPr>
                <w:sz w:val="20"/>
              </w:rPr>
              <w:t>plans;</w:t>
            </w:r>
          </w:p>
          <w:p>
            <w:pPr>
              <w:pStyle w:val="TableParagraph"/>
              <w:numPr>
                <w:ilvl w:val="0"/>
                <w:numId w:val="56"/>
              </w:numPr>
              <w:tabs>
                <w:tab w:pos="230" w:val="left" w:leader="none"/>
              </w:tabs>
              <w:spacing w:line="240" w:lineRule="auto" w:before="1" w:after="0"/>
              <w:ind w:left="108" w:right="372" w:firstLine="0"/>
              <w:jc w:val="left"/>
              <w:rPr>
                <w:sz w:val="20"/>
              </w:rPr>
            </w:pPr>
            <w:r>
              <w:rPr>
                <w:sz w:val="20"/>
              </w:rPr>
              <w:t>Review Council policy on flood risk management.</w:t>
            </w:r>
          </w:p>
        </w:tc>
        <w:tc>
          <w:tcPr>
            <w:tcW w:w="5159" w:type="dxa"/>
          </w:tcPr>
          <w:p>
            <w:pPr>
              <w:pStyle w:val="TableParagraph"/>
              <w:numPr>
                <w:ilvl w:val="0"/>
                <w:numId w:val="57"/>
              </w:numPr>
              <w:tabs>
                <w:tab w:pos="231" w:val="left" w:leader="none"/>
              </w:tabs>
              <w:spacing w:line="226" w:lineRule="exact" w:before="0" w:after="0"/>
              <w:ind w:left="108" w:right="0" w:firstLine="0"/>
              <w:jc w:val="left"/>
              <w:rPr>
                <w:sz w:val="20"/>
              </w:rPr>
            </w:pPr>
            <w:r>
              <w:rPr>
                <w:color w:val="0000FF"/>
                <w:sz w:val="20"/>
              </w:rPr>
              <w:t>OK - but can</w:t>
            </w:r>
            <w:r>
              <w:rPr>
                <w:color w:val="0000FF"/>
                <w:spacing w:val="-3"/>
                <w:sz w:val="20"/>
              </w:rPr>
              <w:t> </w:t>
            </w:r>
            <w:r>
              <w:rPr>
                <w:color w:val="0000FF"/>
                <w:sz w:val="20"/>
              </w:rPr>
              <w:t>improve;</w:t>
            </w:r>
          </w:p>
          <w:p>
            <w:pPr>
              <w:pStyle w:val="TableParagraph"/>
              <w:numPr>
                <w:ilvl w:val="0"/>
                <w:numId w:val="57"/>
              </w:numPr>
              <w:tabs>
                <w:tab w:pos="231" w:val="left" w:leader="none"/>
              </w:tabs>
              <w:spacing w:line="240" w:lineRule="auto" w:before="0" w:after="0"/>
              <w:ind w:left="108" w:right="501" w:firstLine="0"/>
              <w:jc w:val="left"/>
              <w:rPr>
                <w:sz w:val="20"/>
              </w:rPr>
            </w:pPr>
            <w:r>
              <w:rPr>
                <w:color w:val="0000FF"/>
                <w:sz w:val="20"/>
              </w:rPr>
              <w:t>Currently flood mapping produced with 1 in 100yr, 1000yr + 20% CC</w:t>
            </w:r>
            <w:r>
              <w:rPr>
                <w:color w:val="0000FF"/>
                <w:spacing w:val="1"/>
                <w:sz w:val="20"/>
              </w:rPr>
              <w:t> </w:t>
            </w:r>
            <w:r>
              <w:rPr>
                <w:color w:val="0000FF"/>
                <w:sz w:val="20"/>
              </w:rPr>
              <w:t>allowance;</w:t>
            </w:r>
          </w:p>
          <w:p>
            <w:pPr>
              <w:pStyle w:val="TableParagraph"/>
              <w:numPr>
                <w:ilvl w:val="0"/>
                <w:numId w:val="57"/>
              </w:numPr>
              <w:tabs>
                <w:tab w:pos="231" w:val="left" w:leader="none"/>
              </w:tabs>
              <w:spacing w:line="240" w:lineRule="auto" w:before="0" w:after="0"/>
              <w:ind w:left="108" w:right="263" w:firstLine="0"/>
              <w:jc w:val="left"/>
              <w:rPr>
                <w:sz w:val="20"/>
              </w:rPr>
            </w:pPr>
            <w:r>
              <w:rPr>
                <w:color w:val="0000FF"/>
                <w:sz w:val="20"/>
              </w:rPr>
              <w:t>Mapping improvements for surface water - looking</w:t>
            </w:r>
            <w:r>
              <w:rPr>
                <w:color w:val="0000FF"/>
                <w:spacing w:val="-28"/>
                <w:sz w:val="20"/>
              </w:rPr>
              <w:t> </w:t>
            </w:r>
            <w:r>
              <w:rPr>
                <w:color w:val="0000FF"/>
                <w:sz w:val="20"/>
              </w:rPr>
              <w:t>to develop these</w:t>
            </w:r>
            <w:r>
              <w:rPr>
                <w:color w:val="0000FF"/>
                <w:spacing w:val="-2"/>
                <w:sz w:val="20"/>
              </w:rPr>
              <w:t> </w:t>
            </w:r>
            <w:r>
              <w:rPr>
                <w:color w:val="0000FF"/>
                <w:sz w:val="20"/>
              </w:rPr>
              <w:t>maps;</w:t>
            </w:r>
          </w:p>
          <w:p>
            <w:pPr>
              <w:pStyle w:val="TableParagraph"/>
              <w:numPr>
                <w:ilvl w:val="0"/>
                <w:numId w:val="57"/>
              </w:numPr>
              <w:tabs>
                <w:tab w:pos="231" w:val="left" w:leader="none"/>
              </w:tabs>
              <w:spacing w:line="240" w:lineRule="auto" w:before="0" w:after="0"/>
              <w:ind w:left="108" w:right="755" w:firstLine="0"/>
              <w:jc w:val="left"/>
              <w:rPr>
                <w:sz w:val="20"/>
              </w:rPr>
            </w:pPr>
            <w:r>
              <w:rPr>
                <w:color w:val="0000FF"/>
                <w:sz w:val="20"/>
              </w:rPr>
              <w:t>Hydraulic modelling - combined risk &gt; river</w:t>
            </w:r>
            <w:r>
              <w:rPr>
                <w:color w:val="0000FF"/>
                <w:spacing w:val="-22"/>
                <w:sz w:val="20"/>
              </w:rPr>
              <w:t> </w:t>
            </w:r>
            <w:r>
              <w:rPr>
                <w:color w:val="0000FF"/>
                <w:sz w:val="20"/>
              </w:rPr>
              <w:t>and surface</w:t>
            </w:r>
            <w:r>
              <w:rPr>
                <w:color w:val="0000FF"/>
                <w:spacing w:val="-1"/>
                <w:sz w:val="20"/>
              </w:rPr>
              <w:t> </w:t>
            </w:r>
            <w:r>
              <w:rPr>
                <w:color w:val="0000FF"/>
                <w:sz w:val="20"/>
              </w:rPr>
              <w:t>water;</w:t>
            </w:r>
          </w:p>
          <w:p>
            <w:pPr>
              <w:pStyle w:val="TableParagraph"/>
              <w:numPr>
                <w:ilvl w:val="0"/>
                <w:numId w:val="57"/>
              </w:numPr>
              <w:tabs>
                <w:tab w:pos="231" w:val="left" w:leader="none"/>
              </w:tabs>
              <w:spacing w:line="228" w:lineRule="exact" w:before="0" w:after="0"/>
              <w:ind w:left="108" w:right="0" w:firstLine="0"/>
              <w:jc w:val="left"/>
              <w:rPr>
                <w:sz w:val="20"/>
              </w:rPr>
            </w:pPr>
            <w:r>
              <w:rPr>
                <w:color w:val="0000FF"/>
                <w:sz w:val="20"/>
              </w:rPr>
              <w:t>UK climate database</w:t>
            </w:r>
            <w:r>
              <w:rPr>
                <w:color w:val="0000FF"/>
                <w:spacing w:val="-4"/>
                <w:sz w:val="20"/>
              </w:rPr>
              <w:t> </w:t>
            </w:r>
            <w:r>
              <w:rPr>
                <w:color w:val="0000FF"/>
                <w:sz w:val="20"/>
              </w:rPr>
              <w:t>available.</w:t>
            </w:r>
          </w:p>
        </w:tc>
        <w:tc>
          <w:tcPr>
            <w:tcW w:w="3779" w:type="dxa"/>
          </w:tcPr>
          <w:p>
            <w:pPr>
              <w:pStyle w:val="TableParagraph"/>
              <w:numPr>
                <w:ilvl w:val="0"/>
                <w:numId w:val="58"/>
              </w:numPr>
              <w:tabs>
                <w:tab w:pos="232" w:val="left" w:leader="none"/>
              </w:tabs>
              <w:spacing w:line="240" w:lineRule="auto" w:before="0" w:after="0"/>
              <w:ind w:left="109" w:right="456" w:firstLine="0"/>
              <w:jc w:val="left"/>
              <w:rPr>
                <w:sz w:val="20"/>
              </w:rPr>
            </w:pPr>
            <w:r>
              <w:rPr>
                <w:color w:val="0000FF"/>
                <w:sz w:val="20"/>
              </w:rPr>
              <w:t>Use best available data - could develop local models utilising local knowledge to improve SW mapping. Use UKCP's to account for climate change;</w:t>
            </w:r>
          </w:p>
          <w:p>
            <w:pPr>
              <w:pStyle w:val="TableParagraph"/>
              <w:numPr>
                <w:ilvl w:val="0"/>
                <w:numId w:val="58"/>
              </w:numPr>
              <w:tabs>
                <w:tab w:pos="232" w:val="left" w:leader="none"/>
              </w:tabs>
              <w:spacing w:line="240" w:lineRule="auto" w:before="0" w:after="0"/>
              <w:ind w:left="109" w:right="237" w:firstLine="0"/>
              <w:jc w:val="left"/>
              <w:rPr>
                <w:sz w:val="20"/>
              </w:rPr>
            </w:pPr>
            <w:r>
              <w:rPr>
                <w:color w:val="0000FF"/>
                <w:sz w:val="20"/>
              </w:rPr>
              <w:t>MAST (Mapping All Sources) Tool: Will bring together all flood sources on one map (Groundwater/ surface</w:t>
            </w:r>
            <w:r>
              <w:rPr>
                <w:color w:val="0000FF"/>
                <w:spacing w:val="-22"/>
                <w:sz w:val="20"/>
              </w:rPr>
              <w:t> </w:t>
            </w:r>
            <w:r>
              <w:rPr>
                <w:color w:val="0000FF"/>
                <w:sz w:val="20"/>
              </w:rPr>
              <w:t>water/</w:t>
            </w:r>
          </w:p>
          <w:p>
            <w:pPr>
              <w:pStyle w:val="TableParagraph"/>
              <w:spacing w:line="230" w:lineRule="exact"/>
              <w:ind w:left="109" w:right="327"/>
              <w:rPr>
                <w:sz w:val="20"/>
              </w:rPr>
            </w:pPr>
            <w:r>
              <w:rPr>
                <w:color w:val="0000FF"/>
                <w:sz w:val="20"/>
              </w:rPr>
              <w:t>fluvial) - currently being developed by EA.</w:t>
            </w:r>
          </w:p>
        </w:tc>
      </w:tr>
      <w:tr>
        <w:trPr>
          <w:trHeight w:val="3958" w:hRule="atLeast"/>
        </w:trPr>
        <w:tc>
          <w:tcPr>
            <w:tcW w:w="2558" w:type="dxa"/>
          </w:tcPr>
          <w:p>
            <w:pPr>
              <w:pStyle w:val="TableParagraph"/>
              <w:ind w:left="107" w:right="137"/>
              <w:rPr>
                <w:sz w:val="20"/>
              </w:rPr>
            </w:pPr>
            <w:r>
              <w:rPr>
                <w:b/>
                <w:sz w:val="20"/>
              </w:rPr>
              <w:t>Objective 2</w:t>
            </w:r>
            <w:r>
              <w:rPr>
                <w:sz w:val="20"/>
              </w:rPr>
              <w:t>: Develop a consistent approach to planning and investment in flood risk management between RMAs (land allocation, sustainable development, climate change adaptation and emergency planning) and avoid duplication of effort or inefficient investment.</w:t>
            </w:r>
          </w:p>
        </w:tc>
        <w:tc>
          <w:tcPr>
            <w:tcW w:w="2560" w:type="dxa"/>
          </w:tcPr>
          <w:p>
            <w:pPr>
              <w:pStyle w:val="TableParagraph"/>
              <w:numPr>
                <w:ilvl w:val="0"/>
                <w:numId w:val="59"/>
              </w:numPr>
              <w:tabs>
                <w:tab w:pos="230" w:val="left" w:leader="none"/>
              </w:tabs>
              <w:spacing w:line="240" w:lineRule="auto" w:before="0" w:after="0"/>
              <w:ind w:left="108" w:right="120" w:firstLine="0"/>
              <w:jc w:val="left"/>
              <w:rPr>
                <w:sz w:val="20"/>
              </w:rPr>
            </w:pPr>
            <w:r>
              <w:rPr>
                <w:sz w:val="20"/>
              </w:rPr>
              <w:t>Pump operation -</w:t>
            </w:r>
            <w:r>
              <w:rPr>
                <w:spacing w:val="-12"/>
                <w:sz w:val="20"/>
              </w:rPr>
              <w:t> </w:t>
            </w:r>
            <w:r>
              <w:rPr>
                <w:sz w:val="20"/>
              </w:rPr>
              <w:t>carbon reduction;</w:t>
            </w:r>
          </w:p>
          <w:p>
            <w:pPr>
              <w:pStyle w:val="TableParagraph"/>
              <w:numPr>
                <w:ilvl w:val="0"/>
                <w:numId w:val="59"/>
              </w:numPr>
              <w:tabs>
                <w:tab w:pos="230" w:val="left" w:leader="none"/>
              </w:tabs>
              <w:spacing w:line="240" w:lineRule="auto" w:before="0" w:after="0"/>
              <w:ind w:left="108" w:right="328" w:firstLine="0"/>
              <w:jc w:val="left"/>
              <w:rPr>
                <w:sz w:val="20"/>
              </w:rPr>
            </w:pPr>
            <w:r>
              <w:rPr>
                <w:sz w:val="20"/>
              </w:rPr>
              <w:t>Implement SuDS Approval Body</w:t>
            </w:r>
            <w:r>
              <w:rPr>
                <w:spacing w:val="-3"/>
                <w:sz w:val="20"/>
              </w:rPr>
              <w:t> </w:t>
            </w:r>
            <w:r>
              <w:rPr>
                <w:sz w:val="20"/>
              </w:rPr>
              <w:t>function;</w:t>
            </w:r>
          </w:p>
          <w:p>
            <w:pPr>
              <w:pStyle w:val="TableParagraph"/>
              <w:numPr>
                <w:ilvl w:val="0"/>
                <w:numId w:val="59"/>
              </w:numPr>
              <w:tabs>
                <w:tab w:pos="230" w:val="left" w:leader="none"/>
              </w:tabs>
              <w:spacing w:line="240" w:lineRule="auto" w:before="0" w:after="0"/>
              <w:ind w:left="108" w:right="117" w:firstLine="0"/>
              <w:jc w:val="left"/>
              <w:rPr>
                <w:sz w:val="20"/>
              </w:rPr>
            </w:pPr>
            <w:r>
              <w:rPr>
                <w:sz w:val="20"/>
              </w:rPr>
              <w:t>Publish local flood risk management strategy</w:t>
            </w:r>
            <w:r>
              <w:rPr>
                <w:spacing w:val="-12"/>
                <w:sz w:val="20"/>
              </w:rPr>
              <w:t> </w:t>
            </w:r>
            <w:r>
              <w:rPr>
                <w:sz w:val="20"/>
              </w:rPr>
              <w:t>and List of</w:t>
            </w:r>
            <w:r>
              <w:rPr>
                <w:spacing w:val="-2"/>
                <w:sz w:val="20"/>
              </w:rPr>
              <w:t> </w:t>
            </w:r>
            <w:r>
              <w:rPr>
                <w:sz w:val="20"/>
              </w:rPr>
              <w:t>Measures;</w:t>
            </w:r>
          </w:p>
          <w:p>
            <w:pPr>
              <w:pStyle w:val="TableParagraph"/>
              <w:numPr>
                <w:ilvl w:val="0"/>
                <w:numId w:val="59"/>
              </w:numPr>
              <w:tabs>
                <w:tab w:pos="230" w:val="left" w:leader="none"/>
              </w:tabs>
              <w:spacing w:line="240" w:lineRule="auto" w:before="0" w:after="0"/>
              <w:ind w:left="108" w:right="607" w:firstLine="0"/>
              <w:jc w:val="both"/>
              <w:rPr>
                <w:sz w:val="20"/>
              </w:rPr>
            </w:pPr>
            <w:r>
              <w:rPr>
                <w:sz w:val="20"/>
              </w:rPr>
              <w:t>Review and</w:t>
            </w:r>
            <w:r>
              <w:rPr>
                <w:spacing w:val="-13"/>
                <w:sz w:val="20"/>
              </w:rPr>
              <w:t> </w:t>
            </w:r>
            <w:r>
              <w:rPr>
                <w:sz w:val="20"/>
              </w:rPr>
              <w:t>update Strategic Flood Risk Assessment;</w:t>
            </w:r>
          </w:p>
          <w:p>
            <w:pPr>
              <w:pStyle w:val="TableParagraph"/>
              <w:numPr>
                <w:ilvl w:val="0"/>
                <w:numId w:val="59"/>
              </w:numPr>
              <w:tabs>
                <w:tab w:pos="230" w:val="left" w:leader="none"/>
              </w:tabs>
              <w:spacing w:line="240" w:lineRule="auto" w:before="0" w:after="0"/>
              <w:ind w:left="108" w:right="929" w:firstLine="0"/>
              <w:jc w:val="left"/>
              <w:rPr>
                <w:sz w:val="20"/>
              </w:rPr>
            </w:pPr>
            <w:r>
              <w:rPr>
                <w:sz w:val="20"/>
              </w:rPr>
              <w:t>Climate change adaptation;</w:t>
            </w:r>
          </w:p>
          <w:p>
            <w:pPr>
              <w:pStyle w:val="TableParagraph"/>
              <w:numPr>
                <w:ilvl w:val="0"/>
                <w:numId w:val="59"/>
              </w:numPr>
              <w:tabs>
                <w:tab w:pos="230" w:val="left" w:leader="none"/>
              </w:tabs>
              <w:spacing w:line="240" w:lineRule="auto" w:before="0" w:after="0"/>
              <w:ind w:left="108" w:right="210" w:firstLine="0"/>
              <w:jc w:val="left"/>
              <w:rPr>
                <w:sz w:val="20"/>
              </w:rPr>
            </w:pPr>
            <w:r>
              <w:rPr>
                <w:sz w:val="20"/>
              </w:rPr>
              <w:t>Regular feedback to senior officer and</w:t>
            </w:r>
            <w:r>
              <w:rPr>
                <w:spacing w:val="-19"/>
                <w:sz w:val="20"/>
              </w:rPr>
              <w:t> </w:t>
            </w:r>
            <w:r>
              <w:rPr>
                <w:sz w:val="20"/>
              </w:rPr>
              <w:t>elected members.</w:t>
            </w:r>
          </w:p>
        </w:tc>
        <w:tc>
          <w:tcPr>
            <w:tcW w:w="5159" w:type="dxa"/>
          </w:tcPr>
          <w:p>
            <w:pPr>
              <w:pStyle w:val="TableParagraph"/>
              <w:numPr>
                <w:ilvl w:val="0"/>
                <w:numId w:val="60"/>
              </w:numPr>
              <w:tabs>
                <w:tab w:pos="231" w:val="left" w:leader="none"/>
              </w:tabs>
              <w:spacing w:line="226" w:lineRule="exact" w:before="0" w:after="0"/>
              <w:ind w:left="108" w:right="0" w:firstLine="0"/>
              <w:jc w:val="left"/>
              <w:rPr>
                <w:sz w:val="20"/>
              </w:rPr>
            </w:pPr>
            <w:r>
              <w:rPr>
                <w:color w:val="0000FF"/>
                <w:sz w:val="20"/>
              </w:rPr>
              <w:t>Appropriate flood legislation - FWMA 2010 key</w:t>
            </w:r>
            <w:r>
              <w:rPr>
                <w:color w:val="0000FF"/>
                <w:spacing w:val="-21"/>
                <w:sz w:val="20"/>
              </w:rPr>
              <w:t> </w:t>
            </w:r>
            <w:r>
              <w:rPr>
                <w:color w:val="0000FF"/>
                <w:sz w:val="20"/>
              </w:rPr>
              <w:t>driver;</w:t>
            </w:r>
          </w:p>
          <w:p>
            <w:pPr>
              <w:pStyle w:val="TableParagraph"/>
              <w:numPr>
                <w:ilvl w:val="0"/>
                <w:numId w:val="60"/>
              </w:numPr>
              <w:tabs>
                <w:tab w:pos="231" w:val="left" w:leader="none"/>
              </w:tabs>
              <w:spacing w:line="240" w:lineRule="auto" w:before="0" w:after="0"/>
              <w:ind w:left="108" w:right="327" w:firstLine="0"/>
              <w:jc w:val="left"/>
              <w:rPr>
                <w:sz w:val="20"/>
              </w:rPr>
            </w:pPr>
            <w:r>
              <w:rPr>
                <w:color w:val="0000FF"/>
                <w:sz w:val="20"/>
              </w:rPr>
              <w:t>YWS have their own investment strategy - cooperation with YWS could be strengthened -</w:t>
            </w:r>
            <w:r>
              <w:rPr>
                <w:color w:val="0000FF"/>
                <w:spacing w:val="-16"/>
                <w:sz w:val="20"/>
              </w:rPr>
              <w:t> </w:t>
            </w:r>
            <w:r>
              <w:rPr>
                <w:color w:val="0000FF"/>
                <w:sz w:val="20"/>
              </w:rPr>
              <w:t>closer working on SuDS</w:t>
            </w:r>
            <w:r>
              <w:rPr>
                <w:color w:val="0000FF"/>
                <w:spacing w:val="-4"/>
                <w:sz w:val="20"/>
              </w:rPr>
              <w:t> </w:t>
            </w:r>
            <w:r>
              <w:rPr>
                <w:color w:val="0000FF"/>
                <w:sz w:val="20"/>
              </w:rPr>
              <w:t>adoption;</w:t>
            </w:r>
          </w:p>
          <w:p>
            <w:pPr>
              <w:pStyle w:val="TableParagraph"/>
              <w:numPr>
                <w:ilvl w:val="0"/>
                <w:numId w:val="60"/>
              </w:numPr>
              <w:tabs>
                <w:tab w:pos="231" w:val="left" w:leader="none"/>
              </w:tabs>
              <w:spacing w:line="240" w:lineRule="auto" w:before="0" w:after="0"/>
              <w:ind w:left="108" w:right="136" w:firstLine="0"/>
              <w:jc w:val="left"/>
              <w:rPr>
                <w:sz w:val="20"/>
              </w:rPr>
            </w:pPr>
            <w:r>
              <w:rPr>
                <w:color w:val="0000FF"/>
                <w:sz w:val="20"/>
              </w:rPr>
              <w:t>Need to engage with communities to think more about SuDS - closer engagement with Planning Authority on where development is taking</w:t>
            </w:r>
            <w:r>
              <w:rPr>
                <w:color w:val="0000FF"/>
                <w:spacing w:val="-5"/>
                <w:sz w:val="20"/>
              </w:rPr>
              <w:t> </w:t>
            </w:r>
            <w:r>
              <w:rPr>
                <w:color w:val="0000FF"/>
                <w:sz w:val="20"/>
              </w:rPr>
              <w:t>place.</w:t>
            </w:r>
          </w:p>
        </w:tc>
        <w:tc>
          <w:tcPr>
            <w:tcW w:w="3779" w:type="dxa"/>
          </w:tcPr>
          <w:p>
            <w:pPr>
              <w:pStyle w:val="TableParagraph"/>
              <w:numPr>
                <w:ilvl w:val="0"/>
                <w:numId w:val="61"/>
              </w:numPr>
              <w:tabs>
                <w:tab w:pos="232" w:val="left" w:leader="none"/>
              </w:tabs>
              <w:spacing w:line="240" w:lineRule="auto" w:before="0" w:after="0"/>
              <w:ind w:left="109" w:right="215" w:firstLine="0"/>
              <w:jc w:val="left"/>
              <w:rPr>
                <w:sz w:val="20"/>
              </w:rPr>
            </w:pPr>
            <w:r>
              <w:rPr>
                <w:color w:val="0000FF"/>
                <w:sz w:val="20"/>
              </w:rPr>
              <w:t>As for existing but with pressures</w:t>
            </w:r>
            <w:r>
              <w:rPr>
                <w:color w:val="0000FF"/>
                <w:spacing w:val="-24"/>
                <w:sz w:val="20"/>
              </w:rPr>
              <w:t> </w:t>
            </w:r>
            <w:r>
              <w:rPr>
                <w:color w:val="0000FF"/>
                <w:sz w:val="20"/>
              </w:rPr>
              <w:t>e.g. Large developments - Kirkstall</w:t>
            </w:r>
            <w:r>
              <w:rPr>
                <w:color w:val="0000FF"/>
                <w:spacing w:val="-13"/>
                <w:sz w:val="20"/>
              </w:rPr>
              <w:t> </w:t>
            </w:r>
            <w:r>
              <w:rPr>
                <w:color w:val="0000FF"/>
                <w:sz w:val="20"/>
              </w:rPr>
              <w:t>Forge;</w:t>
            </w:r>
          </w:p>
          <w:p>
            <w:pPr>
              <w:pStyle w:val="TableParagraph"/>
              <w:numPr>
                <w:ilvl w:val="0"/>
                <w:numId w:val="61"/>
              </w:numPr>
              <w:tabs>
                <w:tab w:pos="232" w:val="left" w:leader="none"/>
              </w:tabs>
              <w:spacing w:line="240" w:lineRule="auto" w:before="0" w:after="0"/>
              <w:ind w:left="109" w:right="543" w:firstLine="0"/>
              <w:jc w:val="left"/>
              <w:rPr>
                <w:sz w:val="20"/>
              </w:rPr>
            </w:pPr>
            <w:r>
              <w:rPr>
                <w:color w:val="0000FF"/>
                <w:sz w:val="20"/>
              </w:rPr>
              <w:t>Legislation on the development of impermeable</w:t>
            </w:r>
            <w:r>
              <w:rPr>
                <w:color w:val="0000FF"/>
                <w:spacing w:val="-2"/>
                <w:sz w:val="20"/>
              </w:rPr>
              <w:t> </w:t>
            </w:r>
            <w:r>
              <w:rPr>
                <w:color w:val="0000FF"/>
                <w:sz w:val="20"/>
              </w:rPr>
              <w:t>areas;</w:t>
            </w:r>
          </w:p>
          <w:p>
            <w:pPr>
              <w:pStyle w:val="TableParagraph"/>
              <w:numPr>
                <w:ilvl w:val="0"/>
                <w:numId w:val="61"/>
              </w:numPr>
              <w:tabs>
                <w:tab w:pos="232" w:val="left" w:leader="none"/>
              </w:tabs>
              <w:spacing w:line="240" w:lineRule="auto" w:before="0" w:after="0"/>
              <w:ind w:left="109" w:right="415" w:firstLine="0"/>
              <w:jc w:val="left"/>
              <w:rPr>
                <w:sz w:val="20"/>
              </w:rPr>
            </w:pPr>
            <w:r>
              <w:rPr>
                <w:color w:val="0000FF"/>
                <w:sz w:val="20"/>
              </w:rPr>
              <w:t>SuDS investment strategy could</w:t>
            </w:r>
            <w:r>
              <w:rPr>
                <w:color w:val="0000FF"/>
                <w:spacing w:val="-15"/>
                <w:sz w:val="20"/>
              </w:rPr>
              <w:t> </w:t>
            </w:r>
            <w:r>
              <w:rPr>
                <w:color w:val="0000FF"/>
                <w:sz w:val="20"/>
              </w:rPr>
              <w:t>be strengthened.</w:t>
            </w:r>
          </w:p>
        </w:tc>
      </w:tr>
    </w:tbl>
    <w:p>
      <w:pPr>
        <w:spacing w:after="0" w:line="240" w:lineRule="auto"/>
        <w:jc w:val="left"/>
        <w:rPr>
          <w:sz w:val="20"/>
        </w:rPr>
        <w:sectPr>
          <w:pgSz w:w="16840" w:h="11910" w:orient="landscape"/>
          <w:pgMar w:header="0" w:footer="822" w:top="1100" w:bottom="1080" w:left="1220" w:right="740"/>
        </w:sectPr>
      </w:pPr>
    </w:p>
    <w:p>
      <w:pPr>
        <w:pStyle w:val="BodyText"/>
        <w:spacing w:before="4" w:after="1"/>
        <w:rPr>
          <w:rFonts w:ascii="Times New Roman"/>
          <w:sz w:val="13"/>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2560"/>
        <w:gridCol w:w="5159"/>
        <w:gridCol w:w="3779"/>
      </w:tblGrid>
      <w:tr>
        <w:trPr>
          <w:trHeight w:val="796" w:hRule="atLeast"/>
        </w:trPr>
        <w:tc>
          <w:tcPr>
            <w:tcW w:w="5118" w:type="dxa"/>
            <w:gridSpan w:val="2"/>
            <w:shd w:val="clear" w:color="auto" w:fill="CCCCCC"/>
          </w:tcPr>
          <w:p>
            <w:pPr>
              <w:pStyle w:val="TableParagraph"/>
              <w:spacing w:before="1"/>
              <w:rPr>
                <w:rFonts w:ascii="Times New Roman"/>
                <w:sz w:val="23"/>
              </w:rPr>
            </w:pPr>
          </w:p>
          <w:p>
            <w:pPr>
              <w:pStyle w:val="TableParagraph"/>
              <w:ind w:left="1305"/>
              <w:rPr>
                <w:b/>
                <w:sz w:val="22"/>
              </w:rPr>
            </w:pPr>
            <w:r>
              <w:rPr>
                <w:b/>
                <w:sz w:val="22"/>
              </w:rPr>
              <w:t>STRATEGY OBJECTIVE</w:t>
            </w:r>
          </w:p>
        </w:tc>
        <w:tc>
          <w:tcPr>
            <w:tcW w:w="5159" w:type="dxa"/>
            <w:shd w:val="clear" w:color="auto" w:fill="CCCCCC"/>
          </w:tcPr>
          <w:p>
            <w:pPr>
              <w:pStyle w:val="TableParagraph"/>
              <w:spacing w:line="252" w:lineRule="exact" w:before="151"/>
              <w:ind w:left="435" w:right="422"/>
              <w:jc w:val="center"/>
              <w:rPr>
                <w:b/>
                <w:sz w:val="22"/>
              </w:rPr>
            </w:pPr>
            <w:r>
              <w:rPr>
                <w:b/>
                <w:sz w:val="22"/>
              </w:rPr>
              <w:t>EXISTING CLIMATE RISKS</w:t>
            </w:r>
          </w:p>
          <w:p>
            <w:pPr>
              <w:pStyle w:val="TableParagraph"/>
              <w:spacing w:line="229" w:lineRule="exact"/>
              <w:ind w:left="435" w:right="427"/>
              <w:jc w:val="center"/>
              <w:rPr>
                <w:b/>
                <w:sz w:val="20"/>
              </w:rPr>
            </w:pPr>
            <w:r>
              <w:rPr>
                <w:b/>
                <w:sz w:val="20"/>
              </w:rPr>
              <w:t>(vulnerability mapping / LCLIP / PEPU Plans)</w:t>
            </w:r>
          </w:p>
        </w:tc>
        <w:tc>
          <w:tcPr>
            <w:tcW w:w="3779" w:type="dxa"/>
            <w:shd w:val="clear" w:color="auto" w:fill="CCCCCC"/>
          </w:tcPr>
          <w:p>
            <w:pPr>
              <w:pStyle w:val="TableParagraph"/>
              <w:spacing w:line="252" w:lineRule="exact" w:before="151"/>
              <w:ind w:left="119" w:right="105"/>
              <w:jc w:val="center"/>
              <w:rPr>
                <w:b/>
                <w:sz w:val="22"/>
              </w:rPr>
            </w:pPr>
            <w:r>
              <w:rPr>
                <w:b/>
                <w:sz w:val="22"/>
              </w:rPr>
              <w:t>PROJECTED CLIMATE RISKS</w:t>
            </w:r>
          </w:p>
          <w:p>
            <w:pPr>
              <w:pStyle w:val="TableParagraph"/>
              <w:spacing w:line="229" w:lineRule="exact"/>
              <w:ind w:left="119" w:right="108"/>
              <w:jc w:val="center"/>
              <w:rPr>
                <w:b/>
                <w:sz w:val="20"/>
              </w:rPr>
            </w:pPr>
            <w:r>
              <w:rPr>
                <w:b/>
                <w:sz w:val="20"/>
              </w:rPr>
              <w:t>(use of EA models or UKCIP models)</w:t>
            </w:r>
          </w:p>
        </w:tc>
      </w:tr>
      <w:tr>
        <w:trPr>
          <w:trHeight w:val="2428" w:hRule="atLeast"/>
        </w:trPr>
        <w:tc>
          <w:tcPr>
            <w:tcW w:w="2558" w:type="dxa"/>
          </w:tcPr>
          <w:p>
            <w:pPr>
              <w:pStyle w:val="TableParagraph"/>
              <w:spacing w:before="114"/>
              <w:ind w:left="107" w:right="342"/>
              <w:rPr>
                <w:sz w:val="20"/>
              </w:rPr>
            </w:pPr>
            <w:r>
              <w:rPr>
                <w:b/>
                <w:sz w:val="20"/>
              </w:rPr>
              <w:t>Objective 3</w:t>
            </w:r>
            <w:r>
              <w:rPr>
                <w:sz w:val="20"/>
              </w:rPr>
              <w:t>: Increase internal skills and ultimately capacity for flood risk management.</w:t>
            </w:r>
          </w:p>
        </w:tc>
        <w:tc>
          <w:tcPr>
            <w:tcW w:w="2560" w:type="dxa"/>
          </w:tcPr>
          <w:p>
            <w:pPr>
              <w:pStyle w:val="TableParagraph"/>
              <w:spacing w:before="117"/>
              <w:ind w:left="108" w:right="171"/>
              <w:rPr>
                <w:sz w:val="20"/>
              </w:rPr>
            </w:pPr>
            <w:r>
              <w:rPr>
                <w:sz w:val="20"/>
              </w:rPr>
              <w:t>- Increase LCC flood risk management capacity and skills (as LLFA).</w:t>
            </w:r>
          </w:p>
        </w:tc>
        <w:tc>
          <w:tcPr>
            <w:tcW w:w="5159" w:type="dxa"/>
          </w:tcPr>
          <w:p>
            <w:pPr>
              <w:pStyle w:val="TableParagraph"/>
              <w:numPr>
                <w:ilvl w:val="0"/>
                <w:numId w:val="62"/>
              </w:numPr>
              <w:tabs>
                <w:tab w:pos="231" w:val="left" w:leader="none"/>
              </w:tabs>
              <w:spacing w:line="240" w:lineRule="auto" w:before="117" w:after="0"/>
              <w:ind w:left="108" w:right="180" w:firstLine="0"/>
              <w:jc w:val="left"/>
              <w:rPr>
                <w:sz w:val="20"/>
              </w:rPr>
            </w:pPr>
            <w:r>
              <w:rPr>
                <w:color w:val="0000FF"/>
                <w:sz w:val="20"/>
              </w:rPr>
              <w:t>Improved training for all staff – engineers…etc. Try to improve proactive measures for whole river</w:t>
            </w:r>
            <w:r>
              <w:rPr>
                <w:color w:val="0000FF"/>
                <w:spacing w:val="-26"/>
                <w:sz w:val="20"/>
              </w:rPr>
              <w:t> </w:t>
            </w:r>
            <w:r>
              <w:rPr>
                <w:color w:val="0000FF"/>
                <w:sz w:val="20"/>
              </w:rPr>
              <w:t>catchment;</w:t>
            </w:r>
          </w:p>
          <w:p>
            <w:pPr>
              <w:pStyle w:val="TableParagraph"/>
              <w:numPr>
                <w:ilvl w:val="0"/>
                <w:numId w:val="62"/>
              </w:numPr>
              <w:tabs>
                <w:tab w:pos="231" w:val="left" w:leader="none"/>
              </w:tabs>
              <w:spacing w:line="240" w:lineRule="auto" w:before="0" w:after="0"/>
              <w:ind w:left="108" w:right="103" w:firstLine="0"/>
              <w:jc w:val="left"/>
              <w:rPr>
                <w:sz w:val="20"/>
              </w:rPr>
            </w:pPr>
            <w:r>
              <w:rPr>
                <w:color w:val="0000FF"/>
                <w:sz w:val="20"/>
              </w:rPr>
              <w:t>Use of UKCP data in all designs - not just 20% or 30% allowances;</w:t>
            </w:r>
          </w:p>
          <w:p>
            <w:pPr>
              <w:pStyle w:val="TableParagraph"/>
              <w:numPr>
                <w:ilvl w:val="0"/>
                <w:numId w:val="62"/>
              </w:numPr>
              <w:tabs>
                <w:tab w:pos="231" w:val="left" w:leader="none"/>
              </w:tabs>
              <w:spacing w:line="240" w:lineRule="auto" w:before="0" w:after="0"/>
              <w:ind w:left="108" w:right="0" w:firstLine="0"/>
              <w:jc w:val="left"/>
              <w:rPr>
                <w:sz w:val="20"/>
              </w:rPr>
            </w:pPr>
            <w:r>
              <w:rPr>
                <w:color w:val="0000FF"/>
                <w:sz w:val="20"/>
              </w:rPr>
              <w:t>Strengthen cooperation with neighbouring</w:t>
            </w:r>
            <w:r>
              <w:rPr>
                <w:color w:val="0000FF"/>
                <w:spacing w:val="-14"/>
                <w:sz w:val="20"/>
              </w:rPr>
              <w:t> </w:t>
            </w:r>
            <w:r>
              <w:rPr>
                <w:color w:val="0000FF"/>
                <w:sz w:val="20"/>
              </w:rPr>
              <w:t>authorities;</w:t>
            </w:r>
          </w:p>
          <w:p>
            <w:pPr>
              <w:pStyle w:val="TableParagraph"/>
              <w:numPr>
                <w:ilvl w:val="0"/>
                <w:numId w:val="62"/>
              </w:numPr>
              <w:tabs>
                <w:tab w:pos="231" w:val="left" w:leader="none"/>
              </w:tabs>
              <w:spacing w:line="240" w:lineRule="auto" w:before="0" w:after="0"/>
              <w:ind w:left="108" w:right="249" w:firstLine="0"/>
              <w:jc w:val="left"/>
              <w:rPr>
                <w:sz w:val="20"/>
              </w:rPr>
            </w:pPr>
            <w:r>
              <w:rPr>
                <w:color w:val="0000FF"/>
                <w:sz w:val="20"/>
              </w:rPr>
              <w:t>Improved catchment management activities - refer</w:t>
            </w:r>
            <w:r>
              <w:rPr>
                <w:color w:val="0000FF"/>
                <w:spacing w:val="-24"/>
                <w:sz w:val="20"/>
              </w:rPr>
              <w:t> </w:t>
            </w:r>
            <w:r>
              <w:rPr>
                <w:color w:val="0000FF"/>
                <w:sz w:val="20"/>
              </w:rPr>
              <w:t>to CFMP e.g. tree planting - assess benefits of</w:t>
            </w:r>
            <w:r>
              <w:rPr>
                <w:color w:val="0000FF"/>
                <w:spacing w:val="-11"/>
                <w:sz w:val="20"/>
              </w:rPr>
              <w:t> </w:t>
            </w:r>
            <w:r>
              <w:rPr>
                <w:color w:val="0000FF"/>
                <w:sz w:val="20"/>
              </w:rPr>
              <w:t>this.</w:t>
            </w:r>
          </w:p>
        </w:tc>
        <w:tc>
          <w:tcPr>
            <w:tcW w:w="3779" w:type="dxa"/>
          </w:tcPr>
          <w:p>
            <w:pPr>
              <w:pStyle w:val="TableParagraph"/>
              <w:spacing w:before="117"/>
              <w:ind w:left="109"/>
              <w:rPr>
                <w:sz w:val="20"/>
              </w:rPr>
            </w:pPr>
            <w:r>
              <w:rPr>
                <w:color w:val="0000FF"/>
                <w:sz w:val="20"/>
              </w:rPr>
              <w:t>- As for existing.</w:t>
            </w:r>
          </w:p>
        </w:tc>
      </w:tr>
      <w:tr>
        <w:trPr>
          <w:trHeight w:val="2642" w:hRule="atLeast"/>
        </w:trPr>
        <w:tc>
          <w:tcPr>
            <w:tcW w:w="2558" w:type="dxa"/>
          </w:tcPr>
          <w:p>
            <w:pPr>
              <w:pStyle w:val="TableParagraph"/>
              <w:spacing w:before="114"/>
              <w:ind w:left="107" w:right="105"/>
              <w:rPr>
                <w:sz w:val="20"/>
              </w:rPr>
            </w:pPr>
            <w:r>
              <w:rPr>
                <w:b/>
                <w:sz w:val="20"/>
              </w:rPr>
              <w:t>Objective 4</w:t>
            </w:r>
            <w:r>
              <w:rPr>
                <w:sz w:val="20"/>
              </w:rPr>
              <w:t>: 4. Increase community awareness of the work of the LLFA and local flood risk and</w:t>
            </w:r>
            <w:r>
              <w:rPr>
                <w:spacing w:val="-15"/>
                <w:sz w:val="20"/>
              </w:rPr>
              <w:t> </w:t>
            </w:r>
            <w:r>
              <w:rPr>
                <w:sz w:val="20"/>
              </w:rPr>
              <w:t>involve local communities in decision making – localism</w:t>
            </w:r>
            <w:r>
              <w:rPr>
                <w:spacing w:val="3"/>
                <w:sz w:val="20"/>
              </w:rPr>
              <w:t> </w:t>
            </w:r>
            <w:r>
              <w:rPr>
                <w:sz w:val="20"/>
              </w:rPr>
              <w:t>agenda.</w:t>
            </w:r>
          </w:p>
        </w:tc>
        <w:tc>
          <w:tcPr>
            <w:tcW w:w="2560" w:type="dxa"/>
          </w:tcPr>
          <w:p>
            <w:pPr>
              <w:pStyle w:val="TableParagraph"/>
              <w:numPr>
                <w:ilvl w:val="0"/>
                <w:numId w:val="63"/>
              </w:numPr>
              <w:tabs>
                <w:tab w:pos="231" w:val="left" w:leader="none"/>
              </w:tabs>
              <w:spacing w:line="240" w:lineRule="auto" w:before="117" w:after="0"/>
              <w:ind w:left="108" w:right="110" w:firstLine="0"/>
              <w:jc w:val="left"/>
              <w:rPr>
                <w:sz w:val="20"/>
              </w:rPr>
            </w:pPr>
            <w:r>
              <w:rPr>
                <w:sz w:val="20"/>
              </w:rPr>
              <w:t>Engagement and communication with</w:t>
            </w:r>
            <w:r>
              <w:rPr>
                <w:spacing w:val="-20"/>
                <w:sz w:val="20"/>
              </w:rPr>
              <w:t> </w:t>
            </w:r>
            <w:r>
              <w:rPr>
                <w:sz w:val="20"/>
              </w:rPr>
              <w:t>public (flood fairs, wider public info campaigns, engage with local flood action groups);</w:t>
            </w:r>
          </w:p>
          <w:p>
            <w:pPr>
              <w:pStyle w:val="TableParagraph"/>
              <w:numPr>
                <w:ilvl w:val="0"/>
                <w:numId w:val="63"/>
              </w:numPr>
              <w:tabs>
                <w:tab w:pos="230" w:val="left" w:leader="none"/>
              </w:tabs>
              <w:spacing w:line="240" w:lineRule="auto" w:before="0" w:after="0"/>
              <w:ind w:left="108" w:right="231" w:firstLine="0"/>
              <w:jc w:val="left"/>
              <w:rPr>
                <w:sz w:val="20"/>
              </w:rPr>
            </w:pPr>
            <w:r>
              <w:rPr>
                <w:sz w:val="20"/>
              </w:rPr>
              <w:t>Maintain internet and intranet pages to provide comprehensive info to</w:t>
            </w:r>
            <w:r>
              <w:rPr>
                <w:spacing w:val="-12"/>
                <w:sz w:val="20"/>
              </w:rPr>
              <w:t> </w:t>
            </w:r>
            <w:r>
              <w:rPr>
                <w:sz w:val="20"/>
              </w:rPr>
              <w:t>all stakeholder.</w:t>
            </w:r>
          </w:p>
        </w:tc>
        <w:tc>
          <w:tcPr>
            <w:tcW w:w="5159" w:type="dxa"/>
          </w:tcPr>
          <w:p>
            <w:pPr>
              <w:pStyle w:val="TableParagraph"/>
              <w:numPr>
                <w:ilvl w:val="0"/>
                <w:numId w:val="64"/>
              </w:numPr>
              <w:tabs>
                <w:tab w:pos="231" w:val="left" w:leader="none"/>
              </w:tabs>
              <w:spacing w:line="240" w:lineRule="auto" w:before="117" w:after="0"/>
              <w:ind w:left="108" w:right="226" w:firstLine="0"/>
              <w:jc w:val="left"/>
              <w:rPr>
                <w:sz w:val="20"/>
              </w:rPr>
            </w:pPr>
            <w:r>
              <w:rPr>
                <w:color w:val="0000FF"/>
                <w:sz w:val="20"/>
              </w:rPr>
              <w:t>Resident Apathy - need to improve involvement</w:t>
            </w:r>
            <w:r>
              <w:rPr>
                <w:color w:val="0000FF"/>
                <w:spacing w:val="-31"/>
                <w:sz w:val="20"/>
              </w:rPr>
              <w:t> </w:t>
            </w:r>
            <w:r>
              <w:rPr>
                <w:color w:val="0000FF"/>
                <w:sz w:val="20"/>
              </w:rPr>
              <w:t>once a contact has been</w:t>
            </w:r>
            <w:r>
              <w:rPr>
                <w:color w:val="0000FF"/>
                <w:spacing w:val="-4"/>
                <w:sz w:val="20"/>
              </w:rPr>
              <w:t> </w:t>
            </w:r>
            <w:r>
              <w:rPr>
                <w:color w:val="0000FF"/>
                <w:sz w:val="20"/>
              </w:rPr>
              <w:t>established;</w:t>
            </w:r>
          </w:p>
          <w:p>
            <w:pPr>
              <w:pStyle w:val="TableParagraph"/>
              <w:numPr>
                <w:ilvl w:val="0"/>
                <w:numId w:val="64"/>
              </w:numPr>
              <w:tabs>
                <w:tab w:pos="231" w:val="left" w:leader="none"/>
              </w:tabs>
              <w:spacing w:line="240" w:lineRule="auto" w:before="1" w:after="0"/>
              <w:ind w:left="108" w:right="305" w:firstLine="0"/>
              <w:jc w:val="left"/>
              <w:rPr>
                <w:sz w:val="20"/>
              </w:rPr>
            </w:pPr>
            <w:r>
              <w:rPr>
                <w:color w:val="0000FF"/>
                <w:sz w:val="20"/>
              </w:rPr>
              <w:t>Attend existing community events rather than</w:t>
            </w:r>
            <w:r>
              <w:rPr>
                <w:color w:val="0000FF"/>
                <w:spacing w:val="-17"/>
                <w:sz w:val="20"/>
              </w:rPr>
              <w:t> </w:t>
            </w:r>
            <w:r>
              <w:rPr>
                <w:color w:val="0000FF"/>
                <w:sz w:val="20"/>
              </w:rPr>
              <w:t>create own;</w:t>
            </w:r>
          </w:p>
          <w:p>
            <w:pPr>
              <w:pStyle w:val="TableParagraph"/>
              <w:numPr>
                <w:ilvl w:val="0"/>
                <w:numId w:val="64"/>
              </w:numPr>
              <w:tabs>
                <w:tab w:pos="231" w:val="left" w:leader="none"/>
              </w:tabs>
              <w:spacing w:line="240" w:lineRule="auto" w:before="0" w:after="0"/>
              <w:ind w:left="108" w:right="627" w:firstLine="0"/>
              <w:jc w:val="left"/>
              <w:rPr>
                <w:sz w:val="20"/>
              </w:rPr>
            </w:pPr>
            <w:r>
              <w:rPr>
                <w:color w:val="0000FF"/>
                <w:sz w:val="20"/>
              </w:rPr>
              <w:t>Investigate alternative events e.g. around</w:t>
            </w:r>
            <w:r>
              <w:rPr>
                <w:color w:val="0000FF"/>
                <w:spacing w:val="-29"/>
                <w:sz w:val="20"/>
              </w:rPr>
              <w:t> </w:t>
            </w:r>
            <w:r>
              <w:rPr>
                <w:color w:val="0000FF"/>
                <w:sz w:val="20"/>
              </w:rPr>
              <w:t>school pickup</w:t>
            </w:r>
            <w:r>
              <w:rPr>
                <w:color w:val="0000FF"/>
                <w:spacing w:val="-1"/>
                <w:sz w:val="20"/>
              </w:rPr>
              <w:t> </w:t>
            </w:r>
            <w:r>
              <w:rPr>
                <w:color w:val="0000FF"/>
                <w:sz w:val="20"/>
              </w:rPr>
              <w:t>time.</w:t>
            </w:r>
          </w:p>
        </w:tc>
        <w:tc>
          <w:tcPr>
            <w:tcW w:w="3779" w:type="dxa"/>
          </w:tcPr>
          <w:p>
            <w:pPr>
              <w:pStyle w:val="TableParagraph"/>
              <w:spacing w:before="117"/>
              <w:ind w:left="109"/>
              <w:rPr>
                <w:sz w:val="20"/>
              </w:rPr>
            </w:pPr>
            <w:r>
              <w:rPr>
                <w:color w:val="0000FF"/>
                <w:sz w:val="20"/>
              </w:rPr>
              <w:t>- Deliver best value for money.</w:t>
            </w:r>
          </w:p>
        </w:tc>
      </w:tr>
    </w:tbl>
    <w:p>
      <w:pPr>
        <w:spacing w:after="0"/>
        <w:rPr>
          <w:sz w:val="20"/>
        </w:rPr>
        <w:sectPr>
          <w:pgSz w:w="16840" w:h="11910" w:orient="landscape"/>
          <w:pgMar w:header="0" w:footer="822" w:top="1100" w:bottom="1000" w:left="1220" w:right="740"/>
        </w:sectPr>
      </w:pPr>
    </w:p>
    <w:p>
      <w:pPr>
        <w:pStyle w:val="BodyText"/>
        <w:spacing w:before="4" w:after="1"/>
        <w:rPr>
          <w:rFonts w:ascii="Times New Roman"/>
          <w:sz w:val="13"/>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2560"/>
        <w:gridCol w:w="5159"/>
        <w:gridCol w:w="3779"/>
      </w:tblGrid>
      <w:tr>
        <w:trPr>
          <w:trHeight w:val="796" w:hRule="atLeast"/>
        </w:trPr>
        <w:tc>
          <w:tcPr>
            <w:tcW w:w="5118" w:type="dxa"/>
            <w:gridSpan w:val="2"/>
            <w:shd w:val="clear" w:color="auto" w:fill="CCCCCC"/>
          </w:tcPr>
          <w:p>
            <w:pPr>
              <w:pStyle w:val="TableParagraph"/>
              <w:spacing w:before="1"/>
              <w:rPr>
                <w:rFonts w:ascii="Times New Roman"/>
                <w:sz w:val="23"/>
              </w:rPr>
            </w:pPr>
          </w:p>
          <w:p>
            <w:pPr>
              <w:pStyle w:val="TableParagraph"/>
              <w:ind w:left="1305"/>
              <w:rPr>
                <w:b/>
                <w:sz w:val="22"/>
              </w:rPr>
            </w:pPr>
            <w:r>
              <w:rPr>
                <w:b/>
                <w:sz w:val="22"/>
              </w:rPr>
              <w:t>STRATEGY OBJECTIVE</w:t>
            </w:r>
          </w:p>
        </w:tc>
        <w:tc>
          <w:tcPr>
            <w:tcW w:w="5159" w:type="dxa"/>
            <w:shd w:val="clear" w:color="auto" w:fill="CCCCCC"/>
          </w:tcPr>
          <w:p>
            <w:pPr>
              <w:pStyle w:val="TableParagraph"/>
              <w:spacing w:line="252" w:lineRule="exact" w:before="151"/>
              <w:ind w:left="435" w:right="422"/>
              <w:jc w:val="center"/>
              <w:rPr>
                <w:b/>
                <w:sz w:val="22"/>
              </w:rPr>
            </w:pPr>
            <w:r>
              <w:rPr>
                <w:b/>
                <w:sz w:val="22"/>
              </w:rPr>
              <w:t>EXISTING CLIMATE RISKS</w:t>
            </w:r>
          </w:p>
          <w:p>
            <w:pPr>
              <w:pStyle w:val="TableParagraph"/>
              <w:spacing w:line="229" w:lineRule="exact"/>
              <w:ind w:left="435" w:right="427"/>
              <w:jc w:val="center"/>
              <w:rPr>
                <w:b/>
                <w:sz w:val="20"/>
              </w:rPr>
            </w:pPr>
            <w:r>
              <w:rPr>
                <w:b/>
                <w:sz w:val="20"/>
              </w:rPr>
              <w:t>(vulnerability mapping / LCLIP / PEPU Plans)</w:t>
            </w:r>
          </w:p>
        </w:tc>
        <w:tc>
          <w:tcPr>
            <w:tcW w:w="3779" w:type="dxa"/>
            <w:shd w:val="clear" w:color="auto" w:fill="CCCCCC"/>
          </w:tcPr>
          <w:p>
            <w:pPr>
              <w:pStyle w:val="TableParagraph"/>
              <w:spacing w:line="252" w:lineRule="exact" w:before="151"/>
              <w:ind w:left="119" w:right="105"/>
              <w:jc w:val="center"/>
              <w:rPr>
                <w:b/>
                <w:sz w:val="22"/>
              </w:rPr>
            </w:pPr>
            <w:r>
              <w:rPr>
                <w:b/>
                <w:sz w:val="22"/>
              </w:rPr>
              <w:t>PROJECTED CLIMATE RISKS</w:t>
            </w:r>
          </w:p>
          <w:p>
            <w:pPr>
              <w:pStyle w:val="TableParagraph"/>
              <w:spacing w:line="229" w:lineRule="exact"/>
              <w:ind w:left="119" w:right="108"/>
              <w:jc w:val="center"/>
              <w:rPr>
                <w:b/>
                <w:sz w:val="20"/>
              </w:rPr>
            </w:pPr>
            <w:r>
              <w:rPr>
                <w:b/>
                <w:sz w:val="20"/>
              </w:rPr>
              <w:t>(use of EA models or UKCIP models)</w:t>
            </w:r>
          </w:p>
        </w:tc>
      </w:tr>
      <w:tr>
        <w:trPr>
          <w:trHeight w:val="7127" w:hRule="atLeast"/>
        </w:trPr>
        <w:tc>
          <w:tcPr>
            <w:tcW w:w="2558" w:type="dxa"/>
          </w:tcPr>
          <w:p>
            <w:pPr>
              <w:pStyle w:val="TableParagraph"/>
              <w:spacing w:before="114"/>
              <w:ind w:left="107" w:right="117"/>
              <w:rPr>
                <w:sz w:val="20"/>
              </w:rPr>
            </w:pPr>
            <w:r>
              <w:rPr>
                <w:b/>
                <w:sz w:val="20"/>
              </w:rPr>
              <w:t>Objective 5</w:t>
            </w:r>
            <w:r>
              <w:rPr>
                <w:sz w:val="20"/>
              </w:rPr>
              <w:t>: Improve understanding of local flood risk and seek to decrease local flood risk through implementation of measures to alleviate flooding where practicable.</w:t>
            </w:r>
          </w:p>
        </w:tc>
        <w:tc>
          <w:tcPr>
            <w:tcW w:w="2560" w:type="dxa"/>
          </w:tcPr>
          <w:p>
            <w:pPr>
              <w:pStyle w:val="TableParagraph"/>
              <w:numPr>
                <w:ilvl w:val="0"/>
                <w:numId w:val="65"/>
              </w:numPr>
              <w:tabs>
                <w:tab w:pos="230" w:val="left" w:leader="none"/>
              </w:tabs>
              <w:spacing w:line="240" w:lineRule="auto" w:before="117" w:after="0"/>
              <w:ind w:left="108" w:right="874" w:firstLine="0"/>
              <w:jc w:val="left"/>
              <w:rPr>
                <w:sz w:val="20"/>
              </w:rPr>
            </w:pPr>
            <w:r>
              <w:rPr>
                <w:sz w:val="20"/>
              </w:rPr>
              <w:t>Flood</w:t>
            </w:r>
            <w:r>
              <w:rPr>
                <w:spacing w:val="-10"/>
                <w:sz w:val="20"/>
              </w:rPr>
              <w:t> </w:t>
            </w:r>
            <w:r>
              <w:rPr>
                <w:sz w:val="20"/>
              </w:rPr>
              <w:t>alleviation schemes;</w:t>
            </w:r>
          </w:p>
          <w:p>
            <w:pPr>
              <w:pStyle w:val="TableParagraph"/>
              <w:numPr>
                <w:ilvl w:val="0"/>
                <w:numId w:val="65"/>
              </w:numPr>
              <w:tabs>
                <w:tab w:pos="230" w:val="left" w:leader="none"/>
              </w:tabs>
              <w:spacing w:line="240" w:lineRule="auto" w:before="0" w:after="0"/>
              <w:ind w:left="108" w:right="242" w:firstLine="0"/>
              <w:jc w:val="left"/>
              <w:rPr>
                <w:sz w:val="20"/>
              </w:rPr>
            </w:pPr>
            <w:r>
              <w:rPr>
                <w:sz w:val="20"/>
              </w:rPr>
              <w:t>Property protection</w:t>
            </w:r>
            <w:r>
              <w:rPr>
                <w:spacing w:val="-15"/>
                <w:sz w:val="20"/>
              </w:rPr>
              <w:t> </w:t>
            </w:r>
            <w:r>
              <w:rPr>
                <w:sz w:val="20"/>
              </w:rPr>
              <w:t>and resilience</w:t>
            </w:r>
            <w:r>
              <w:rPr>
                <w:spacing w:val="-1"/>
                <w:sz w:val="20"/>
              </w:rPr>
              <w:t> </w:t>
            </w:r>
            <w:r>
              <w:rPr>
                <w:sz w:val="20"/>
              </w:rPr>
              <w:t>schemes;</w:t>
            </w:r>
          </w:p>
          <w:p>
            <w:pPr>
              <w:pStyle w:val="TableParagraph"/>
              <w:numPr>
                <w:ilvl w:val="0"/>
                <w:numId w:val="65"/>
              </w:numPr>
              <w:tabs>
                <w:tab w:pos="230" w:val="left" w:leader="none"/>
              </w:tabs>
              <w:spacing w:line="240" w:lineRule="auto" w:before="0" w:after="0"/>
              <w:ind w:left="108" w:right="0" w:firstLine="0"/>
              <w:jc w:val="left"/>
              <w:rPr>
                <w:sz w:val="20"/>
              </w:rPr>
            </w:pPr>
            <w:r>
              <w:rPr>
                <w:sz w:val="20"/>
              </w:rPr>
              <w:t>Culvert</w:t>
            </w:r>
            <w:r>
              <w:rPr>
                <w:spacing w:val="-4"/>
                <w:sz w:val="20"/>
              </w:rPr>
              <w:t> </w:t>
            </w:r>
            <w:r>
              <w:rPr>
                <w:sz w:val="20"/>
              </w:rPr>
              <w:t>improvements;</w:t>
            </w:r>
          </w:p>
          <w:p>
            <w:pPr>
              <w:pStyle w:val="TableParagraph"/>
              <w:numPr>
                <w:ilvl w:val="0"/>
                <w:numId w:val="65"/>
              </w:numPr>
              <w:tabs>
                <w:tab w:pos="230" w:val="left" w:leader="none"/>
              </w:tabs>
              <w:spacing w:line="240" w:lineRule="auto" w:before="0" w:after="0"/>
              <w:ind w:left="108" w:right="252" w:firstLine="0"/>
              <w:jc w:val="left"/>
              <w:rPr>
                <w:sz w:val="20"/>
              </w:rPr>
            </w:pPr>
            <w:r>
              <w:rPr>
                <w:sz w:val="20"/>
              </w:rPr>
              <w:t>Environment Agency and YWS dG5</w:t>
            </w:r>
            <w:r>
              <w:rPr>
                <w:spacing w:val="-9"/>
                <w:sz w:val="20"/>
              </w:rPr>
              <w:t> </w:t>
            </w:r>
            <w:r>
              <w:rPr>
                <w:sz w:val="20"/>
              </w:rPr>
              <w:t>schemes;</w:t>
            </w:r>
          </w:p>
          <w:p>
            <w:pPr>
              <w:pStyle w:val="TableParagraph"/>
              <w:numPr>
                <w:ilvl w:val="0"/>
                <w:numId w:val="65"/>
              </w:numPr>
              <w:tabs>
                <w:tab w:pos="230" w:val="left" w:leader="none"/>
              </w:tabs>
              <w:spacing w:line="240" w:lineRule="auto" w:before="0" w:after="0"/>
              <w:ind w:left="108" w:right="586" w:firstLine="0"/>
              <w:jc w:val="both"/>
              <w:rPr>
                <w:sz w:val="20"/>
              </w:rPr>
            </w:pPr>
            <w:r>
              <w:rPr>
                <w:sz w:val="20"/>
              </w:rPr>
              <w:t>Develop register of assets affecting</w:t>
            </w:r>
            <w:r>
              <w:rPr>
                <w:spacing w:val="-14"/>
                <w:sz w:val="20"/>
              </w:rPr>
              <w:t> </w:t>
            </w:r>
            <w:r>
              <w:rPr>
                <w:sz w:val="20"/>
              </w:rPr>
              <w:t>local flood</w:t>
            </w:r>
            <w:r>
              <w:rPr>
                <w:spacing w:val="-1"/>
                <w:sz w:val="20"/>
              </w:rPr>
              <w:t> </w:t>
            </w:r>
            <w:r>
              <w:rPr>
                <w:sz w:val="20"/>
              </w:rPr>
              <w:t>risk;</w:t>
            </w:r>
          </w:p>
          <w:p>
            <w:pPr>
              <w:pStyle w:val="TableParagraph"/>
              <w:numPr>
                <w:ilvl w:val="0"/>
                <w:numId w:val="65"/>
              </w:numPr>
              <w:tabs>
                <w:tab w:pos="230" w:val="left" w:leader="none"/>
              </w:tabs>
              <w:spacing w:line="240" w:lineRule="auto" w:before="0" w:after="0"/>
              <w:ind w:left="108" w:right="321" w:firstLine="0"/>
              <w:jc w:val="left"/>
              <w:rPr>
                <w:sz w:val="20"/>
              </w:rPr>
            </w:pPr>
            <w:r>
              <w:rPr>
                <w:sz w:val="20"/>
              </w:rPr>
              <w:t>Watercourse and</w:t>
            </w:r>
            <w:r>
              <w:rPr>
                <w:spacing w:val="-17"/>
                <w:sz w:val="20"/>
              </w:rPr>
              <w:t> </w:t>
            </w:r>
            <w:r>
              <w:rPr>
                <w:sz w:val="20"/>
              </w:rPr>
              <w:t>beck condition</w:t>
            </w:r>
            <w:r>
              <w:rPr>
                <w:spacing w:val="-2"/>
                <w:sz w:val="20"/>
              </w:rPr>
              <w:t> </w:t>
            </w:r>
            <w:r>
              <w:rPr>
                <w:sz w:val="20"/>
              </w:rPr>
              <w:t>surveys;</w:t>
            </w:r>
          </w:p>
          <w:p>
            <w:pPr>
              <w:pStyle w:val="TableParagraph"/>
              <w:numPr>
                <w:ilvl w:val="0"/>
                <w:numId w:val="65"/>
              </w:numPr>
              <w:tabs>
                <w:tab w:pos="230" w:val="left" w:leader="none"/>
              </w:tabs>
              <w:spacing w:line="240" w:lineRule="auto" w:before="0" w:after="0"/>
              <w:ind w:left="108" w:right="119" w:firstLine="0"/>
              <w:jc w:val="left"/>
              <w:rPr>
                <w:sz w:val="20"/>
              </w:rPr>
            </w:pPr>
            <w:r>
              <w:rPr>
                <w:sz w:val="20"/>
              </w:rPr>
              <w:t>Flood warning feasibility studies (Wortley Beck</w:t>
            </w:r>
            <w:r>
              <w:rPr>
                <w:spacing w:val="-12"/>
                <w:sz w:val="20"/>
              </w:rPr>
              <w:t> </w:t>
            </w:r>
            <w:r>
              <w:rPr>
                <w:sz w:val="20"/>
              </w:rPr>
              <w:t>and Meanwood</w:t>
            </w:r>
            <w:r>
              <w:rPr>
                <w:spacing w:val="-1"/>
                <w:sz w:val="20"/>
              </w:rPr>
              <w:t> </w:t>
            </w:r>
            <w:r>
              <w:rPr>
                <w:sz w:val="20"/>
              </w:rPr>
              <w:t>Beck);</w:t>
            </w:r>
          </w:p>
          <w:p>
            <w:pPr>
              <w:pStyle w:val="TableParagraph"/>
              <w:numPr>
                <w:ilvl w:val="0"/>
                <w:numId w:val="65"/>
              </w:numPr>
              <w:tabs>
                <w:tab w:pos="230" w:val="left" w:leader="none"/>
              </w:tabs>
              <w:spacing w:line="240" w:lineRule="auto" w:before="0" w:after="0"/>
              <w:ind w:left="108" w:right="331" w:firstLine="0"/>
              <w:jc w:val="left"/>
              <w:rPr>
                <w:sz w:val="20"/>
              </w:rPr>
            </w:pPr>
            <w:r>
              <w:rPr>
                <w:sz w:val="20"/>
              </w:rPr>
              <w:t>Investigate interaction between Leeds &amp; Liverpool Canal and</w:t>
            </w:r>
            <w:r>
              <w:rPr>
                <w:spacing w:val="-17"/>
                <w:sz w:val="20"/>
              </w:rPr>
              <w:t> </w:t>
            </w:r>
            <w:r>
              <w:rPr>
                <w:sz w:val="20"/>
              </w:rPr>
              <w:t>the River</w:t>
            </w:r>
            <w:r>
              <w:rPr>
                <w:spacing w:val="-1"/>
                <w:sz w:val="20"/>
              </w:rPr>
              <w:t> </w:t>
            </w:r>
            <w:r>
              <w:rPr>
                <w:sz w:val="20"/>
              </w:rPr>
              <w:t>Aire;</w:t>
            </w:r>
          </w:p>
          <w:p>
            <w:pPr>
              <w:pStyle w:val="TableParagraph"/>
              <w:numPr>
                <w:ilvl w:val="0"/>
                <w:numId w:val="65"/>
              </w:numPr>
              <w:tabs>
                <w:tab w:pos="230" w:val="left" w:leader="none"/>
              </w:tabs>
              <w:spacing w:line="240" w:lineRule="auto" w:before="0" w:after="0"/>
              <w:ind w:left="108" w:right="619" w:firstLine="0"/>
              <w:jc w:val="left"/>
              <w:rPr>
                <w:sz w:val="20"/>
              </w:rPr>
            </w:pPr>
            <w:r>
              <w:rPr>
                <w:sz w:val="20"/>
              </w:rPr>
              <w:t>Produce register of culverts and</w:t>
            </w:r>
            <w:r>
              <w:rPr>
                <w:spacing w:val="-13"/>
                <w:sz w:val="20"/>
              </w:rPr>
              <w:t> </w:t>
            </w:r>
            <w:r>
              <w:rPr>
                <w:sz w:val="20"/>
              </w:rPr>
              <w:t>outfalls;</w:t>
            </w:r>
          </w:p>
          <w:p>
            <w:pPr>
              <w:pStyle w:val="TableParagraph"/>
              <w:numPr>
                <w:ilvl w:val="0"/>
                <w:numId w:val="65"/>
              </w:numPr>
              <w:tabs>
                <w:tab w:pos="230" w:val="left" w:leader="none"/>
              </w:tabs>
              <w:spacing w:line="240" w:lineRule="auto" w:before="0" w:after="0"/>
              <w:ind w:left="108" w:right="463" w:firstLine="0"/>
              <w:jc w:val="left"/>
              <w:rPr>
                <w:sz w:val="20"/>
              </w:rPr>
            </w:pPr>
            <w:r>
              <w:rPr>
                <w:sz w:val="20"/>
              </w:rPr>
              <w:t>Evaluate condition</w:t>
            </w:r>
            <w:r>
              <w:rPr>
                <w:spacing w:val="-9"/>
                <w:sz w:val="20"/>
              </w:rPr>
              <w:t> </w:t>
            </w:r>
            <w:r>
              <w:rPr>
                <w:sz w:val="20"/>
              </w:rPr>
              <w:t>of flood defences along Sheepscar</w:t>
            </w:r>
            <w:r>
              <w:rPr>
                <w:spacing w:val="-1"/>
                <w:sz w:val="20"/>
              </w:rPr>
              <w:t> </w:t>
            </w:r>
            <w:r>
              <w:rPr>
                <w:sz w:val="20"/>
              </w:rPr>
              <w:t>Beck;</w:t>
            </w:r>
          </w:p>
          <w:p>
            <w:pPr>
              <w:pStyle w:val="TableParagraph"/>
              <w:numPr>
                <w:ilvl w:val="0"/>
                <w:numId w:val="65"/>
              </w:numPr>
              <w:tabs>
                <w:tab w:pos="230" w:val="left" w:leader="none"/>
              </w:tabs>
              <w:spacing w:line="240" w:lineRule="auto" w:before="0" w:after="0"/>
              <w:ind w:left="108" w:right="176" w:firstLine="0"/>
              <w:jc w:val="left"/>
              <w:rPr>
                <w:sz w:val="20"/>
              </w:rPr>
            </w:pPr>
            <w:r>
              <w:rPr>
                <w:sz w:val="20"/>
              </w:rPr>
              <w:t>Work with EA to</w:t>
            </w:r>
            <w:r>
              <w:rPr>
                <w:spacing w:val="-11"/>
                <w:sz w:val="20"/>
              </w:rPr>
              <w:t> </w:t>
            </w:r>
            <w:r>
              <w:rPr>
                <w:sz w:val="20"/>
              </w:rPr>
              <w:t>support development of flood defence and resilience strategy for the Meanwood Beck catchment.</w:t>
            </w:r>
          </w:p>
        </w:tc>
        <w:tc>
          <w:tcPr>
            <w:tcW w:w="5159" w:type="dxa"/>
          </w:tcPr>
          <w:p>
            <w:pPr>
              <w:pStyle w:val="TableParagraph"/>
              <w:numPr>
                <w:ilvl w:val="0"/>
                <w:numId w:val="66"/>
              </w:numPr>
              <w:tabs>
                <w:tab w:pos="231" w:val="left" w:leader="none"/>
              </w:tabs>
              <w:spacing w:line="240" w:lineRule="auto" w:before="117" w:after="0"/>
              <w:ind w:left="108" w:right="0" w:firstLine="0"/>
              <w:jc w:val="left"/>
              <w:rPr>
                <w:sz w:val="20"/>
              </w:rPr>
            </w:pPr>
            <w:r>
              <w:rPr>
                <w:color w:val="0000FF"/>
                <w:sz w:val="20"/>
              </w:rPr>
              <w:t>Identify existing flooding hot</w:t>
            </w:r>
            <w:r>
              <w:rPr>
                <w:color w:val="0000FF"/>
                <w:spacing w:val="-4"/>
                <w:sz w:val="20"/>
              </w:rPr>
              <w:t> </w:t>
            </w:r>
            <w:r>
              <w:rPr>
                <w:color w:val="0000FF"/>
                <w:sz w:val="20"/>
              </w:rPr>
              <w:t>spots;</w:t>
            </w:r>
          </w:p>
          <w:p>
            <w:pPr>
              <w:pStyle w:val="TableParagraph"/>
              <w:numPr>
                <w:ilvl w:val="0"/>
                <w:numId w:val="66"/>
              </w:numPr>
              <w:tabs>
                <w:tab w:pos="231" w:val="left" w:leader="none"/>
              </w:tabs>
              <w:spacing w:line="240" w:lineRule="auto" w:before="0" w:after="0"/>
              <w:ind w:left="108" w:right="581" w:firstLine="0"/>
              <w:jc w:val="left"/>
              <w:rPr>
                <w:sz w:val="20"/>
              </w:rPr>
            </w:pPr>
            <w:r>
              <w:rPr>
                <w:color w:val="0000FF"/>
                <w:sz w:val="20"/>
              </w:rPr>
              <w:t>What is right for a specific community - not just Standard of Protection - check hydraulic modelling methodology;</w:t>
            </w:r>
          </w:p>
          <w:p>
            <w:pPr>
              <w:pStyle w:val="TableParagraph"/>
              <w:numPr>
                <w:ilvl w:val="0"/>
                <w:numId w:val="66"/>
              </w:numPr>
              <w:tabs>
                <w:tab w:pos="231" w:val="left" w:leader="none"/>
              </w:tabs>
              <w:spacing w:line="240" w:lineRule="auto" w:before="0" w:after="0"/>
              <w:ind w:left="108" w:right="275" w:firstLine="0"/>
              <w:jc w:val="left"/>
              <w:rPr>
                <w:sz w:val="20"/>
              </w:rPr>
            </w:pPr>
            <w:r>
              <w:rPr>
                <w:color w:val="0000FF"/>
                <w:sz w:val="20"/>
              </w:rPr>
              <w:t>Understand flood risk now and what risk will be in</w:t>
            </w:r>
            <w:r>
              <w:rPr>
                <w:color w:val="0000FF"/>
                <w:spacing w:val="-32"/>
                <w:sz w:val="20"/>
              </w:rPr>
              <w:t> </w:t>
            </w:r>
            <w:r>
              <w:rPr>
                <w:color w:val="0000FF"/>
                <w:sz w:val="20"/>
              </w:rPr>
              <w:t>50 years time - use UKCP and relevant</w:t>
            </w:r>
            <w:r>
              <w:rPr>
                <w:color w:val="0000FF"/>
                <w:spacing w:val="-7"/>
                <w:sz w:val="20"/>
              </w:rPr>
              <w:t> </w:t>
            </w:r>
            <w:r>
              <w:rPr>
                <w:color w:val="0000FF"/>
                <w:sz w:val="20"/>
              </w:rPr>
              <w:t>guidance;</w:t>
            </w:r>
          </w:p>
          <w:p>
            <w:pPr>
              <w:pStyle w:val="TableParagraph"/>
              <w:numPr>
                <w:ilvl w:val="0"/>
                <w:numId w:val="66"/>
              </w:numPr>
              <w:tabs>
                <w:tab w:pos="231" w:val="left" w:leader="none"/>
              </w:tabs>
              <w:spacing w:line="240" w:lineRule="auto" w:before="0" w:after="0"/>
              <w:ind w:left="108" w:right="523" w:firstLine="0"/>
              <w:jc w:val="left"/>
              <w:rPr>
                <w:sz w:val="20"/>
              </w:rPr>
            </w:pPr>
            <w:r>
              <w:rPr>
                <w:color w:val="0000FF"/>
                <w:sz w:val="20"/>
              </w:rPr>
              <w:t>Assumptions for UKCP's - emissions - should</w:t>
            </w:r>
            <w:r>
              <w:rPr>
                <w:color w:val="0000FF"/>
                <w:spacing w:val="-24"/>
                <w:sz w:val="20"/>
              </w:rPr>
              <w:t> </w:t>
            </w:r>
            <w:r>
              <w:rPr>
                <w:color w:val="0000FF"/>
                <w:sz w:val="20"/>
              </w:rPr>
              <w:t>use upper end</w:t>
            </w:r>
            <w:r>
              <w:rPr>
                <w:color w:val="0000FF"/>
                <w:spacing w:val="-2"/>
                <w:sz w:val="20"/>
              </w:rPr>
              <w:t> </w:t>
            </w:r>
            <w:r>
              <w:rPr>
                <w:color w:val="0000FF"/>
                <w:sz w:val="20"/>
              </w:rPr>
              <w:t>estimates;</w:t>
            </w:r>
          </w:p>
          <w:p>
            <w:pPr>
              <w:pStyle w:val="TableParagraph"/>
              <w:numPr>
                <w:ilvl w:val="0"/>
                <w:numId w:val="66"/>
              </w:numPr>
              <w:tabs>
                <w:tab w:pos="232" w:val="left" w:leader="none"/>
              </w:tabs>
              <w:spacing w:line="240" w:lineRule="auto" w:before="0" w:after="0"/>
              <w:ind w:left="108" w:right="871" w:firstLine="0"/>
              <w:jc w:val="left"/>
              <w:rPr>
                <w:sz w:val="20"/>
              </w:rPr>
            </w:pPr>
            <w:r>
              <w:rPr>
                <w:color w:val="0000FF"/>
                <w:sz w:val="20"/>
              </w:rPr>
              <w:t>Indirect effects of major schemes - e.g. River Aire/Leeds - effects downstream on</w:t>
            </w:r>
            <w:r>
              <w:rPr>
                <w:color w:val="0000FF"/>
                <w:spacing w:val="-24"/>
                <w:sz w:val="20"/>
              </w:rPr>
              <w:t> </w:t>
            </w:r>
            <w:r>
              <w:rPr>
                <w:color w:val="0000FF"/>
                <w:sz w:val="20"/>
              </w:rPr>
              <w:t>Castleford;</w:t>
            </w:r>
          </w:p>
          <w:p>
            <w:pPr>
              <w:pStyle w:val="TableParagraph"/>
              <w:numPr>
                <w:ilvl w:val="0"/>
                <w:numId w:val="66"/>
              </w:numPr>
              <w:tabs>
                <w:tab w:pos="231" w:val="left" w:leader="none"/>
              </w:tabs>
              <w:spacing w:line="240" w:lineRule="auto" w:before="0" w:after="0"/>
              <w:ind w:left="108" w:right="715" w:firstLine="0"/>
              <w:jc w:val="left"/>
              <w:rPr>
                <w:sz w:val="20"/>
              </w:rPr>
            </w:pPr>
            <w:r>
              <w:rPr>
                <w:color w:val="0000FF"/>
                <w:sz w:val="20"/>
              </w:rPr>
              <w:t>Cost/benefit analysis for each applicable area</w:t>
            </w:r>
            <w:r>
              <w:rPr>
                <w:color w:val="0000FF"/>
                <w:spacing w:val="-32"/>
                <w:sz w:val="20"/>
              </w:rPr>
              <w:t> </w:t>
            </w:r>
            <w:r>
              <w:rPr>
                <w:color w:val="0000FF"/>
                <w:sz w:val="20"/>
              </w:rPr>
              <w:t>– affordability;</w:t>
            </w:r>
          </w:p>
          <w:p>
            <w:pPr>
              <w:pStyle w:val="TableParagraph"/>
              <w:numPr>
                <w:ilvl w:val="0"/>
                <w:numId w:val="66"/>
              </w:numPr>
              <w:tabs>
                <w:tab w:pos="231" w:val="left" w:leader="none"/>
              </w:tabs>
              <w:spacing w:line="240" w:lineRule="auto" w:before="0" w:after="0"/>
              <w:ind w:left="108" w:right="751" w:firstLine="0"/>
              <w:jc w:val="left"/>
              <w:rPr>
                <w:sz w:val="20"/>
              </w:rPr>
            </w:pPr>
            <w:r>
              <w:rPr>
                <w:color w:val="0000FF"/>
                <w:sz w:val="20"/>
              </w:rPr>
              <w:t>Improve capability to deal with a flood when it happens - property protection and resilience</w:t>
            </w:r>
            <w:r>
              <w:rPr>
                <w:color w:val="0000FF"/>
                <w:spacing w:val="-31"/>
                <w:sz w:val="20"/>
              </w:rPr>
              <w:t> </w:t>
            </w:r>
            <w:r>
              <w:rPr>
                <w:color w:val="0000FF"/>
                <w:sz w:val="20"/>
              </w:rPr>
              <w:t>e.g. Todmorden.</w:t>
            </w:r>
          </w:p>
        </w:tc>
        <w:tc>
          <w:tcPr>
            <w:tcW w:w="3779" w:type="dxa"/>
          </w:tcPr>
          <w:p>
            <w:pPr>
              <w:pStyle w:val="TableParagraph"/>
              <w:numPr>
                <w:ilvl w:val="0"/>
                <w:numId w:val="67"/>
              </w:numPr>
              <w:tabs>
                <w:tab w:pos="232" w:val="left" w:leader="none"/>
              </w:tabs>
              <w:spacing w:line="240" w:lineRule="auto" w:before="117" w:after="0"/>
              <w:ind w:left="109" w:right="612" w:firstLine="0"/>
              <w:jc w:val="left"/>
              <w:rPr>
                <w:sz w:val="20"/>
              </w:rPr>
            </w:pPr>
            <w:r>
              <w:rPr>
                <w:color w:val="0000FF"/>
                <w:sz w:val="20"/>
              </w:rPr>
              <w:t>Understanding of flood risk in the future;</w:t>
            </w:r>
          </w:p>
          <w:p>
            <w:pPr>
              <w:pStyle w:val="TableParagraph"/>
              <w:numPr>
                <w:ilvl w:val="0"/>
                <w:numId w:val="67"/>
              </w:numPr>
              <w:tabs>
                <w:tab w:pos="232" w:val="left" w:leader="none"/>
              </w:tabs>
              <w:spacing w:line="240" w:lineRule="auto" w:before="0" w:after="0"/>
              <w:ind w:left="109" w:right="112" w:firstLine="0"/>
              <w:jc w:val="left"/>
              <w:rPr>
                <w:sz w:val="20"/>
              </w:rPr>
            </w:pPr>
            <w:r>
              <w:rPr>
                <w:color w:val="0000FF"/>
                <w:sz w:val="20"/>
              </w:rPr>
              <w:t>Improve understanding of downstream catchment effects - unforeseen</w:t>
            </w:r>
            <w:r>
              <w:rPr>
                <w:color w:val="0000FF"/>
                <w:spacing w:val="-25"/>
                <w:sz w:val="20"/>
              </w:rPr>
              <w:t> </w:t>
            </w:r>
            <w:r>
              <w:rPr>
                <w:color w:val="0000FF"/>
                <w:sz w:val="20"/>
              </w:rPr>
              <w:t>impacts, indirect effects, effect of bridges, reduced risk, increased</w:t>
            </w:r>
            <w:r>
              <w:rPr>
                <w:color w:val="0000FF"/>
                <w:spacing w:val="-4"/>
                <w:sz w:val="20"/>
              </w:rPr>
              <w:t> </w:t>
            </w:r>
            <w:r>
              <w:rPr>
                <w:color w:val="0000FF"/>
                <w:sz w:val="20"/>
              </w:rPr>
              <w:t>capacity;</w:t>
            </w:r>
          </w:p>
          <w:p>
            <w:pPr>
              <w:pStyle w:val="TableParagraph"/>
              <w:numPr>
                <w:ilvl w:val="0"/>
                <w:numId w:val="67"/>
              </w:numPr>
              <w:tabs>
                <w:tab w:pos="232" w:val="left" w:leader="none"/>
              </w:tabs>
              <w:spacing w:line="240" w:lineRule="auto" w:before="0" w:after="0"/>
              <w:ind w:left="109" w:right="420" w:firstLine="0"/>
              <w:jc w:val="left"/>
              <w:rPr>
                <w:sz w:val="20"/>
              </w:rPr>
            </w:pPr>
            <w:r>
              <w:rPr>
                <w:color w:val="0000FF"/>
                <w:sz w:val="20"/>
              </w:rPr>
              <w:t>Potential Partnership Funding - include paragraph for this in strategy and strengthen objectives 4 and</w:t>
            </w:r>
            <w:r>
              <w:rPr>
                <w:color w:val="0000FF"/>
                <w:spacing w:val="-8"/>
                <w:sz w:val="20"/>
              </w:rPr>
              <w:t> </w:t>
            </w:r>
            <w:r>
              <w:rPr>
                <w:color w:val="0000FF"/>
                <w:sz w:val="20"/>
              </w:rPr>
              <w:t>5.</w:t>
            </w:r>
          </w:p>
        </w:tc>
      </w:tr>
    </w:tbl>
    <w:p>
      <w:pPr>
        <w:spacing w:after="0" w:line="240" w:lineRule="auto"/>
        <w:jc w:val="left"/>
        <w:rPr>
          <w:sz w:val="20"/>
        </w:rPr>
        <w:sectPr>
          <w:pgSz w:w="16840" w:h="11910" w:orient="landscape"/>
          <w:pgMar w:header="0" w:footer="822" w:top="1100" w:bottom="1000" w:left="1220" w:right="7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spacing w:before="59"/>
        <w:ind w:left="161" w:right="0" w:firstLine="0"/>
        <w:jc w:val="left"/>
        <w:rPr>
          <w:sz w:val="121"/>
        </w:rPr>
      </w:pPr>
      <w:r>
        <w:rPr/>
        <w:drawing>
          <wp:anchor distT="0" distB="0" distL="0" distR="0" allowOverlap="1" layoutInCell="1" locked="0" behindDoc="0" simplePos="0" relativeHeight="3904">
            <wp:simplePos x="0" y="0"/>
            <wp:positionH relativeFrom="page">
              <wp:posOffset>4622253</wp:posOffset>
            </wp:positionH>
            <wp:positionV relativeFrom="paragraph">
              <wp:posOffset>212138</wp:posOffset>
            </wp:positionV>
            <wp:extent cx="469844" cy="558727"/>
            <wp:effectExtent l="0" t="0" r="0" b="0"/>
            <wp:wrapNone/>
            <wp:docPr id="63" name="image46.jpeg" descr=""/>
            <wp:cNvGraphicFramePr>
              <a:graphicFrameLocks noChangeAspect="1"/>
            </wp:cNvGraphicFramePr>
            <a:graphic>
              <a:graphicData uri="http://schemas.openxmlformats.org/drawingml/2006/picture">
                <pic:pic>
                  <pic:nvPicPr>
                    <pic:cNvPr id="64" name="image46.jpeg"/>
                    <pic:cNvPicPr/>
                  </pic:nvPicPr>
                  <pic:blipFill>
                    <a:blip r:embed="rId87" cstate="print"/>
                    <a:stretch>
                      <a:fillRect/>
                    </a:stretch>
                  </pic:blipFill>
                  <pic:spPr>
                    <a:xfrm>
                      <a:off x="0" y="0"/>
                      <a:ext cx="469844" cy="558727"/>
                    </a:xfrm>
                    <a:prstGeom prst="rect">
                      <a:avLst/>
                    </a:prstGeom>
                  </pic:spPr>
                </pic:pic>
              </a:graphicData>
            </a:graphic>
          </wp:anchor>
        </w:drawing>
      </w:r>
      <w:bookmarkStart w:name="END3_Page_53" w:id="100"/>
      <w:bookmarkEnd w:id="100"/>
      <w:r>
        <w:rPr/>
      </w:r>
      <w:r>
        <w:rPr>
          <w:color w:val="EB4D42"/>
          <w:w w:val="105"/>
          <w:sz w:val="121"/>
        </w:rPr>
        <w:t>Appendix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r>
        <w:rPr/>
        <w:drawing>
          <wp:anchor distT="0" distB="0" distL="0" distR="0" allowOverlap="1" layoutInCell="1" locked="0" behindDoc="0" simplePos="0" relativeHeight="119">
            <wp:simplePos x="0" y="0"/>
            <wp:positionH relativeFrom="page">
              <wp:posOffset>888895</wp:posOffset>
            </wp:positionH>
            <wp:positionV relativeFrom="paragraph">
              <wp:posOffset>199067</wp:posOffset>
            </wp:positionV>
            <wp:extent cx="5054688" cy="88677"/>
            <wp:effectExtent l="0" t="0" r="0" b="0"/>
            <wp:wrapTopAndBottom/>
            <wp:docPr id="65" name="image38.png" descr=""/>
            <wp:cNvGraphicFramePr>
              <a:graphicFrameLocks noChangeAspect="1"/>
            </wp:cNvGraphicFramePr>
            <a:graphic>
              <a:graphicData uri="http://schemas.openxmlformats.org/drawingml/2006/picture">
                <pic:pic>
                  <pic:nvPicPr>
                    <pic:cNvPr id="66" name="image38.png"/>
                    <pic:cNvPicPr/>
                  </pic:nvPicPr>
                  <pic:blipFill>
                    <a:blip r:embed="rId56" cstate="print"/>
                    <a:stretch>
                      <a:fillRect/>
                    </a:stretch>
                  </pic:blipFill>
                  <pic:spPr>
                    <a:xfrm>
                      <a:off x="0" y="0"/>
                      <a:ext cx="5054688" cy="88677"/>
                    </a:xfrm>
                    <a:prstGeom prst="rect">
                      <a:avLst/>
                    </a:prstGeom>
                  </pic:spPr>
                </pic:pic>
              </a:graphicData>
            </a:graphic>
          </wp:anchor>
        </w:drawing>
      </w:r>
    </w:p>
    <w:p>
      <w:pPr>
        <w:spacing w:before="285"/>
        <w:ind w:left="137" w:right="0" w:firstLine="0"/>
        <w:jc w:val="left"/>
        <w:rPr>
          <w:rFonts w:ascii="Calibri"/>
          <w:sz w:val="50"/>
        </w:rPr>
      </w:pPr>
      <w:r>
        <w:rPr>
          <w:rFonts w:ascii="Calibri"/>
          <w:w w:val="140"/>
          <w:sz w:val="50"/>
        </w:rPr>
        <w:t>LIST</w:t>
      </w:r>
      <w:r>
        <w:rPr>
          <w:rFonts w:ascii="Calibri"/>
          <w:spacing w:val="-82"/>
          <w:w w:val="140"/>
          <w:sz w:val="50"/>
        </w:rPr>
        <w:t> </w:t>
      </w:r>
      <w:r>
        <w:rPr>
          <w:rFonts w:ascii="Calibri"/>
          <w:spacing w:val="3"/>
          <w:w w:val="140"/>
          <w:sz w:val="50"/>
        </w:rPr>
        <w:t>OFMEASURES</w:t>
      </w:r>
    </w:p>
    <w:p>
      <w:pPr>
        <w:spacing w:after="0"/>
        <w:jc w:val="left"/>
        <w:rPr>
          <w:rFonts w:ascii="Calibri"/>
          <w:sz w:val="50"/>
        </w:rPr>
        <w:sectPr>
          <w:footerReference w:type="default" r:id="rId86"/>
          <w:pgSz w:w="11920" w:h="16840"/>
          <w:pgMar w:footer="0" w:header="0" w:top="1580" w:bottom="280" w:left="1280" w:right="1680"/>
        </w:sectPr>
      </w:pPr>
    </w:p>
    <w:tbl>
      <w:tblPr>
        <w:tblW w:w="0" w:type="auto"/>
        <w:jc w:val="left"/>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
        <w:gridCol w:w="715"/>
        <w:gridCol w:w="1505"/>
        <w:gridCol w:w="4145"/>
        <w:gridCol w:w="927"/>
        <w:gridCol w:w="1707"/>
        <w:gridCol w:w="4145"/>
        <w:gridCol w:w="4145"/>
        <w:gridCol w:w="1783"/>
        <w:gridCol w:w="917"/>
        <w:gridCol w:w="1114"/>
        <w:gridCol w:w="670"/>
      </w:tblGrid>
      <w:tr>
        <w:trPr>
          <w:trHeight w:val="172" w:hRule="atLeast"/>
        </w:trPr>
        <w:tc>
          <w:tcPr>
            <w:tcW w:w="22078" w:type="dxa"/>
            <w:gridSpan w:val="12"/>
            <w:shd w:val="clear" w:color="auto" w:fill="F9423A"/>
          </w:tcPr>
          <w:p>
            <w:pPr>
              <w:pStyle w:val="TableParagraph"/>
              <w:spacing w:line="152" w:lineRule="exact"/>
              <w:ind w:left="23"/>
              <w:rPr>
                <w:b/>
                <w:sz w:val="15"/>
              </w:rPr>
            </w:pPr>
            <w:bookmarkStart w:name="Appendix C - List of Measures (Policies)" w:id="101"/>
            <w:bookmarkEnd w:id="101"/>
            <w:r>
              <w:rPr/>
            </w:r>
            <w:r>
              <w:rPr>
                <w:b/>
                <w:color w:val="FFFFFF"/>
                <w:sz w:val="15"/>
              </w:rPr>
              <w:t>Appendix C - List of Measures (Policies)</w:t>
            </w:r>
          </w:p>
        </w:tc>
      </w:tr>
      <w:tr>
        <w:trPr>
          <w:trHeight w:val="398" w:hRule="atLeast"/>
        </w:trPr>
        <w:tc>
          <w:tcPr>
            <w:tcW w:w="305" w:type="dxa"/>
          </w:tcPr>
          <w:p>
            <w:pPr>
              <w:pStyle w:val="TableParagraph"/>
              <w:spacing w:before="10"/>
              <w:rPr>
                <w:rFonts w:ascii="Calibri"/>
                <w:sz w:val="10"/>
              </w:rPr>
            </w:pPr>
          </w:p>
          <w:p>
            <w:pPr>
              <w:pStyle w:val="TableParagraph"/>
              <w:spacing w:before="1"/>
              <w:ind w:left="19"/>
              <w:rPr>
                <w:b/>
                <w:sz w:val="11"/>
              </w:rPr>
            </w:pPr>
            <w:r>
              <w:rPr>
                <w:b/>
                <w:color w:val="F9423A"/>
                <w:w w:val="105"/>
                <w:sz w:val="11"/>
              </w:rPr>
              <w:t>ID</w:t>
            </w:r>
          </w:p>
        </w:tc>
        <w:tc>
          <w:tcPr>
            <w:tcW w:w="715" w:type="dxa"/>
          </w:tcPr>
          <w:p>
            <w:pPr>
              <w:pStyle w:val="TableParagraph"/>
              <w:spacing w:before="10"/>
              <w:rPr>
                <w:rFonts w:ascii="Calibri"/>
                <w:sz w:val="10"/>
              </w:rPr>
            </w:pPr>
          </w:p>
          <w:p>
            <w:pPr>
              <w:pStyle w:val="TableParagraph"/>
              <w:spacing w:before="1"/>
              <w:ind w:left="18"/>
              <w:rPr>
                <w:b/>
                <w:sz w:val="11"/>
              </w:rPr>
            </w:pPr>
            <w:r>
              <w:rPr>
                <w:b/>
                <w:color w:val="F9423A"/>
                <w:w w:val="105"/>
                <w:sz w:val="11"/>
              </w:rPr>
              <w:t>Priority</w:t>
            </w:r>
          </w:p>
        </w:tc>
        <w:tc>
          <w:tcPr>
            <w:tcW w:w="1505" w:type="dxa"/>
          </w:tcPr>
          <w:p>
            <w:pPr>
              <w:pStyle w:val="TableParagraph"/>
              <w:spacing w:line="278" w:lineRule="auto" w:before="61"/>
              <w:ind w:left="19"/>
              <w:rPr>
                <w:b/>
                <w:sz w:val="11"/>
              </w:rPr>
            </w:pPr>
            <w:r>
              <w:rPr>
                <w:b/>
                <w:color w:val="F9423A"/>
                <w:w w:val="105"/>
                <w:sz w:val="11"/>
              </w:rPr>
              <w:t>Scheduled Review/Completion Date</w:t>
            </w:r>
          </w:p>
        </w:tc>
        <w:tc>
          <w:tcPr>
            <w:tcW w:w="4145" w:type="dxa"/>
          </w:tcPr>
          <w:p>
            <w:pPr>
              <w:pStyle w:val="TableParagraph"/>
              <w:spacing w:before="10"/>
              <w:rPr>
                <w:rFonts w:ascii="Calibri"/>
                <w:sz w:val="10"/>
              </w:rPr>
            </w:pPr>
          </w:p>
          <w:p>
            <w:pPr>
              <w:pStyle w:val="TableParagraph"/>
              <w:spacing w:before="1"/>
              <w:ind w:left="18"/>
              <w:rPr>
                <w:b/>
                <w:sz w:val="11"/>
              </w:rPr>
            </w:pPr>
            <w:r>
              <w:rPr>
                <w:b/>
                <w:color w:val="F9423A"/>
                <w:w w:val="105"/>
                <w:sz w:val="11"/>
              </w:rPr>
              <w:t>Measure</w:t>
            </w:r>
          </w:p>
        </w:tc>
        <w:tc>
          <w:tcPr>
            <w:tcW w:w="927" w:type="dxa"/>
          </w:tcPr>
          <w:p>
            <w:pPr>
              <w:pStyle w:val="TableParagraph"/>
              <w:spacing w:line="278" w:lineRule="auto" w:before="61"/>
              <w:ind w:left="18" w:right="256"/>
              <w:rPr>
                <w:b/>
                <w:sz w:val="11"/>
              </w:rPr>
            </w:pPr>
            <w:r>
              <w:rPr>
                <w:b/>
                <w:color w:val="F9423A"/>
                <w:w w:val="105"/>
                <w:sz w:val="11"/>
              </w:rPr>
              <w:t>Location (if applicable)</w:t>
            </w:r>
          </w:p>
        </w:tc>
        <w:tc>
          <w:tcPr>
            <w:tcW w:w="1707" w:type="dxa"/>
          </w:tcPr>
          <w:p>
            <w:pPr>
              <w:pStyle w:val="TableParagraph"/>
              <w:spacing w:before="10"/>
              <w:rPr>
                <w:rFonts w:ascii="Calibri"/>
                <w:sz w:val="10"/>
              </w:rPr>
            </w:pPr>
          </w:p>
          <w:p>
            <w:pPr>
              <w:pStyle w:val="TableParagraph"/>
              <w:spacing w:before="1"/>
              <w:ind w:left="18"/>
              <w:rPr>
                <w:b/>
                <w:sz w:val="11"/>
              </w:rPr>
            </w:pPr>
            <w:r>
              <w:rPr>
                <w:b/>
                <w:color w:val="F9423A"/>
                <w:w w:val="105"/>
                <w:sz w:val="11"/>
              </w:rPr>
              <w:t>Category</w:t>
            </w:r>
          </w:p>
        </w:tc>
        <w:tc>
          <w:tcPr>
            <w:tcW w:w="4145" w:type="dxa"/>
          </w:tcPr>
          <w:p>
            <w:pPr>
              <w:pStyle w:val="TableParagraph"/>
              <w:spacing w:before="10"/>
              <w:rPr>
                <w:rFonts w:ascii="Calibri"/>
                <w:sz w:val="10"/>
              </w:rPr>
            </w:pPr>
          </w:p>
          <w:p>
            <w:pPr>
              <w:pStyle w:val="TableParagraph"/>
              <w:spacing w:before="1"/>
              <w:ind w:left="17"/>
              <w:rPr>
                <w:b/>
                <w:sz w:val="11"/>
              </w:rPr>
            </w:pPr>
            <w:r>
              <w:rPr>
                <w:b/>
                <w:color w:val="F9423A"/>
                <w:w w:val="105"/>
                <w:sz w:val="11"/>
              </w:rPr>
              <w:t>Relevant Objective from LFRMS</w:t>
            </w:r>
          </w:p>
        </w:tc>
        <w:tc>
          <w:tcPr>
            <w:tcW w:w="4145" w:type="dxa"/>
          </w:tcPr>
          <w:p>
            <w:pPr>
              <w:pStyle w:val="TableParagraph"/>
              <w:spacing w:before="10"/>
              <w:rPr>
                <w:rFonts w:ascii="Calibri"/>
                <w:sz w:val="10"/>
              </w:rPr>
            </w:pPr>
          </w:p>
          <w:p>
            <w:pPr>
              <w:pStyle w:val="TableParagraph"/>
              <w:spacing w:before="1"/>
              <w:ind w:left="17"/>
              <w:rPr>
                <w:b/>
                <w:sz w:val="11"/>
              </w:rPr>
            </w:pPr>
            <w:r>
              <w:rPr>
                <w:b/>
                <w:color w:val="F9423A"/>
                <w:w w:val="105"/>
                <w:sz w:val="11"/>
              </w:rPr>
              <w:t>Progress/Comments (reference other sources of information)</w:t>
            </w:r>
          </w:p>
        </w:tc>
        <w:tc>
          <w:tcPr>
            <w:tcW w:w="1783" w:type="dxa"/>
          </w:tcPr>
          <w:p>
            <w:pPr>
              <w:pStyle w:val="TableParagraph"/>
              <w:spacing w:before="10"/>
              <w:rPr>
                <w:rFonts w:ascii="Calibri"/>
                <w:sz w:val="10"/>
              </w:rPr>
            </w:pPr>
          </w:p>
          <w:p>
            <w:pPr>
              <w:pStyle w:val="TableParagraph"/>
              <w:spacing w:before="1"/>
              <w:ind w:left="17"/>
              <w:rPr>
                <w:b/>
                <w:sz w:val="11"/>
              </w:rPr>
            </w:pPr>
            <w:r>
              <w:rPr>
                <w:b/>
                <w:color w:val="F9423A"/>
                <w:w w:val="105"/>
                <w:sz w:val="11"/>
              </w:rPr>
              <w:t>Benefits/ Outcome</w:t>
            </w:r>
          </w:p>
        </w:tc>
        <w:tc>
          <w:tcPr>
            <w:tcW w:w="917" w:type="dxa"/>
          </w:tcPr>
          <w:p>
            <w:pPr>
              <w:pStyle w:val="TableParagraph"/>
              <w:spacing w:line="278" w:lineRule="auto" w:before="61"/>
              <w:ind w:left="17" w:right="157"/>
              <w:rPr>
                <w:b/>
                <w:sz w:val="11"/>
              </w:rPr>
            </w:pPr>
            <w:r>
              <w:rPr>
                <w:b/>
                <w:color w:val="F9423A"/>
                <w:w w:val="105"/>
                <w:sz w:val="11"/>
              </w:rPr>
              <w:t>Lead Organisation</w:t>
            </w:r>
          </w:p>
        </w:tc>
        <w:tc>
          <w:tcPr>
            <w:tcW w:w="1114" w:type="dxa"/>
          </w:tcPr>
          <w:p>
            <w:pPr>
              <w:pStyle w:val="TableParagraph"/>
              <w:spacing w:line="278" w:lineRule="auto" w:before="61"/>
              <w:ind w:left="17" w:right="354"/>
              <w:rPr>
                <w:b/>
                <w:sz w:val="11"/>
              </w:rPr>
            </w:pPr>
            <w:r>
              <w:rPr>
                <w:b/>
                <w:color w:val="F9423A"/>
                <w:w w:val="105"/>
                <w:sz w:val="11"/>
              </w:rPr>
              <w:t>Support Organisation</w:t>
            </w:r>
          </w:p>
        </w:tc>
        <w:tc>
          <w:tcPr>
            <w:tcW w:w="670" w:type="dxa"/>
          </w:tcPr>
          <w:p>
            <w:pPr>
              <w:pStyle w:val="TableParagraph"/>
              <w:spacing w:line="278" w:lineRule="auto" w:before="61"/>
              <w:ind w:left="16" w:right="91"/>
              <w:rPr>
                <w:b/>
                <w:sz w:val="11"/>
              </w:rPr>
            </w:pPr>
            <w:r>
              <w:rPr>
                <w:b/>
                <w:color w:val="F9423A"/>
                <w:w w:val="105"/>
                <w:sz w:val="11"/>
              </w:rPr>
              <w:t>Last Reviewed</w:t>
            </w:r>
          </w:p>
        </w:tc>
      </w:tr>
      <w:tr>
        <w:trPr>
          <w:trHeight w:val="230" w:hRule="atLeast"/>
        </w:trPr>
        <w:tc>
          <w:tcPr>
            <w:tcW w:w="22078" w:type="dxa"/>
            <w:gridSpan w:val="12"/>
            <w:shd w:val="clear" w:color="auto" w:fill="F9423A"/>
          </w:tcPr>
          <w:p>
            <w:pPr>
              <w:pStyle w:val="TableParagraph"/>
              <w:spacing w:before="46"/>
              <w:ind w:left="19"/>
              <w:rPr>
                <w:sz w:val="11"/>
              </w:rPr>
            </w:pPr>
            <w:r>
              <w:rPr>
                <w:color w:val="FFFFFF"/>
                <w:w w:val="105"/>
                <w:sz w:val="11"/>
              </w:rPr>
              <w:t>CURRENT POLICIES</w:t>
            </w:r>
          </w:p>
        </w:tc>
      </w:tr>
      <w:tr>
        <w:trPr>
          <w:trHeight w:val="590" w:hRule="atLeast"/>
        </w:trPr>
        <w:tc>
          <w:tcPr>
            <w:tcW w:w="305" w:type="dxa"/>
          </w:tcPr>
          <w:p>
            <w:pPr>
              <w:pStyle w:val="TableParagraph"/>
              <w:rPr>
                <w:rFonts w:ascii="Calibri"/>
                <w:sz w:val="12"/>
              </w:rPr>
            </w:pPr>
          </w:p>
          <w:p>
            <w:pPr>
              <w:pStyle w:val="TableParagraph"/>
              <w:spacing w:before="82"/>
              <w:ind w:left="19"/>
              <w:rPr>
                <w:sz w:val="11"/>
              </w:rPr>
            </w:pPr>
            <w:r>
              <w:rPr>
                <w:w w:val="105"/>
                <w:sz w:val="11"/>
              </w:rPr>
              <w:t>P3</w:t>
            </w:r>
          </w:p>
        </w:tc>
        <w:tc>
          <w:tcPr>
            <w:tcW w:w="715"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230"/>
              <w:rPr>
                <w:b/>
                <w:sz w:val="10"/>
              </w:rPr>
            </w:pPr>
            <w:r>
              <w:rPr>
                <w:b/>
                <w:sz w:val="10"/>
              </w:rPr>
              <w:t>HIGH</w:t>
            </w:r>
          </w:p>
        </w:tc>
        <w:tc>
          <w:tcPr>
            <w:tcW w:w="1505"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542"/>
              <w:rPr>
                <w:b/>
                <w:sz w:val="10"/>
              </w:rPr>
            </w:pPr>
            <w:r>
              <w:rPr>
                <w:b/>
                <w:sz w:val="10"/>
              </w:rPr>
              <w:t>Ongoing</w:t>
            </w:r>
          </w:p>
        </w:tc>
        <w:tc>
          <w:tcPr>
            <w:tcW w:w="4145" w:type="dxa"/>
            <w:shd w:val="clear" w:color="auto" w:fill="FCD5B4"/>
          </w:tcPr>
          <w:p>
            <w:pPr>
              <w:pStyle w:val="TableParagraph"/>
              <w:rPr>
                <w:rFonts w:ascii="Calibri"/>
                <w:sz w:val="14"/>
              </w:rPr>
            </w:pPr>
          </w:p>
          <w:p>
            <w:pPr>
              <w:pStyle w:val="TableParagraph"/>
              <w:spacing w:line="254" w:lineRule="auto"/>
              <w:ind w:left="16" w:right="50"/>
              <w:rPr>
                <w:sz w:val="10"/>
              </w:rPr>
            </w:pPr>
            <w:r>
              <w:rPr>
                <w:sz w:val="10"/>
              </w:rPr>
              <w:t>Develop register of structures and features which are likely to have a significant effect on flood risk.</w:t>
            </w:r>
          </w:p>
        </w:tc>
        <w:tc>
          <w:tcPr>
            <w:tcW w:w="927"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237" w:right="228"/>
              <w:jc w:val="center"/>
              <w:rPr>
                <w:sz w:val="10"/>
              </w:rPr>
            </w:pPr>
            <w:r>
              <w:rPr>
                <w:sz w:val="10"/>
              </w:rPr>
              <w:t>City-wide</w:t>
            </w:r>
          </w:p>
        </w:tc>
        <w:tc>
          <w:tcPr>
            <w:tcW w:w="1707" w:type="dxa"/>
            <w:shd w:val="clear" w:color="auto" w:fill="FCD5B4"/>
          </w:tcPr>
          <w:p>
            <w:pPr>
              <w:pStyle w:val="TableParagraph"/>
              <w:rPr>
                <w:rFonts w:ascii="Calibri"/>
                <w:sz w:val="14"/>
              </w:rPr>
            </w:pPr>
          </w:p>
          <w:p>
            <w:pPr>
              <w:pStyle w:val="TableParagraph"/>
              <w:spacing w:line="254" w:lineRule="auto"/>
              <w:ind w:left="15" w:right="494"/>
              <w:rPr>
                <w:sz w:val="10"/>
              </w:rPr>
            </w:pPr>
            <w:r>
              <w:rPr>
                <w:sz w:val="10"/>
              </w:rPr>
              <w:t>4. Asset management and maintenance</w:t>
            </w:r>
          </w:p>
        </w:tc>
        <w:tc>
          <w:tcPr>
            <w:tcW w:w="4145"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15"/>
              <w:rPr>
                <w:sz w:val="10"/>
              </w:rPr>
            </w:pPr>
            <w:r>
              <w:rPr>
                <w:sz w:val="10"/>
              </w:rPr>
              <w:t>6. Improve understanding of local flood risk and seek to decrease local flood risk.</w:t>
            </w:r>
          </w:p>
        </w:tc>
        <w:tc>
          <w:tcPr>
            <w:tcW w:w="4145" w:type="dxa"/>
            <w:shd w:val="clear" w:color="auto" w:fill="FCD5B4"/>
          </w:tcPr>
          <w:p>
            <w:pPr>
              <w:pStyle w:val="TableParagraph"/>
              <w:spacing w:before="11"/>
              <w:rPr>
                <w:rFonts w:ascii="Calibri"/>
                <w:sz w:val="8"/>
              </w:rPr>
            </w:pPr>
          </w:p>
          <w:p>
            <w:pPr>
              <w:pStyle w:val="TableParagraph"/>
              <w:spacing w:line="254" w:lineRule="auto"/>
              <w:ind w:left="14" w:right="19"/>
              <w:rPr>
                <w:sz w:val="10"/>
              </w:rPr>
            </w:pPr>
            <w:r>
              <w:rPr>
                <w:sz w:val="10"/>
              </w:rPr>
              <w:t>This is a requirement under Section 21 of the Flood and Water Management Act (2010). LCC are progressing this and have purchased new software "FloodVu" which will assist with </w:t>
            </w:r>
            <w:r>
              <w:rPr>
                <w:w w:val="100"/>
                <w:sz w:val="10"/>
              </w:rPr>
              <w:t>the</w:t>
            </w:r>
            <w:r>
              <w:rPr>
                <w:rFonts w:ascii="Times New Roman"/>
                <w:spacing w:val="3"/>
                <w:sz w:val="10"/>
              </w:rPr>
              <w:t> </w:t>
            </w:r>
            <w:r>
              <w:rPr>
                <w:w w:val="100"/>
                <w:sz w:val="10"/>
              </w:rPr>
              <w:t>recording</w:t>
            </w:r>
            <w:r>
              <w:rPr>
                <w:rFonts w:ascii="Times New Roman"/>
                <w:spacing w:val="3"/>
                <w:sz w:val="10"/>
              </w:rPr>
              <w:t> </w:t>
            </w:r>
            <w:r>
              <w:rPr>
                <w:spacing w:val="-1"/>
                <w:w w:val="100"/>
                <w:sz w:val="10"/>
              </w:rPr>
              <w:t>o</w:t>
            </w:r>
            <w:r>
              <w:rPr>
                <w:w w:val="100"/>
                <w:sz w:val="10"/>
              </w:rPr>
              <w:t>f</w:t>
            </w:r>
            <w:r>
              <w:rPr>
                <w:rFonts w:ascii="Times New Roman"/>
                <w:spacing w:val="3"/>
                <w:sz w:val="10"/>
              </w:rPr>
              <w:t> </w:t>
            </w:r>
            <w:r>
              <w:rPr>
                <w:spacing w:val="-1"/>
                <w:w w:val="100"/>
                <w:sz w:val="10"/>
              </w:rPr>
              <w:t>asse</w:t>
            </w:r>
            <w:r>
              <w:rPr>
                <w:w w:val="100"/>
                <w:sz w:val="10"/>
              </w:rPr>
              <w:t>t</w:t>
            </w:r>
            <w:r>
              <w:rPr>
                <w:rFonts w:ascii="Times New Roman"/>
                <w:spacing w:val="3"/>
                <w:sz w:val="10"/>
              </w:rPr>
              <w:t> </w:t>
            </w:r>
            <w:r>
              <w:rPr>
                <w:spacing w:val="-1"/>
                <w:w w:val="100"/>
                <w:sz w:val="10"/>
              </w:rPr>
              <w:t>information</w:t>
            </w:r>
            <w:r>
              <w:rPr>
                <w:w w:val="100"/>
                <w:sz w:val="10"/>
              </w:rPr>
              <w:t>.</w:t>
            </w:r>
            <w:r>
              <w:rPr>
                <w:rFonts w:ascii="Times New Roman"/>
                <w:spacing w:val="2"/>
                <w:sz w:val="10"/>
              </w:rPr>
              <w:t> </w:t>
            </w:r>
            <w:r>
              <w:rPr>
                <w:w w:val="100"/>
                <w:sz w:val="10"/>
              </w:rPr>
              <w:t>This</w:t>
            </w:r>
            <w:r>
              <w:rPr>
                <w:rFonts w:ascii="Times New Roman"/>
                <w:spacing w:val="3"/>
                <w:sz w:val="10"/>
              </w:rPr>
              <w:t> </w:t>
            </w:r>
            <w:r>
              <w:rPr>
                <w:w w:val="100"/>
                <w:sz w:val="10"/>
              </w:rPr>
              <w:t>software</w:t>
            </w:r>
            <w:r>
              <w:rPr>
                <w:rFonts w:ascii="Times New Roman"/>
                <w:spacing w:val="3"/>
                <w:sz w:val="10"/>
              </w:rPr>
              <w:t> </w:t>
            </w:r>
            <w:r>
              <w:rPr>
                <w:spacing w:val="-1"/>
                <w:w w:val="100"/>
                <w:sz w:val="10"/>
              </w:rPr>
              <w:t>link</w:t>
            </w:r>
            <w:r>
              <w:rPr>
                <w:w w:val="100"/>
                <w:sz w:val="10"/>
              </w:rPr>
              <w:t>s</w:t>
            </w:r>
            <w:r>
              <w:rPr>
                <w:rFonts w:ascii="Times New Roman"/>
                <w:spacing w:val="2"/>
                <w:sz w:val="10"/>
              </w:rPr>
              <w:t> </w:t>
            </w:r>
            <w:r>
              <w:rPr>
                <w:spacing w:val="-1"/>
                <w:w w:val="100"/>
                <w:sz w:val="10"/>
              </w:rPr>
              <w:t>directl</w:t>
            </w:r>
            <w:r>
              <w:rPr>
                <w:w w:val="100"/>
                <w:sz w:val="10"/>
              </w:rPr>
              <w:t>y</w:t>
            </w:r>
            <w:r>
              <w:rPr>
                <w:rFonts w:ascii="Times New Roman"/>
                <w:spacing w:val="3"/>
                <w:sz w:val="10"/>
              </w:rPr>
              <w:t> </w:t>
            </w:r>
            <w:r>
              <w:rPr>
                <w:spacing w:val="-1"/>
                <w:w w:val="100"/>
                <w:sz w:val="10"/>
              </w:rPr>
              <w:t>wit</w:t>
            </w:r>
            <w:r>
              <w:rPr>
                <w:w w:val="100"/>
                <w:sz w:val="10"/>
              </w:rPr>
              <w:t>h</w:t>
            </w:r>
            <w:r>
              <w:rPr>
                <w:rFonts w:ascii="Times New Roman"/>
                <w:spacing w:val="2"/>
                <w:sz w:val="10"/>
              </w:rPr>
              <w:t> </w:t>
            </w:r>
            <w:r>
              <w:rPr>
                <w:w w:val="100"/>
                <w:sz w:val="10"/>
              </w:rPr>
              <w:t>the</w:t>
            </w:r>
            <w:r>
              <w:rPr>
                <w:rFonts w:ascii="Times New Roman"/>
                <w:spacing w:val="3"/>
                <w:sz w:val="10"/>
              </w:rPr>
              <w:t> </w:t>
            </w:r>
            <w:r>
              <w:rPr>
                <w:spacing w:val="-1"/>
                <w:w w:val="100"/>
                <w:sz w:val="10"/>
              </w:rPr>
              <w:t>LCC</w:t>
            </w:r>
            <w:r>
              <w:rPr>
                <w:spacing w:val="-57"/>
                <w:w w:val="395"/>
                <w:sz w:val="10"/>
              </w:rPr>
              <w:t>'</w:t>
            </w:r>
            <w:r>
              <w:rPr>
                <w:w w:val="100"/>
                <w:sz w:val="10"/>
              </w:rPr>
              <w:t>s</w:t>
            </w:r>
          </w:p>
        </w:tc>
        <w:tc>
          <w:tcPr>
            <w:tcW w:w="1783" w:type="dxa"/>
            <w:shd w:val="clear" w:color="auto" w:fill="FCD5B4"/>
          </w:tcPr>
          <w:p>
            <w:pPr>
              <w:pStyle w:val="TableParagraph"/>
              <w:spacing w:line="254" w:lineRule="auto" w:before="49"/>
              <w:ind w:left="14" w:right="65"/>
              <w:rPr>
                <w:sz w:val="10"/>
              </w:rPr>
            </w:pPr>
            <w:r>
              <w:rPr>
                <w:sz w:val="10"/>
              </w:rPr>
              <w:t>Improve knowledge of existing infrastructure and conditions and promote a sustainable approach to asset management and maintenance.</w:t>
            </w:r>
          </w:p>
        </w:tc>
        <w:tc>
          <w:tcPr>
            <w:tcW w:w="917" w:type="dxa"/>
            <w:shd w:val="clear" w:color="auto" w:fill="FCD5B4"/>
          </w:tcPr>
          <w:p>
            <w:pPr>
              <w:pStyle w:val="TableParagraph"/>
              <w:rPr>
                <w:rFonts w:ascii="Calibri"/>
                <w:sz w:val="14"/>
              </w:rPr>
            </w:pPr>
          </w:p>
          <w:p>
            <w:pPr>
              <w:pStyle w:val="TableParagraph"/>
              <w:spacing w:line="254" w:lineRule="auto"/>
              <w:ind w:left="14" w:right="172"/>
              <w:rPr>
                <w:sz w:val="10"/>
              </w:rPr>
            </w:pPr>
            <w:r>
              <w:rPr>
                <w:sz w:val="10"/>
              </w:rPr>
              <w:t>LCC Flood Risk Management</w:t>
            </w:r>
          </w:p>
        </w:tc>
        <w:tc>
          <w:tcPr>
            <w:tcW w:w="1114" w:type="dxa"/>
            <w:shd w:val="clear" w:color="auto" w:fill="FCD5B4"/>
          </w:tcPr>
          <w:p>
            <w:pPr>
              <w:pStyle w:val="TableParagraph"/>
              <w:spacing w:before="11"/>
              <w:rPr>
                <w:rFonts w:ascii="Calibri"/>
                <w:sz w:val="8"/>
              </w:rPr>
            </w:pPr>
          </w:p>
          <w:p>
            <w:pPr>
              <w:pStyle w:val="TableParagraph"/>
              <w:spacing w:line="254" w:lineRule="auto"/>
              <w:ind w:left="14" w:right="52"/>
              <w:rPr>
                <w:sz w:val="10"/>
              </w:rPr>
            </w:pPr>
            <w:r>
              <w:rPr>
                <w:sz w:val="10"/>
              </w:rPr>
              <w:t>Environment Agency &amp; Yorkshire Water Services</w:t>
            </w:r>
          </w:p>
        </w:tc>
        <w:tc>
          <w:tcPr>
            <w:tcW w:w="670"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14"/>
              <w:rPr>
                <w:sz w:val="10"/>
              </w:rPr>
            </w:pPr>
            <w:r>
              <w:rPr>
                <w:sz w:val="10"/>
              </w:rPr>
              <w:t>17/10/2018</w:t>
            </w:r>
          </w:p>
        </w:tc>
      </w:tr>
      <w:tr>
        <w:trPr>
          <w:trHeight w:val="830" w:hRule="atLeast"/>
        </w:trPr>
        <w:tc>
          <w:tcPr>
            <w:tcW w:w="305" w:type="dxa"/>
          </w:tcPr>
          <w:p>
            <w:pPr>
              <w:pStyle w:val="TableParagraph"/>
              <w:rPr>
                <w:rFonts w:ascii="Calibri"/>
                <w:sz w:val="12"/>
              </w:rPr>
            </w:pPr>
          </w:p>
          <w:p>
            <w:pPr>
              <w:pStyle w:val="TableParagraph"/>
              <w:spacing w:before="7"/>
              <w:rPr>
                <w:rFonts w:ascii="Calibri"/>
                <w:sz w:val="16"/>
              </w:rPr>
            </w:pPr>
          </w:p>
          <w:p>
            <w:pPr>
              <w:pStyle w:val="TableParagraph"/>
              <w:ind w:left="18"/>
              <w:rPr>
                <w:sz w:val="11"/>
              </w:rPr>
            </w:pPr>
            <w:r>
              <w:rPr>
                <w:w w:val="105"/>
                <w:sz w:val="11"/>
              </w:rPr>
              <w:t>P4</w:t>
            </w:r>
          </w:p>
        </w:tc>
        <w:tc>
          <w:tcPr>
            <w:tcW w:w="715"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229"/>
              <w:rPr>
                <w:b/>
                <w:sz w:val="10"/>
              </w:rPr>
            </w:pPr>
            <w:r>
              <w:rPr>
                <w:b/>
                <w:sz w:val="10"/>
              </w:rPr>
              <w:t>HIGH</w:t>
            </w:r>
          </w:p>
        </w:tc>
        <w:tc>
          <w:tcPr>
            <w:tcW w:w="1505"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542"/>
              <w:rPr>
                <w:b/>
                <w:sz w:val="10"/>
              </w:rPr>
            </w:pPr>
            <w:r>
              <w:rPr>
                <w:b/>
                <w:sz w:val="10"/>
              </w:rPr>
              <w:t>Ongoing</w:t>
            </w:r>
          </w:p>
        </w:tc>
        <w:tc>
          <w:tcPr>
            <w:tcW w:w="4145"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6"/>
              <w:rPr>
                <w:sz w:val="10"/>
              </w:rPr>
            </w:pPr>
            <w:r>
              <w:rPr>
                <w:sz w:val="10"/>
              </w:rPr>
              <w:t>Identify locations where culverts can be removed or improved through redevelopment</w:t>
            </w:r>
          </w:p>
        </w:tc>
        <w:tc>
          <w:tcPr>
            <w:tcW w:w="927"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237" w:right="228"/>
              <w:jc w:val="center"/>
              <w:rPr>
                <w:sz w:val="10"/>
              </w:rPr>
            </w:pPr>
            <w:r>
              <w:rPr>
                <w:sz w:val="10"/>
              </w:rPr>
              <w:t>City-wide</w:t>
            </w:r>
          </w:p>
        </w:tc>
        <w:tc>
          <w:tcPr>
            <w:tcW w:w="1707" w:type="dxa"/>
            <w:shd w:val="clear" w:color="auto" w:fill="FCD5B4"/>
          </w:tcPr>
          <w:p>
            <w:pPr>
              <w:pStyle w:val="TableParagraph"/>
              <w:rPr>
                <w:rFonts w:ascii="Calibri"/>
                <w:sz w:val="10"/>
              </w:rPr>
            </w:pPr>
          </w:p>
          <w:p>
            <w:pPr>
              <w:pStyle w:val="TableParagraph"/>
              <w:spacing w:before="10"/>
              <w:rPr>
                <w:rFonts w:ascii="Calibri"/>
                <w:sz w:val="13"/>
              </w:rPr>
            </w:pPr>
          </w:p>
          <w:p>
            <w:pPr>
              <w:pStyle w:val="TableParagraph"/>
              <w:spacing w:line="254" w:lineRule="auto"/>
              <w:ind w:left="15" w:right="44"/>
              <w:rPr>
                <w:sz w:val="10"/>
              </w:rPr>
            </w:pPr>
            <w:r>
              <w:rPr>
                <w:sz w:val="10"/>
              </w:rPr>
              <w:t>2. Spatial planning and development control</w:t>
            </w:r>
          </w:p>
        </w:tc>
        <w:tc>
          <w:tcPr>
            <w:tcW w:w="4145" w:type="dxa"/>
            <w:shd w:val="clear" w:color="auto" w:fill="FCD5B4"/>
          </w:tcPr>
          <w:p>
            <w:pPr>
              <w:pStyle w:val="TableParagraph"/>
              <w:rPr>
                <w:rFonts w:ascii="Calibri"/>
                <w:sz w:val="10"/>
              </w:rPr>
            </w:pPr>
          </w:p>
          <w:p>
            <w:pPr>
              <w:pStyle w:val="TableParagraph"/>
              <w:spacing w:before="10"/>
              <w:rPr>
                <w:rFonts w:ascii="Calibri"/>
                <w:sz w:val="13"/>
              </w:rPr>
            </w:pPr>
          </w:p>
          <w:p>
            <w:pPr>
              <w:pStyle w:val="TableParagraph"/>
              <w:spacing w:line="254" w:lineRule="auto"/>
              <w:ind w:left="14"/>
              <w:rPr>
                <w:sz w:val="10"/>
              </w:rPr>
            </w:pPr>
            <w:r>
              <w:rPr>
                <w:sz w:val="10"/>
              </w:rPr>
              <w:t>3. Develop a consistent, affordable and sustainable approach to planning and investment in flood risk management: land allocation, SuDS, SABs;</w:t>
            </w:r>
          </w:p>
        </w:tc>
        <w:tc>
          <w:tcPr>
            <w:tcW w:w="4145"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4"/>
              <w:rPr>
                <w:sz w:val="10"/>
              </w:rPr>
            </w:pPr>
            <w:r>
              <w:rPr>
                <w:sz w:val="10"/>
              </w:rPr>
              <w:t>This measure is listed in the Aire Catchment Flood Management Plan</w:t>
            </w:r>
          </w:p>
        </w:tc>
        <w:tc>
          <w:tcPr>
            <w:tcW w:w="1783" w:type="dxa"/>
            <w:shd w:val="clear" w:color="auto" w:fill="FCD5B4"/>
          </w:tcPr>
          <w:p>
            <w:pPr>
              <w:pStyle w:val="TableParagraph"/>
              <w:spacing w:line="101" w:lineRule="exact"/>
              <w:ind w:left="14"/>
              <w:rPr>
                <w:sz w:val="10"/>
              </w:rPr>
            </w:pPr>
            <w:r>
              <w:rPr>
                <w:sz w:val="10"/>
              </w:rPr>
              <w:t>Improve knowledge of existing</w:t>
            </w:r>
          </w:p>
          <w:p>
            <w:pPr>
              <w:pStyle w:val="TableParagraph"/>
              <w:spacing w:line="120" w:lineRule="atLeast" w:before="2"/>
              <w:ind w:left="14" w:right="65"/>
              <w:rPr>
                <w:sz w:val="10"/>
              </w:rPr>
            </w:pPr>
            <w:r>
              <w:rPr>
                <w:sz w:val="10"/>
              </w:rPr>
              <w:t>infrastructure and conditions and promote a sustainable approach to asset management and maintenance. Redevelopment plans will include consideration of the removal of problem culverts</w:t>
            </w:r>
          </w:p>
        </w:tc>
        <w:tc>
          <w:tcPr>
            <w:tcW w:w="917" w:type="dxa"/>
            <w:shd w:val="clear" w:color="auto" w:fill="FCD5B4"/>
          </w:tcPr>
          <w:p>
            <w:pPr>
              <w:pStyle w:val="TableParagraph"/>
              <w:rPr>
                <w:rFonts w:ascii="Calibri"/>
                <w:sz w:val="10"/>
              </w:rPr>
            </w:pPr>
          </w:p>
          <w:p>
            <w:pPr>
              <w:pStyle w:val="TableParagraph"/>
              <w:spacing w:before="10"/>
              <w:rPr>
                <w:rFonts w:ascii="Calibri"/>
                <w:sz w:val="13"/>
              </w:rPr>
            </w:pPr>
          </w:p>
          <w:p>
            <w:pPr>
              <w:pStyle w:val="TableParagraph"/>
              <w:spacing w:line="254" w:lineRule="auto"/>
              <w:ind w:left="14" w:right="311"/>
              <w:rPr>
                <w:sz w:val="10"/>
              </w:rPr>
            </w:pPr>
            <w:r>
              <w:rPr>
                <w:sz w:val="10"/>
              </w:rPr>
              <w:t>Environment Agency</w:t>
            </w:r>
          </w:p>
        </w:tc>
        <w:tc>
          <w:tcPr>
            <w:tcW w:w="1114"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4"/>
              <w:rPr>
                <w:sz w:val="10"/>
              </w:rPr>
            </w:pPr>
            <w:r>
              <w:rPr>
                <w:sz w:val="10"/>
              </w:rPr>
              <w:t>Leeds City Council</w:t>
            </w:r>
          </w:p>
        </w:tc>
        <w:tc>
          <w:tcPr>
            <w:tcW w:w="670"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3"/>
              <w:rPr>
                <w:sz w:val="10"/>
              </w:rPr>
            </w:pPr>
            <w:r>
              <w:rPr>
                <w:sz w:val="10"/>
              </w:rPr>
              <w:t>17/10/2018</w:t>
            </w:r>
          </w:p>
        </w:tc>
      </w:tr>
      <w:tr>
        <w:trPr>
          <w:trHeight w:val="590" w:hRule="atLeast"/>
        </w:trPr>
        <w:tc>
          <w:tcPr>
            <w:tcW w:w="305" w:type="dxa"/>
          </w:tcPr>
          <w:p>
            <w:pPr>
              <w:pStyle w:val="TableParagraph"/>
              <w:rPr>
                <w:rFonts w:ascii="Calibri"/>
                <w:sz w:val="12"/>
              </w:rPr>
            </w:pPr>
          </w:p>
          <w:p>
            <w:pPr>
              <w:pStyle w:val="TableParagraph"/>
              <w:spacing w:before="82"/>
              <w:ind w:left="18"/>
              <w:rPr>
                <w:sz w:val="11"/>
              </w:rPr>
            </w:pPr>
            <w:r>
              <w:rPr>
                <w:w w:val="105"/>
                <w:sz w:val="11"/>
              </w:rPr>
              <w:t>P5</w:t>
            </w:r>
          </w:p>
        </w:tc>
        <w:tc>
          <w:tcPr>
            <w:tcW w:w="715"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229"/>
              <w:rPr>
                <w:b/>
                <w:sz w:val="10"/>
              </w:rPr>
            </w:pPr>
            <w:r>
              <w:rPr>
                <w:b/>
                <w:sz w:val="10"/>
              </w:rPr>
              <w:t>HIGH</w:t>
            </w:r>
          </w:p>
        </w:tc>
        <w:tc>
          <w:tcPr>
            <w:tcW w:w="1505"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542"/>
              <w:rPr>
                <w:b/>
                <w:sz w:val="10"/>
              </w:rPr>
            </w:pPr>
            <w:r>
              <w:rPr>
                <w:b/>
                <w:sz w:val="10"/>
              </w:rPr>
              <w:t>Ongoing</w:t>
            </w:r>
          </w:p>
        </w:tc>
        <w:tc>
          <w:tcPr>
            <w:tcW w:w="4145"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16"/>
              <w:rPr>
                <w:sz w:val="10"/>
              </w:rPr>
            </w:pPr>
            <w:r>
              <w:rPr>
                <w:sz w:val="10"/>
              </w:rPr>
              <w:t>Watercourse and beck condition surveys</w:t>
            </w:r>
          </w:p>
        </w:tc>
        <w:tc>
          <w:tcPr>
            <w:tcW w:w="927"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237" w:right="228"/>
              <w:jc w:val="center"/>
              <w:rPr>
                <w:sz w:val="10"/>
              </w:rPr>
            </w:pPr>
            <w:r>
              <w:rPr>
                <w:sz w:val="10"/>
              </w:rPr>
              <w:t>City-wide</w:t>
            </w:r>
          </w:p>
        </w:tc>
        <w:tc>
          <w:tcPr>
            <w:tcW w:w="1707" w:type="dxa"/>
            <w:shd w:val="clear" w:color="auto" w:fill="FCD5B4"/>
          </w:tcPr>
          <w:p>
            <w:pPr>
              <w:pStyle w:val="TableParagraph"/>
              <w:rPr>
                <w:rFonts w:ascii="Calibri"/>
                <w:sz w:val="14"/>
              </w:rPr>
            </w:pPr>
          </w:p>
          <w:p>
            <w:pPr>
              <w:pStyle w:val="TableParagraph"/>
              <w:spacing w:line="254" w:lineRule="auto"/>
              <w:ind w:left="15" w:right="494"/>
              <w:rPr>
                <w:sz w:val="10"/>
              </w:rPr>
            </w:pPr>
            <w:r>
              <w:rPr>
                <w:sz w:val="10"/>
              </w:rPr>
              <w:t>4. Asset management and maintenance</w:t>
            </w:r>
          </w:p>
        </w:tc>
        <w:tc>
          <w:tcPr>
            <w:tcW w:w="4145"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14"/>
              <w:rPr>
                <w:sz w:val="10"/>
              </w:rPr>
            </w:pPr>
            <w:r>
              <w:rPr>
                <w:sz w:val="10"/>
              </w:rPr>
              <w:t>6. Improve understanding of local flood risk and seek to decrease local flood risk.</w:t>
            </w:r>
          </w:p>
        </w:tc>
        <w:tc>
          <w:tcPr>
            <w:tcW w:w="4145" w:type="dxa"/>
            <w:shd w:val="clear" w:color="auto" w:fill="FCD5B4"/>
          </w:tcPr>
          <w:p>
            <w:pPr>
              <w:pStyle w:val="TableParagraph"/>
              <w:spacing w:before="11"/>
              <w:rPr>
                <w:rFonts w:ascii="Calibri"/>
                <w:sz w:val="8"/>
              </w:rPr>
            </w:pPr>
          </w:p>
          <w:p>
            <w:pPr>
              <w:pStyle w:val="TableParagraph"/>
              <w:ind w:left="14"/>
              <w:rPr>
                <w:sz w:val="10"/>
              </w:rPr>
            </w:pPr>
            <w:r>
              <w:rPr>
                <w:sz w:val="10"/>
              </w:rPr>
              <w:t>TBC</w:t>
            </w:r>
          </w:p>
        </w:tc>
        <w:tc>
          <w:tcPr>
            <w:tcW w:w="1783" w:type="dxa"/>
            <w:shd w:val="clear" w:color="auto" w:fill="FCD5B4"/>
          </w:tcPr>
          <w:p>
            <w:pPr>
              <w:pStyle w:val="TableParagraph"/>
              <w:spacing w:line="254" w:lineRule="auto" w:before="48"/>
              <w:ind w:left="14" w:right="65"/>
              <w:rPr>
                <w:sz w:val="10"/>
              </w:rPr>
            </w:pPr>
            <w:r>
              <w:rPr>
                <w:sz w:val="10"/>
              </w:rPr>
              <w:t>Improve knowledge of existing infrastructure and conditions and promote a sustainable approach to asset management and maintenance.</w:t>
            </w:r>
          </w:p>
        </w:tc>
        <w:tc>
          <w:tcPr>
            <w:tcW w:w="917" w:type="dxa"/>
            <w:shd w:val="clear" w:color="auto" w:fill="FCD5B4"/>
          </w:tcPr>
          <w:p>
            <w:pPr>
              <w:pStyle w:val="TableParagraph"/>
              <w:rPr>
                <w:rFonts w:ascii="Calibri"/>
                <w:sz w:val="14"/>
              </w:rPr>
            </w:pPr>
          </w:p>
          <w:p>
            <w:pPr>
              <w:pStyle w:val="TableParagraph"/>
              <w:spacing w:line="254" w:lineRule="auto"/>
              <w:ind w:left="14" w:right="172"/>
              <w:rPr>
                <w:sz w:val="10"/>
              </w:rPr>
            </w:pPr>
            <w:r>
              <w:rPr>
                <w:sz w:val="10"/>
              </w:rPr>
              <w:t>LCC Flood Risk Management</w:t>
            </w:r>
          </w:p>
        </w:tc>
        <w:tc>
          <w:tcPr>
            <w:tcW w:w="1114"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14"/>
              <w:rPr>
                <w:sz w:val="10"/>
              </w:rPr>
            </w:pPr>
            <w:r>
              <w:rPr>
                <w:sz w:val="10"/>
              </w:rPr>
              <w:t>Environment Agency</w:t>
            </w:r>
          </w:p>
        </w:tc>
        <w:tc>
          <w:tcPr>
            <w:tcW w:w="670" w:type="dxa"/>
            <w:shd w:val="clear" w:color="auto" w:fill="FCD5B4"/>
          </w:tcPr>
          <w:p>
            <w:pPr>
              <w:pStyle w:val="TableParagraph"/>
              <w:rPr>
                <w:rFonts w:ascii="Calibri"/>
                <w:sz w:val="10"/>
              </w:rPr>
            </w:pPr>
          </w:p>
          <w:p>
            <w:pPr>
              <w:pStyle w:val="TableParagraph"/>
              <w:spacing w:before="11"/>
              <w:rPr>
                <w:rFonts w:ascii="Calibri"/>
                <w:sz w:val="8"/>
              </w:rPr>
            </w:pPr>
          </w:p>
          <w:p>
            <w:pPr>
              <w:pStyle w:val="TableParagraph"/>
              <w:ind w:left="14"/>
              <w:rPr>
                <w:sz w:val="10"/>
              </w:rPr>
            </w:pPr>
            <w:r>
              <w:rPr>
                <w:sz w:val="10"/>
              </w:rPr>
              <w:t>17/10/2018</w:t>
            </w:r>
          </w:p>
        </w:tc>
      </w:tr>
      <w:tr>
        <w:trPr>
          <w:trHeight w:val="830" w:hRule="atLeast"/>
        </w:trPr>
        <w:tc>
          <w:tcPr>
            <w:tcW w:w="305" w:type="dxa"/>
          </w:tcPr>
          <w:p>
            <w:pPr>
              <w:pStyle w:val="TableParagraph"/>
              <w:rPr>
                <w:rFonts w:ascii="Calibri"/>
                <w:sz w:val="12"/>
              </w:rPr>
            </w:pPr>
          </w:p>
          <w:p>
            <w:pPr>
              <w:pStyle w:val="TableParagraph"/>
              <w:spacing w:before="7"/>
              <w:rPr>
                <w:rFonts w:ascii="Calibri"/>
                <w:sz w:val="16"/>
              </w:rPr>
            </w:pPr>
          </w:p>
          <w:p>
            <w:pPr>
              <w:pStyle w:val="TableParagraph"/>
              <w:ind w:left="18"/>
              <w:rPr>
                <w:sz w:val="11"/>
              </w:rPr>
            </w:pPr>
            <w:r>
              <w:rPr>
                <w:w w:val="105"/>
                <w:sz w:val="11"/>
              </w:rPr>
              <w:t>P8</w:t>
            </w:r>
          </w:p>
        </w:tc>
        <w:tc>
          <w:tcPr>
            <w:tcW w:w="715"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229"/>
              <w:rPr>
                <w:b/>
                <w:sz w:val="10"/>
              </w:rPr>
            </w:pPr>
            <w:r>
              <w:rPr>
                <w:b/>
                <w:sz w:val="10"/>
              </w:rPr>
              <w:t>HIGH</w:t>
            </w:r>
          </w:p>
        </w:tc>
        <w:tc>
          <w:tcPr>
            <w:tcW w:w="1505"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542"/>
              <w:rPr>
                <w:b/>
                <w:sz w:val="10"/>
              </w:rPr>
            </w:pPr>
            <w:r>
              <w:rPr>
                <w:b/>
                <w:sz w:val="10"/>
              </w:rPr>
              <w:t>Ongoing</w:t>
            </w:r>
          </w:p>
        </w:tc>
        <w:tc>
          <w:tcPr>
            <w:tcW w:w="4145"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6"/>
              <w:rPr>
                <w:sz w:val="10"/>
              </w:rPr>
            </w:pPr>
            <w:r>
              <w:rPr>
                <w:sz w:val="10"/>
              </w:rPr>
              <w:t>Implement SuDS through Planning</w:t>
            </w:r>
          </w:p>
        </w:tc>
        <w:tc>
          <w:tcPr>
            <w:tcW w:w="927"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237" w:right="228"/>
              <w:jc w:val="center"/>
              <w:rPr>
                <w:sz w:val="10"/>
              </w:rPr>
            </w:pPr>
            <w:r>
              <w:rPr>
                <w:sz w:val="10"/>
              </w:rPr>
              <w:t>City-wide</w:t>
            </w:r>
          </w:p>
        </w:tc>
        <w:tc>
          <w:tcPr>
            <w:tcW w:w="1707" w:type="dxa"/>
            <w:shd w:val="clear" w:color="auto" w:fill="FCD5B4"/>
          </w:tcPr>
          <w:p>
            <w:pPr>
              <w:pStyle w:val="TableParagraph"/>
              <w:rPr>
                <w:rFonts w:ascii="Calibri"/>
                <w:sz w:val="10"/>
              </w:rPr>
            </w:pPr>
          </w:p>
          <w:p>
            <w:pPr>
              <w:pStyle w:val="TableParagraph"/>
              <w:spacing w:before="10"/>
              <w:rPr>
                <w:rFonts w:ascii="Calibri"/>
                <w:sz w:val="13"/>
              </w:rPr>
            </w:pPr>
          </w:p>
          <w:p>
            <w:pPr>
              <w:pStyle w:val="TableParagraph"/>
              <w:spacing w:line="254" w:lineRule="auto"/>
              <w:ind w:left="15" w:right="44"/>
              <w:rPr>
                <w:sz w:val="10"/>
              </w:rPr>
            </w:pPr>
            <w:r>
              <w:rPr>
                <w:sz w:val="10"/>
              </w:rPr>
              <w:t>2. Spatial planning and development control</w:t>
            </w:r>
          </w:p>
        </w:tc>
        <w:tc>
          <w:tcPr>
            <w:tcW w:w="4145" w:type="dxa"/>
            <w:shd w:val="clear" w:color="auto" w:fill="FCD5B4"/>
          </w:tcPr>
          <w:p>
            <w:pPr>
              <w:pStyle w:val="TableParagraph"/>
              <w:rPr>
                <w:rFonts w:ascii="Calibri"/>
                <w:sz w:val="10"/>
              </w:rPr>
            </w:pPr>
          </w:p>
          <w:p>
            <w:pPr>
              <w:pStyle w:val="TableParagraph"/>
              <w:spacing w:before="10"/>
              <w:rPr>
                <w:rFonts w:ascii="Calibri"/>
                <w:sz w:val="13"/>
              </w:rPr>
            </w:pPr>
          </w:p>
          <w:p>
            <w:pPr>
              <w:pStyle w:val="TableParagraph"/>
              <w:spacing w:line="254" w:lineRule="auto"/>
              <w:ind w:left="14"/>
              <w:rPr>
                <w:sz w:val="10"/>
              </w:rPr>
            </w:pPr>
            <w:r>
              <w:rPr>
                <w:sz w:val="10"/>
              </w:rPr>
              <w:t>3. Develop a consistent, affordable and sustainable approach to planning and investment in flood risk management: land allocation, SuDS, SABs;</w:t>
            </w:r>
          </w:p>
        </w:tc>
        <w:tc>
          <w:tcPr>
            <w:tcW w:w="4145" w:type="dxa"/>
            <w:shd w:val="clear" w:color="auto" w:fill="FCD5B4"/>
          </w:tcPr>
          <w:p>
            <w:pPr>
              <w:pStyle w:val="TableParagraph"/>
              <w:rPr>
                <w:rFonts w:ascii="Calibri"/>
                <w:sz w:val="10"/>
              </w:rPr>
            </w:pPr>
          </w:p>
          <w:p>
            <w:pPr>
              <w:pStyle w:val="TableParagraph"/>
              <w:spacing w:before="10"/>
              <w:rPr>
                <w:rFonts w:ascii="Calibri"/>
                <w:sz w:val="13"/>
              </w:rPr>
            </w:pPr>
          </w:p>
          <w:p>
            <w:pPr>
              <w:pStyle w:val="TableParagraph"/>
              <w:spacing w:line="254" w:lineRule="auto"/>
              <w:ind w:left="14"/>
              <w:rPr>
                <w:sz w:val="10"/>
              </w:rPr>
            </w:pPr>
            <w:r>
              <w:rPr>
                <w:sz w:val="10"/>
              </w:rPr>
              <w:t>This has replaced the SuDS Regulations, under Flood &amp; Water Management Act 2010, that would have set up SABs</w:t>
            </w:r>
          </w:p>
        </w:tc>
        <w:tc>
          <w:tcPr>
            <w:tcW w:w="1783" w:type="dxa"/>
            <w:shd w:val="clear" w:color="auto" w:fill="FCD5B4"/>
          </w:tcPr>
          <w:p>
            <w:pPr>
              <w:pStyle w:val="TableParagraph"/>
              <w:spacing w:before="10"/>
              <w:rPr>
                <w:rFonts w:ascii="Calibri"/>
                <w:sz w:val="13"/>
              </w:rPr>
            </w:pPr>
          </w:p>
          <w:p>
            <w:pPr>
              <w:pStyle w:val="TableParagraph"/>
              <w:spacing w:line="254" w:lineRule="auto"/>
              <w:ind w:left="14" w:right="126"/>
              <w:rPr>
                <w:sz w:val="10"/>
              </w:rPr>
            </w:pPr>
            <w:r>
              <w:rPr>
                <w:sz w:val="10"/>
              </w:rPr>
              <w:t>Development control - ensure new drainage systems incorporate SuDS measures to reduce runoff rates and therefore flood risk.</w:t>
            </w:r>
          </w:p>
        </w:tc>
        <w:tc>
          <w:tcPr>
            <w:tcW w:w="917" w:type="dxa"/>
            <w:shd w:val="clear" w:color="auto" w:fill="FCD5B4"/>
          </w:tcPr>
          <w:p>
            <w:pPr>
              <w:pStyle w:val="TableParagraph"/>
              <w:spacing w:line="101" w:lineRule="exact"/>
              <w:ind w:left="14"/>
              <w:rPr>
                <w:sz w:val="10"/>
              </w:rPr>
            </w:pPr>
            <w:r>
              <w:rPr>
                <w:sz w:val="10"/>
              </w:rPr>
              <w:t>LCC</w:t>
            </w:r>
            <w:r>
              <w:rPr>
                <w:spacing w:val="2"/>
                <w:sz w:val="10"/>
              </w:rPr>
              <w:t> </w:t>
            </w:r>
            <w:r>
              <w:rPr>
                <w:sz w:val="10"/>
              </w:rPr>
              <w:t>Forward</w:t>
            </w:r>
          </w:p>
          <w:p>
            <w:pPr>
              <w:pStyle w:val="TableParagraph"/>
              <w:spacing w:line="120" w:lineRule="atLeast" w:before="2"/>
              <w:ind w:left="14" w:right="50"/>
              <w:rPr>
                <w:sz w:val="10"/>
              </w:rPr>
            </w:pPr>
            <w:r>
              <w:rPr>
                <w:sz w:val="10"/>
              </w:rPr>
              <w:t>Planning &amp; Implementation, Sustainable Development Unit, Flood Risk Management</w:t>
            </w:r>
          </w:p>
        </w:tc>
        <w:tc>
          <w:tcPr>
            <w:tcW w:w="1114"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4"/>
              <w:rPr>
                <w:sz w:val="10"/>
              </w:rPr>
            </w:pPr>
            <w:r>
              <w:rPr>
                <w:sz w:val="10"/>
              </w:rPr>
              <w:t>Environment Agency</w:t>
            </w:r>
          </w:p>
        </w:tc>
        <w:tc>
          <w:tcPr>
            <w:tcW w:w="670" w:type="dxa"/>
            <w:shd w:val="clear" w:color="auto" w:fill="FCD5B4"/>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4"/>
              <w:rPr>
                <w:sz w:val="10"/>
              </w:rPr>
            </w:pPr>
            <w:r>
              <w:rPr>
                <w:sz w:val="10"/>
              </w:rPr>
              <w:t>17/10/2018</w:t>
            </w:r>
          </w:p>
        </w:tc>
      </w:tr>
      <w:tr>
        <w:trPr>
          <w:trHeight w:val="470" w:hRule="atLeast"/>
        </w:trPr>
        <w:tc>
          <w:tcPr>
            <w:tcW w:w="305" w:type="dxa"/>
          </w:tcPr>
          <w:p>
            <w:pPr>
              <w:pStyle w:val="TableParagraph"/>
              <w:spacing w:before="10"/>
              <w:rPr>
                <w:rFonts w:ascii="Calibri"/>
                <w:sz w:val="13"/>
              </w:rPr>
            </w:pPr>
          </w:p>
          <w:p>
            <w:pPr>
              <w:pStyle w:val="TableParagraph"/>
              <w:ind w:left="19"/>
              <w:rPr>
                <w:sz w:val="11"/>
              </w:rPr>
            </w:pPr>
            <w:r>
              <w:rPr>
                <w:w w:val="105"/>
                <w:sz w:val="11"/>
              </w:rPr>
              <w:t>P6</w:t>
            </w:r>
          </w:p>
        </w:tc>
        <w:tc>
          <w:tcPr>
            <w:tcW w:w="715" w:type="dxa"/>
            <w:shd w:val="clear" w:color="auto" w:fill="FCD5B4"/>
          </w:tcPr>
          <w:p>
            <w:pPr>
              <w:pStyle w:val="TableParagraph"/>
              <w:rPr>
                <w:rFonts w:ascii="Calibri"/>
                <w:sz w:val="14"/>
              </w:rPr>
            </w:pPr>
          </w:p>
          <w:p>
            <w:pPr>
              <w:pStyle w:val="TableParagraph"/>
              <w:ind w:left="230"/>
              <w:rPr>
                <w:b/>
                <w:sz w:val="10"/>
              </w:rPr>
            </w:pPr>
            <w:r>
              <w:rPr>
                <w:b/>
                <w:sz w:val="10"/>
              </w:rPr>
              <w:t>HIGH</w:t>
            </w:r>
          </w:p>
        </w:tc>
        <w:tc>
          <w:tcPr>
            <w:tcW w:w="1505" w:type="dxa"/>
            <w:shd w:val="clear" w:color="auto" w:fill="FCD5B4"/>
          </w:tcPr>
          <w:p>
            <w:pPr>
              <w:pStyle w:val="TableParagraph"/>
              <w:rPr>
                <w:rFonts w:ascii="Calibri"/>
                <w:sz w:val="14"/>
              </w:rPr>
            </w:pPr>
          </w:p>
          <w:p>
            <w:pPr>
              <w:pStyle w:val="TableParagraph"/>
              <w:ind w:left="542"/>
              <w:rPr>
                <w:b/>
                <w:sz w:val="10"/>
              </w:rPr>
            </w:pPr>
            <w:r>
              <w:rPr>
                <w:b/>
                <w:sz w:val="10"/>
              </w:rPr>
              <w:t>Ongoing</w:t>
            </w:r>
          </w:p>
        </w:tc>
        <w:tc>
          <w:tcPr>
            <w:tcW w:w="4145" w:type="dxa"/>
            <w:shd w:val="clear" w:color="auto" w:fill="FCD5B4"/>
          </w:tcPr>
          <w:p>
            <w:pPr>
              <w:pStyle w:val="TableParagraph"/>
              <w:spacing w:line="104" w:lineRule="exact"/>
              <w:ind w:left="16"/>
              <w:rPr>
                <w:sz w:val="10"/>
              </w:rPr>
            </w:pPr>
            <w:r>
              <w:rPr>
                <w:sz w:val="10"/>
              </w:rPr>
              <w:t>Improve communications, engagement and coordination of activities with internal and</w:t>
            </w:r>
          </w:p>
          <w:p>
            <w:pPr>
              <w:pStyle w:val="TableParagraph"/>
              <w:spacing w:line="120" w:lineRule="atLeast" w:before="2"/>
              <w:ind w:left="16"/>
              <w:rPr>
                <w:sz w:val="10"/>
              </w:rPr>
            </w:pPr>
            <w:r>
              <w:rPr>
                <w:sz w:val="10"/>
              </w:rPr>
              <w:t>external partners (including RMAs): Leeds City Council Flood Risk Management Group; Technical Standards and Guidance; Planning and Flood Risk; Yorkshire and Humber Learning Alliance, Metro (transport network).</w:t>
            </w:r>
          </w:p>
        </w:tc>
        <w:tc>
          <w:tcPr>
            <w:tcW w:w="927" w:type="dxa"/>
            <w:shd w:val="clear" w:color="auto" w:fill="FCD5B4"/>
          </w:tcPr>
          <w:p>
            <w:pPr>
              <w:pStyle w:val="TableParagraph"/>
              <w:rPr>
                <w:rFonts w:ascii="Calibri"/>
                <w:sz w:val="14"/>
              </w:rPr>
            </w:pPr>
          </w:p>
          <w:p>
            <w:pPr>
              <w:pStyle w:val="TableParagraph"/>
              <w:ind w:left="8"/>
              <w:jc w:val="center"/>
              <w:rPr>
                <w:sz w:val="10"/>
              </w:rPr>
            </w:pPr>
            <w:r>
              <w:rPr>
                <w:w w:val="100"/>
                <w:sz w:val="10"/>
              </w:rPr>
              <w:t>-</w:t>
            </w:r>
          </w:p>
        </w:tc>
        <w:tc>
          <w:tcPr>
            <w:tcW w:w="1707" w:type="dxa"/>
            <w:shd w:val="clear" w:color="auto" w:fill="FCD5B4"/>
          </w:tcPr>
          <w:p>
            <w:pPr>
              <w:pStyle w:val="TableParagraph"/>
              <w:spacing w:before="1"/>
              <w:rPr>
                <w:rFonts w:ascii="Calibri"/>
                <w:sz w:val="9"/>
              </w:rPr>
            </w:pPr>
          </w:p>
          <w:p>
            <w:pPr>
              <w:pStyle w:val="TableParagraph"/>
              <w:spacing w:line="254" w:lineRule="auto"/>
              <w:ind w:left="15" w:right="127"/>
              <w:rPr>
                <w:sz w:val="10"/>
              </w:rPr>
            </w:pPr>
            <w:r>
              <w:rPr>
                <w:sz w:val="10"/>
              </w:rPr>
              <w:t>1. Flood awareness, response and recovery</w:t>
            </w:r>
          </w:p>
        </w:tc>
        <w:tc>
          <w:tcPr>
            <w:tcW w:w="4145" w:type="dxa"/>
            <w:shd w:val="clear" w:color="auto" w:fill="FCD5B4"/>
          </w:tcPr>
          <w:p>
            <w:pPr>
              <w:pStyle w:val="TableParagraph"/>
              <w:rPr>
                <w:rFonts w:ascii="Calibri"/>
                <w:sz w:val="14"/>
              </w:rPr>
            </w:pPr>
          </w:p>
          <w:p>
            <w:pPr>
              <w:pStyle w:val="TableParagraph"/>
              <w:ind w:left="15"/>
              <w:rPr>
                <w:sz w:val="10"/>
              </w:rPr>
            </w:pPr>
            <w:r>
              <w:rPr>
                <w:sz w:val="10"/>
              </w:rPr>
              <w:t>1. Improve co-operation between LLFA and other RMAs</w:t>
            </w:r>
          </w:p>
        </w:tc>
        <w:tc>
          <w:tcPr>
            <w:tcW w:w="4145" w:type="dxa"/>
            <w:shd w:val="clear" w:color="auto" w:fill="FCD5B4"/>
          </w:tcPr>
          <w:p>
            <w:pPr>
              <w:pStyle w:val="TableParagraph"/>
              <w:spacing w:before="1"/>
              <w:rPr>
                <w:rFonts w:ascii="Calibri"/>
                <w:sz w:val="9"/>
              </w:rPr>
            </w:pPr>
          </w:p>
          <w:p>
            <w:pPr>
              <w:pStyle w:val="TableParagraph"/>
              <w:spacing w:line="254" w:lineRule="auto"/>
              <w:ind w:left="14"/>
              <w:rPr>
                <w:sz w:val="10"/>
              </w:rPr>
            </w:pPr>
            <w:r>
              <w:rPr>
                <w:sz w:val="10"/>
              </w:rPr>
              <w:t>Engagement and consultation is under way as part of LFRMS. Regular meetings required to share knowledge, review policy, strategy documents, list of measures… etc.</w:t>
            </w:r>
          </w:p>
        </w:tc>
        <w:tc>
          <w:tcPr>
            <w:tcW w:w="1783" w:type="dxa"/>
            <w:shd w:val="clear" w:color="auto" w:fill="FCD5B4"/>
          </w:tcPr>
          <w:p>
            <w:pPr>
              <w:pStyle w:val="TableParagraph"/>
              <w:spacing w:before="1"/>
              <w:rPr>
                <w:rFonts w:ascii="Calibri"/>
                <w:sz w:val="9"/>
              </w:rPr>
            </w:pPr>
          </w:p>
          <w:p>
            <w:pPr>
              <w:pStyle w:val="TableParagraph"/>
              <w:spacing w:line="254" w:lineRule="auto"/>
              <w:ind w:left="14" w:right="171"/>
              <w:rPr>
                <w:sz w:val="10"/>
              </w:rPr>
            </w:pPr>
            <w:r>
              <w:rPr>
                <w:sz w:val="10"/>
              </w:rPr>
              <w:t>Formalise and improve cooperation between RMAs on FRM</w:t>
            </w:r>
          </w:p>
        </w:tc>
        <w:tc>
          <w:tcPr>
            <w:tcW w:w="917" w:type="dxa"/>
            <w:shd w:val="clear" w:color="auto" w:fill="FCD5B4"/>
          </w:tcPr>
          <w:p>
            <w:pPr>
              <w:pStyle w:val="TableParagraph"/>
              <w:spacing w:before="1"/>
              <w:rPr>
                <w:rFonts w:ascii="Calibri"/>
                <w:sz w:val="9"/>
              </w:rPr>
            </w:pPr>
          </w:p>
          <w:p>
            <w:pPr>
              <w:pStyle w:val="TableParagraph"/>
              <w:spacing w:line="254" w:lineRule="auto"/>
              <w:ind w:left="14" w:right="172"/>
              <w:rPr>
                <w:sz w:val="10"/>
              </w:rPr>
            </w:pPr>
            <w:r>
              <w:rPr>
                <w:sz w:val="10"/>
              </w:rPr>
              <w:t>LCC Flood Risk Management</w:t>
            </w:r>
          </w:p>
        </w:tc>
        <w:tc>
          <w:tcPr>
            <w:tcW w:w="1114" w:type="dxa"/>
            <w:shd w:val="clear" w:color="auto" w:fill="FCD5B4"/>
          </w:tcPr>
          <w:p>
            <w:pPr>
              <w:pStyle w:val="TableParagraph"/>
              <w:spacing w:line="254" w:lineRule="auto" w:before="49"/>
              <w:ind w:left="14" w:right="119"/>
              <w:rPr>
                <w:sz w:val="10"/>
              </w:rPr>
            </w:pPr>
            <w:r>
              <w:rPr>
                <w:sz w:val="10"/>
              </w:rPr>
              <w:t>Internal LCC departments and external stakeholders</w:t>
            </w:r>
          </w:p>
        </w:tc>
        <w:tc>
          <w:tcPr>
            <w:tcW w:w="670" w:type="dxa"/>
            <w:shd w:val="clear" w:color="auto" w:fill="FCD5B4"/>
          </w:tcPr>
          <w:p>
            <w:pPr>
              <w:pStyle w:val="TableParagraph"/>
              <w:rPr>
                <w:rFonts w:ascii="Calibri"/>
                <w:sz w:val="14"/>
              </w:rPr>
            </w:pPr>
          </w:p>
          <w:p>
            <w:pPr>
              <w:pStyle w:val="TableParagraph"/>
              <w:ind w:left="14"/>
              <w:rPr>
                <w:sz w:val="10"/>
              </w:rPr>
            </w:pPr>
            <w:r>
              <w:rPr>
                <w:sz w:val="10"/>
              </w:rPr>
              <w:t>17/10/2018</w:t>
            </w:r>
          </w:p>
        </w:tc>
      </w:tr>
      <w:tr>
        <w:trPr>
          <w:trHeight w:val="350" w:hRule="atLeast"/>
        </w:trPr>
        <w:tc>
          <w:tcPr>
            <w:tcW w:w="305" w:type="dxa"/>
          </w:tcPr>
          <w:p>
            <w:pPr>
              <w:pStyle w:val="TableParagraph"/>
              <w:spacing w:before="11"/>
              <w:rPr>
                <w:rFonts w:ascii="Calibri"/>
                <w:sz w:val="8"/>
              </w:rPr>
            </w:pPr>
          </w:p>
          <w:p>
            <w:pPr>
              <w:pStyle w:val="TableParagraph"/>
              <w:ind w:left="18"/>
              <w:rPr>
                <w:sz w:val="11"/>
              </w:rPr>
            </w:pPr>
            <w:r>
              <w:rPr>
                <w:w w:val="105"/>
                <w:sz w:val="11"/>
              </w:rPr>
              <w:t>P15</w:t>
            </w:r>
          </w:p>
        </w:tc>
        <w:tc>
          <w:tcPr>
            <w:tcW w:w="715" w:type="dxa"/>
            <w:shd w:val="clear" w:color="auto" w:fill="FCD5B4"/>
          </w:tcPr>
          <w:p>
            <w:pPr>
              <w:pStyle w:val="TableParagraph"/>
              <w:spacing w:before="1"/>
              <w:rPr>
                <w:rFonts w:ascii="Calibri"/>
                <w:sz w:val="9"/>
              </w:rPr>
            </w:pPr>
          </w:p>
          <w:p>
            <w:pPr>
              <w:pStyle w:val="TableParagraph"/>
              <w:ind w:left="229"/>
              <w:rPr>
                <w:b/>
                <w:sz w:val="10"/>
              </w:rPr>
            </w:pPr>
            <w:r>
              <w:rPr>
                <w:b/>
                <w:sz w:val="10"/>
              </w:rPr>
              <w:t>HIGH</w:t>
            </w:r>
          </w:p>
        </w:tc>
        <w:tc>
          <w:tcPr>
            <w:tcW w:w="1505" w:type="dxa"/>
            <w:shd w:val="clear" w:color="auto" w:fill="FCD5B4"/>
          </w:tcPr>
          <w:p>
            <w:pPr>
              <w:pStyle w:val="TableParagraph"/>
              <w:spacing w:before="1"/>
              <w:rPr>
                <w:rFonts w:ascii="Calibri"/>
                <w:sz w:val="9"/>
              </w:rPr>
            </w:pPr>
          </w:p>
          <w:p>
            <w:pPr>
              <w:pStyle w:val="TableParagraph"/>
              <w:ind w:left="539"/>
              <w:rPr>
                <w:b/>
                <w:sz w:val="10"/>
              </w:rPr>
            </w:pPr>
            <w:r>
              <w:rPr>
                <w:b/>
                <w:sz w:val="10"/>
              </w:rPr>
              <w:t>Annually</w:t>
            </w:r>
          </w:p>
        </w:tc>
        <w:tc>
          <w:tcPr>
            <w:tcW w:w="4145" w:type="dxa"/>
            <w:shd w:val="clear" w:color="auto" w:fill="FCD5B4"/>
          </w:tcPr>
          <w:p>
            <w:pPr>
              <w:pStyle w:val="TableParagraph"/>
              <w:spacing w:before="1"/>
              <w:rPr>
                <w:rFonts w:ascii="Calibri"/>
                <w:sz w:val="9"/>
              </w:rPr>
            </w:pPr>
          </w:p>
          <w:p>
            <w:pPr>
              <w:pStyle w:val="TableParagraph"/>
              <w:ind w:left="16"/>
              <w:rPr>
                <w:sz w:val="10"/>
              </w:rPr>
            </w:pPr>
            <w:r>
              <w:rPr>
                <w:sz w:val="10"/>
              </w:rPr>
              <w:t>Review LFRMS List of Measures</w:t>
            </w:r>
          </w:p>
        </w:tc>
        <w:tc>
          <w:tcPr>
            <w:tcW w:w="927" w:type="dxa"/>
            <w:shd w:val="clear" w:color="auto" w:fill="FCD5B4"/>
          </w:tcPr>
          <w:p>
            <w:pPr>
              <w:pStyle w:val="TableParagraph"/>
              <w:spacing w:before="1"/>
              <w:rPr>
                <w:rFonts w:ascii="Calibri"/>
                <w:sz w:val="9"/>
              </w:rPr>
            </w:pPr>
          </w:p>
          <w:p>
            <w:pPr>
              <w:pStyle w:val="TableParagraph"/>
              <w:ind w:left="7"/>
              <w:jc w:val="center"/>
              <w:rPr>
                <w:sz w:val="10"/>
              </w:rPr>
            </w:pPr>
            <w:r>
              <w:rPr>
                <w:w w:val="100"/>
                <w:sz w:val="10"/>
              </w:rPr>
              <w:t>-</w:t>
            </w:r>
          </w:p>
        </w:tc>
        <w:tc>
          <w:tcPr>
            <w:tcW w:w="1707" w:type="dxa"/>
            <w:shd w:val="clear" w:color="auto" w:fill="FCD5B4"/>
          </w:tcPr>
          <w:p>
            <w:pPr>
              <w:pStyle w:val="TableParagraph"/>
              <w:spacing w:line="254" w:lineRule="auto" w:before="51"/>
              <w:ind w:left="15" w:right="44"/>
              <w:rPr>
                <w:sz w:val="10"/>
              </w:rPr>
            </w:pPr>
            <w:r>
              <w:rPr>
                <w:sz w:val="10"/>
              </w:rPr>
              <w:t>2. Spatial planning and development control</w:t>
            </w:r>
          </w:p>
        </w:tc>
        <w:tc>
          <w:tcPr>
            <w:tcW w:w="4145" w:type="dxa"/>
            <w:shd w:val="clear" w:color="auto" w:fill="FCD5B4"/>
          </w:tcPr>
          <w:p>
            <w:pPr>
              <w:pStyle w:val="TableParagraph"/>
              <w:spacing w:line="254" w:lineRule="auto" w:before="51"/>
              <w:ind w:left="14"/>
              <w:rPr>
                <w:sz w:val="10"/>
              </w:rPr>
            </w:pPr>
            <w:r>
              <w:rPr>
                <w:sz w:val="10"/>
              </w:rPr>
              <w:t>3. Develop a consistent, affordable and sustainable approach to planning and investment in flood risk management: land allocation, SuDS, SABs;</w:t>
            </w:r>
          </w:p>
        </w:tc>
        <w:tc>
          <w:tcPr>
            <w:tcW w:w="4145" w:type="dxa"/>
            <w:shd w:val="clear" w:color="auto" w:fill="FCD5B4"/>
          </w:tcPr>
          <w:p>
            <w:pPr>
              <w:pStyle w:val="TableParagraph"/>
              <w:spacing w:line="106" w:lineRule="exact"/>
              <w:ind w:left="14"/>
              <w:rPr>
                <w:sz w:val="10"/>
              </w:rPr>
            </w:pPr>
            <w:r>
              <w:rPr>
                <w:sz w:val="10"/>
              </w:rPr>
              <w:t>Review scheduled to take place at least annually to assess progress with current measures</w:t>
            </w:r>
          </w:p>
          <w:p>
            <w:pPr>
              <w:pStyle w:val="TableParagraph"/>
              <w:spacing w:line="120" w:lineRule="atLeast" w:before="2"/>
              <w:ind w:left="14"/>
              <w:rPr>
                <w:sz w:val="10"/>
              </w:rPr>
            </w:pPr>
            <w:r>
              <w:rPr>
                <w:sz w:val="10"/>
              </w:rPr>
              <w:t>and add or remove measures as appropriate. First review scheduled for 1 year after the strategy is published.</w:t>
            </w:r>
          </w:p>
        </w:tc>
        <w:tc>
          <w:tcPr>
            <w:tcW w:w="1783" w:type="dxa"/>
            <w:shd w:val="clear" w:color="auto" w:fill="FCD5B4"/>
          </w:tcPr>
          <w:p>
            <w:pPr>
              <w:pStyle w:val="TableParagraph"/>
              <w:spacing w:line="106" w:lineRule="exact"/>
              <w:ind w:left="14"/>
              <w:rPr>
                <w:sz w:val="10"/>
              </w:rPr>
            </w:pPr>
            <w:r>
              <w:rPr>
                <w:sz w:val="10"/>
              </w:rPr>
              <w:t>Will assess progress with List of</w:t>
            </w:r>
          </w:p>
          <w:p>
            <w:pPr>
              <w:pStyle w:val="TableParagraph"/>
              <w:spacing w:line="120" w:lineRule="atLeast" w:before="2"/>
              <w:ind w:left="14" w:right="260"/>
              <w:rPr>
                <w:sz w:val="10"/>
              </w:rPr>
            </w:pPr>
            <w:r>
              <w:rPr>
                <w:sz w:val="10"/>
              </w:rPr>
              <w:t>Measures and ensure continuous improvement</w:t>
            </w:r>
          </w:p>
        </w:tc>
        <w:tc>
          <w:tcPr>
            <w:tcW w:w="917" w:type="dxa"/>
            <w:shd w:val="clear" w:color="auto" w:fill="FCD5B4"/>
          </w:tcPr>
          <w:p>
            <w:pPr>
              <w:pStyle w:val="TableParagraph"/>
              <w:spacing w:line="254" w:lineRule="auto" w:before="51"/>
              <w:ind w:left="14" w:right="172"/>
              <w:rPr>
                <w:sz w:val="10"/>
              </w:rPr>
            </w:pPr>
            <w:r>
              <w:rPr>
                <w:sz w:val="10"/>
              </w:rPr>
              <w:t>LCC Flood Risk Management</w:t>
            </w:r>
          </w:p>
        </w:tc>
        <w:tc>
          <w:tcPr>
            <w:tcW w:w="1114" w:type="dxa"/>
            <w:shd w:val="clear" w:color="auto" w:fill="FCD5B4"/>
          </w:tcPr>
          <w:p>
            <w:pPr>
              <w:pStyle w:val="TableParagraph"/>
              <w:spacing w:line="106" w:lineRule="exact"/>
              <w:ind w:left="14"/>
              <w:rPr>
                <w:sz w:val="10"/>
              </w:rPr>
            </w:pPr>
            <w:r>
              <w:rPr>
                <w:sz w:val="10"/>
              </w:rPr>
              <w:t>Internal LCC</w:t>
            </w:r>
          </w:p>
          <w:p>
            <w:pPr>
              <w:pStyle w:val="TableParagraph"/>
              <w:spacing w:line="120" w:lineRule="atLeast" w:before="2"/>
              <w:ind w:left="14" w:right="119"/>
              <w:rPr>
                <w:sz w:val="10"/>
              </w:rPr>
            </w:pPr>
            <w:r>
              <w:rPr>
                <w:sz w:val="10"/>
              </w:rPr>
              <w:t>departments and external stakeholders</w:t>
            </w:r>
          </w:p>
        </w:tc>
        <w:tc>
          <w:tcPr>
            <w:tcW w:w="670" w:type="dxa"/>
            <w:shd w:val="clear" w:color="auto" w:fill="FCD5B4"/>
          </w:tcPr>
          <w:p>
            <w:pPr>
              <w:pStyle w:val="TableParagraph"/>
              <w:spacing w:before="1"/>
              <w:rPr>
                <w:rFonts w:ascii="Calibri"/>
                <w:sz w:val="9"/>
              </w:rPr>
            </w:pPr>
          </w:p>
          <w:p>
            <w:pPr>
              <w:pStyle w:val="TableParagraph"/>
              <w:ind w:left="14"/>
              <w:rPr>
                <w:sz w:val="10"/>
              </w:rPr>
            </w:pPr>
            <w:r>
              <w:rPr>
                <w:sz w:val="10"/>
              </w:rPr>
              <w:t>17/10/2018</w:t>
            </w:r>
          </w:p>
        </w:tc>
      </w:tr>
      <w:tr>
        <w:trPr>
          <w:trHeight w:val="710" w:hRule="atLeast"/>
        </w:trPr>
        <w:tc>
          <w:tcPr>
            <w:tcW w:w="305" w:type="dxa"/>
          </w:tcPr>
          <w:p>
            <w:pPr>
              <w:pStyle w:val="TableParagraph"/>
              <w:rPr>
                <w:rFonts w:ascii="Calibri"/>
                <w:sz w:val="12"/>
              </w:rPr>
            </w:pPr>
          </w:p>
          <w:p>
            <w:pPr>
              <w:pStyle w:val="TableParagraph"/>
              <w:spacing w:before="8"/>
              <w:rPr>
                <w:rFonts w:ascii="Calibri"/>
                <w:sz w:val="11"/>
              </w:rPr>
            </w:pPr>
          </w:p>
          <w:p>
            <w:pPr>
              <w:pStyle w:val="TableParagraph"/>
              <w:ind w:left="19"/>
              <w:rPr>
                <w:sz w:val="11"/>
              </w:rPr>
            </w:pPr>
            <w:r>
              <w:rPr>
                <w:w w:val="105"/>
                <w:sz w:val="11"/>
              </w:rPr>
              <w:t>P9</w:t>
            </w:r>
          </w:p>
        </w:tc>
        <w:tc>
          <w:tcPr>
            <w:tcW w:w="715" w:type="dxa"/>
            <w:shd w:val="clear" w:color="auto" w:fill="D8E6F0"/>
          </w:tcPr>
          <w:p>
            <w:pPr>
              <w:pStyle w:val="TableParagraph"/>
              <w:rPr>
                <w:rFonts w:ascii="Calibri"/>
                <w:sz w:val="10"/>
              </w:rPr>
            </w:pPr>
          </w:p>
          <w:p>
            <w:pPr>
              <w:pStyle w:val="TableParagraph"/>
              <w:spacing w:before="10"/>
              <w:rPr>
                <w:rFonts w:ascii="Calibri"/>
                <w:sz w:val="13"/>
              </w:rPr>
            </w:pPr>
          </w:p>
          <w:p>
            <w:pPr>
              <w:pStyle w:val="TableParagraph"/>
              <w:ind w:right="141"/>
              <w:jc w:val="right"/>
              <w:rPr>
                <w:b/>
                <w:sz w:val="10"/>
              </w:rPr>
            </w:pPr>
            <w:r>
              <w:rPr>
                <w:b/>
                <w:sz w:val="10"/>
              </w:rPr>
              <w:t>MEDIUM</w:t>
            </w:r>
          </w:p>
        </w:tc>
        <w:tc>
          <w:tcPr>
            <w:tcW w:w="1505" w:type="dxa"/>
            <w:shd w:val="clear" w:color="auto" w:fill="D8E6F0"/>
          </w:tcPr>
          <w:p>
            <w:pPr>
              <w:pStyle w:val="TableParagraph"/>
              <w:rPr>
                <w:rFonts w:ascii="Calibri"/>
                <w:sz w:val="10"/>
              </w:rPr>
            </w:pPr>
          </w:p>
          <w:p>
            <w:pPr>
              <w:pStyle w:val="TableParagraph"/>
              <w:spacing w:before="10"/>
              <w:rPr>
                <w:rFonts w:ascii="Calibri"/>
                <w:sz w:val="13"/>
              </w:rPr>
            </w:pPr>
          </w:p>
          <w:p>
            <w:pPr>
              <w:pStyle w:val="TableParagraph"/>
              <w:ind w:left="472"/>
              <w:rPr>
                <w:b/>
                <w:sz w:val="10"/>
              </w:rPr>
            </w:pPr>
            <w:r>
              <w:rPr>
                <w:b/>
                <w:sz w:val="10"/>
              </w:rPr>
              <w:t>As required</w:t>
            </w:r>
          </w:p>
        </w:tc>
        <w:tc>
          <w:tcPr>
            <w:tcW w:w="4145" w:type="dxa"/>
            <w:shd w:val="clear" w:color="auto" w:fill="D8E6F0"/>
          </w:tcPr>
          <w:p>
            <w:pPr>
              <w:pStyle w:val="TableParagraph"/>
              <w:spacing w:line="101" w:lineRule="exact"/>
              <w:ind w:left="16"/>
              <w:rPr>
                <w:sz w:val="10"/>
              </w:rPr>
            </w:pPr>
            <w:r>
              <w:rPr>
                <w:sz w:val="10"/>
              </w:rPr>
              <w:t>Provide regular feedback to senior officers and elected members on FRM progress, working</w:t>
            </w:r>
          </w:p>
          <w:p>
            <w:pPr>
              <w:pStyle w:val="TableParagraph"/>
              <w:spacing w:before="7"/>
              <w:ind w:left="16"/>
              <w:rPr>
                <w:sz w:val="10"/>
              </w:rPr>
            </w:pPr>
            <w:r>
              <w:rPr>
                <w:sz w:val="10"/>
              </w:rPr>
              <w:t>groups, and strategies such as:</w:t>
            </w:r>
          </w:p>
          <w:p>
            <w:pPr>
              <w:pStyle w:val="TableParagraph"/>
              <w:numPr>
                <w:ilvl w:val="0"/>
                <w:numId w:val="68"/>
              </w:numPr>
              <w:tabs>
                <w:tab w:pos="79" w:val="left" w:leader="none"/>
              </w:tabs>
              <w:spacing w:line="240" w:lineRule="auto" w:before="8" w:after="0"/>
              <w:ind w:left="78" w:right="0" w:hanging="62"/>
              <w:jc w:val="left"/>
              <w:rPr>
                <w:sz w:val="10"/>
              </w:rPr>
            </w:pPr>
            <w:r>
              <w:rPr>
                <w:sz w:val="10"/>
              </w:rPr>
              <w:t>Director of City Development</w:t>
            </w:r>
            <w:r>
              <w:rPr>
                <w:spacing w:val="-3"/>
                <w:sz w:val="10"/>
              </w:rPr>
              <w:t> </w:t>
            </w:r>
            <w:r>
              <w:rPr>
                <w:sz w:val="10"/>
              </w:rPr>
              <w:t>(quarterly);</w:t>
            </w:r>
          </w:p>
          <w:p>
            <w:pPr>
              <w:pStyle w:val="TableParagraph"/>
              <w:numPr>
                <w:ilvl w:val="0"/>
                <w:numId w:val="68"/>
              </w:numPr>
              <w:tabs>
                <w:tab w:pos="79" w:val="left" w:leader="none"/>
              </w:tabs>
              <w:spacing w:line="240" w:lineRule="auto" w:before="7" w:after="0"/>
              <w:ind w:left="78" w:right="0" w:hanging="62"/>
              <w:jc w:val="left"/>
              <w:rPr>
                <w:sz w:val="10"/>
              </w:rPr>
            </w:pPr>
            <w:r>
              <w:rPr>
                <w:sz w:val="10"/>
              </w:rPr>
              <w:t>City Development</w:t>
            </w:r>
            <w:r>
              <w:rPr>
                <w:spacing w:val="-2"/>
                <w:sz w:val="10"/>
              </w:rPr>
              <w:t> </w:t>
            </w:r>
            <w:r>
              <w:rPr>
                <w:sz w:val="10"/>
              </w:rPr>
              <w:t>(annually);</w:t>
            </w:r>
          </w:p>
          <w:p>
            <w:pPr>
              <w:pStyle w:val="TableParagraph"/>
              <w:numPr>
                <w:ilvl w:val="0"/>
                <w:numId w:val="68"/>
              </w:numPr>
              <w:tabs>
                <w:tab w:pos="79" w:val="left" w:leader="none"/>
              </w:tabs>
              <w:spacing w:line="240" w:lineRule="auto" w:before="7" w:after="0"/>
              <w:ind w:left="78" w:right="0" w:hanging="62"/>
              <w:jc w:val="left"/>
              <w:rPr>
                <w:sz w:val="10"/>
              </w:rPr>
            </w:pPr>
            <w:r>
              <w:rPr>
                <w:sz w:val="10"/>
              </w:rPr>
              <w:t>City Development Scrutiny Board (annually),</w:t>
            </w:r>
            <w:r>
              <w:rPr>
                <w:spacing w:val="-1"/>
                <w:sz w:val="10"/>
              </w:rPr>
              <w:t> </w:t>
            </w:r>
            <w:r>
              <w:rPr>
                <w:sz w:val="10"/>
              </w:rPr>
              <w:t>and</w:t>
            </w:r>
          </w:p>
          <w:p>
            <w:pPr>
              <w:pStyle w:val="TableParagraph"/>
              <w:numPr>
                <w:ilvl w:val="0"/>
                <w:numId w:val="68"/>
              </w:numPr>
              <w:tabs>
                <w:tab w:pos="79" w:val="left" w:leader="none"/>
              </w:tabs>
              <w:spacing w:line="92" w:lineRule="exact" w:before="8" w:after="0"/>
              <w:ind w:left="78" w:right="0" w:hanging="62"/>
              <w:jc w:val="left"/>
              <w:rPr>
                <w:sz w:val="10"/>
              </w:rPr>
            </w:pPr>
            <w:r>
              <w:rPr>
                <w:sz w:val="10"/>
              </w:rPr>
              <w:t>All Area Committees (two-yearly).</w:t>
            </w:r>
          </w:p>
        </w:tc>
        <w:tc>
          <w:tcPr>
            <w:tcW w:w="927" w:type="dxa"/>
            <w:shd w:val="clear" w:color="auto" w:fill="D8E6F0"/>
          </w:tcPr>
          <w:p>
            <w:pPr>
              <w:pStyle w:val="TableParagraph"/>
              <w:rPr>
                <w:rFonts w:ascii="Calibri"/>
                <w:sz w:val="10"/>
              </w:rPr>
            </w:pPr>
          </w:p>
          <w:p>
            <w:pPr>
              <w:pStyle w:val="TableParagraph"/>
              <w:spacing w:before="10"/>
              <w:rPr>
                <w:rFonts w:ascii="Calibri"/>
                <w:sz w:val="13"/>
              </w:rPr>
            </w:pPr>
          </w:p>
          <w:p>
            <w:pPr>
              <w:pStyle w:val="TableParagraph"/>
              <w:ind w:left="8"/>
              <w:jc w:val="center"/>
              <w:rPr>
                <w:sz w:val="10"/>
              </w:rPr>
            </w:pPr>
            <w:r>
              <w:rPr>
                <w:w w:val="100"/>
                <w:sz w:val="10"/>
              </w:rPr>
              <w:t>-</w:t>
            </w:r>
          </w:p>
        </w:tc>
        <w:tc>
          <w:tcPr>
            <w:tcW w:w="1707"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spacing w:line="254" w:lineRule="auto"/>
              <w:ind w:left="15" w:right="127"/>
              <w:rPr>
                <w:sz w:val="10"/>
              </w:rPr>
            </w:pPr>
            <w:r>
              <w:rPr>
                <w:sz w:val="10"/>
              </w:rPr>
              <w:t>1. Flood awareness, response and recovery</w:t>
            </w:r>
          </w:p>
        </w:tc>
        <w:tc>
          <w:tcPr>
            <w:tcW w:w="4145"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spacing w:line="254" w:lineRule="auto"/>
              <w:ind w:left="15"/>
              <w:rPr>
                <w:sz w:val="10"/>
              </w:rPr>
            </w:pPr>
            <w:r>
              <w:rPr>
                <w:sz w:val="10"/>
              </w:rPr>
              <w:t>3. Develop a consistent, affordable and sustainable approach to planning and investment in flood risk management: land allocation, SuDS, SABs;</w:t>
            </w:r>
          </w:p>
        </w:tc>
        <w:tc>
          <w:tcPr>
            <w:tcW w:w="4145" w:type="dxa"/>
            <w:shd w:val="clear" w:color="auto" w:fill="D8E6F0"/>
          </w:tcPr>
          <w:p>
            <w:pPr>
              <w:pStyle w:val="TableParagraph"/>
              <w:spacing w:before="10"/>
              <w:rPr>
                <w:rFonts w:ascii="Calibri"/>
                <w:sz w:val="13"/>
              </w:rPr>
            </w:pPr>
          </w:p>
          <w:p>
            <w:pPr>
              <w:pStyle w:val="TableParagraph"/>
              <w:ind w:left="14"/>
              <w:rPr>
                <w:sz w:val="10"/>
              </w:rPr>
            </w:pPr>
            <w:r>
              <w:rPr>
                <w:sz w:val="10"/>
              </w:rPr>
              <w:t>TBC</w:t>
            </w:r>
          </w:p>
        </w:tc>
        <w:tc>
          <w:tcPr>
            <w:tcW w:w="1783" w:type="dxa"/>
            <w:shd w:val="clear" w:color="auto" w:fill="D8E6F0"/>
          </w:tcPr>
          <w:p>
            <w:pPr>
              <w:pStyle w:val="TableParagraph"/>
              <w:spacing w:before="10"/>
              <w:rPr>
                <w:rFonts w:ascii="Calibri"/>
                <w:sz w:val="13"/>
              </w:rPr>
            </w:pPr>
          </w:p>
          <w:p>
            <w:pPr>
              <w:pStyle w:val="TableParagraph"/>
              <w:spacing w:line="254" w:lineRule="auto"/>
              <w:ind w:left="14" w:right="137"/>
              <w:jc w:val="both"/>
              <w:rPr>
                <w:sz w:val="10"/>
              </w:rPr>
            </w:pPr>
            <w:r>
              <w:rPr>
                <w:sz w:val="10"/>
              </w:rPr>
              <w:t>Ensures that there is ownership and awareness of on-going FRM work at appropriate levels of accountability.</w:t>
            </w:r>
          </w:p>
        </w:tc>
        <w:tc>
          <w:tcPr>
            <w:tcW w:w="917"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spacing w:line="254" w:lineRule="auto"/>
              <w:ind w:left="14" w:right="172"/>
              <w:rPr>
                <w:sz w:val="10"/>
              </w:rPr>
            </w:pPr>
            <w:r>
              <w:rPr>
                <w:sz w:val="10"/>
              </w:rPr>
              <w:t>LCC Flood Risk Management</w:t>
            </w:r>
          </w:p>
        </w:tc>
        <w:tc>
          <w:tcPr>
            <w:tcW w:w="1114" w:type="dxa"/>
            <w:shd w:val="clear" w:color="auto" w:fill="D8E6F0"/>
          </w:tcPr>
          <w:p>
            <w:pPr>
              <w:pStyle w:val="TableParagraph"/>
              <w:spacing w:before="10"/>
              <w:rPr>
                <w:rFonts w:ascii="Calibri"/>
                <w:sz w:val="13"/>
              </w:rPr>
            </w:pPr>
          </w:p>
          <w:p>
            <w:pPr>
              <w:pStyle w:val="TableParagraph"/>
              <w:spacing w:line="254" w:lineRule="auto"/>
              <w:ind w:left="14" w:right="119"/>
              <w:rPr>
                <w:sz w:val="10"/>
              </w:rPr>
            </w:pPr>
            <w:r>
              <w:rPr>
                <w:sz w:val="10"/>
              </w:rPr>
              <w:t>Internal LCC departments and external stakeholders</w:t>
            </w:r>
          </w:p>
        </w:tc>
        <w:tc>
          <w:tcPr>
            <w:tcW w:w="670" w:type="dxa"/>
            <w:shd w:val="clear" w:color="auto" w:fill="D8E6F0"/>
          </w:tcPr>
          <w:p>
            <w:pPr>
              <w:pStyle w:val="TableParagraph"/>
              <w:rPr>
                <w:rFonts w:ascii="Calibri"/>
                <w:sz w:val="10"/>
              </w:rPr>
            </w:pPr>
          </w:p>
          <w:p>
            <w:pPr>
              <w:pStyle w:val="TableParagraph"/>
              <w:spacing w:before="10"/>
              <w:rPr>
                <w:rFonts w:ascii="Calibri"/>
                <w:sz w:val="13"/>
              </w:rPr>
            </w:pPr>
          </w:p>
          <w:p>
            <w:pPr>
              <w:pStyle w:val="TableParagraph"/>
              <w:ind w:left="14"/>
              <w:rPr>
                <w:sz w:val="10"/>
              </w:rPr>
            </w:pPr>
            <w:r>
              <w:rPr>
                <w:sz w:val="10"/>
              </w:rPr>
              <w:t>17/10/2018</w:t>
            </w:r>
          </w:p>
        </w:tc>
      </w:tr>
      <w:tr>
        <w:trPr>
          <w:trHeight w:val="350" w:hRule="atLeast"/>
        </w:trPr>
        <w:tc>
          <w:tcPr>
            <w:tcW w:w="305" w:type="dxa"/>
          </w:tcPr>
          <w:p>
            <w:pPr>
              <w:pStyle w:val="TableParagraph"/>
              <w:spacing w:before="11"/>
              <w:rPr>
                <w:rFonts w:ascii="Calibri"/>
                <w:sz w:val="8"/>
              </w:rPr>
            </w:pPr>
          </w:p>
          <w:p>
            <w:pPr>
              <w:pStyle w:val="TableParagraph"/>
              <w:ind w:left="18"/>
              <w:rPr>
                <w:sz w:val="11"/>
              </w:rPr>
            </w:pPr>
            <w:r>
              <w:rPr>
                <w:w w:val="105"/>
                <w:sz w:val="11"/>
              </w:rPr>
              <w:t>P7</w:t>
            </w:r>
          </w:p>
        </w:tc>
        <w:tc>
          <w:tcPr>
            <w:tcW w:w="715" w:type="dxa"/>
            <w:shd w:val="clear" w:color="auto" w:fill="D8E6F0"/>
          </w:tcPr>
          <w:p>
            <w:pPr>
              <w:pStyle w:val="TableParagraph"/>
              <w:spacing w:before="1"/>
              <w:rPr>
                <w:rFonts w:ascii="Calibri"/>
                <w:sz w:val="9"/>
              </w:rPr>
            </w:pPr>
          </w:p>
          <w:p>
            <w:pPr>
              <w:pStyle w:val="TableParagraph"/>
              <w:ind w:right="141"/>
              <w:jc w:val="right"/>
              <w:rPr>
                <w:b/>
                <w:sz w:val="10"/>
              </w:rPr>
            </w:pPr>
            <w:r>
              <w:rPr>
                <w:b/>
                <w:sz w:val="10"/>
              </w:rPr>
              <w:t>MEDIUM</w:t>
            </w:r>
          </w:p>
        </w:tc>
        <w:tc>
          <w:tcPr>
            <w:tcW w:w="1505" w:type="dxa"/>
            <w:shd w:val="clear" w:color="auto" w:fill="D8E6F0"/>
          </w:tcPr>
          <w:p>
            <w:pPr>
              <w:pStyle w:val="TableParagraph"/>
              <w:spacing w:before="1"/>
              <w:rPr>
                <w:rFonts w:ascii="Calibri"/>
                <w:sz w:val="9"/>
              </w:rPr>
            </w:pPr>
          </w:p>
          <w:p>
            <w:pPr>
              <w:pStyle w:val="TableParagraph"/>
              <w:ind w:left="542"/>
              <w:rPr>
                <w:b/>
                <w:sz w:val="10"/>
              </w:rPr>
            </w:pPr>
            <w:r>
              <w:rPr>
                <w:b/>
                <w:sz w:val="10"/>
              </w:rPr>
              <w:t>Ongoing</w:t>
            </w:r>
          </w:p>
        </w:tc>
        <w:tc>
          <w:tcPr>
            <w:tcW w:w="4145" w:type="dxa"/>
            <w:shd w:val="clear" w:color="auto" w:fill="D8E6F0"/>
          </w:tcPr>
          <w:p>
            <w:pPr>
              <w:pStyle w:val="TableParagraph"/>
              <w:spacing w:before="1"/>
              <w:rPr>
                <w:rFonts w:ascii="Calibri"/>
                <w:sz w:val="9"/>
              </w:rPr>
            </w:pPr>
          </w:p>
          <w:p>
            <w:pPr>
              <w:pStyle w:val="TableParagraph"/>
              <w:ind w:left="16"/>
              <w:rPr>
                <w:sz w:val="10"/>
              </w:rPr>
            </w:pPr>
            <w:r>
              <w:rPr>
                <w:sz w:val="10"/>
              </w:rPr>
              <w:t>Investigate opportunities to reduce carbon from pump operations</w:t>
            </w:r>
          </w:p>
        </w:tc>
        <w:tc>
          <w:tcPr>
            <w:tcW w:w="927" w:type="dxa"/>
            <w:shd w:val="clear" w:color="auto" w:fill="D8E6F0"/>
          </w:tcPr>
          <w:p>
            <w:pPr>
              <w:pStyle w:val="TableParagraph"/>
              <w:spacing w:before="1"/>
              <w:rPr>
                <w:rFonts w:ascii="Calibri"/>
                <w:sz w:val="9"/>
              </w:rPr>
            </w:pPr>
          </w:p>
          <w:p>
            <w:pPr>
              <w:pStyle w:val="TableParagraph"/>
              <w:ind w:left="237" w:right="228"/>
              <w:jc w:val="center"/>
              <w:rPr>
                <w:sz w:val="10"/>
              </w:rPr>
            </w:pPr>
            <w:r>
              <w:rPr>
                <w:sz w:val="10"/>
              </w:rPr>
              <w:t>City-wide</w:t>
            </w:r>
          </w:p>
        </w:tc>
        <w:tc>
          <w:tcPr>
            <w:tcW w:w="1707" w:type="dxa"/>
            <w:shd w:val="clear" w:color="auto" w:fill="D8E6F0"/>
          </w:tcPr>
          <w:p>
            <w:pPr>
              <w:pStyle w:val="TableParagraph"/>
              <w:spacing w:line="254" w:lineRule="auto" w:before="51"/>
              <w:ind w:left="15" w:right="494"/>
              <w:rPr>
                <w:sz w:val="10"/>
              </w:rPr>
            </w:pPr>
            <w:r>
              <w:rPr>
                <w:sz w:val="10"/>
              </w:rPr>
              <w:t>4. Asset management and maintenance</w:t>
            </w:r>
          </w:p>
        </w:tc>
        <w:tc>
          <w:tcPr>
            <w:tcW w:w="4145" w:type="dxa"/>
            <w:shd w:val="clear" w:color="auto" w:fill="D8E6F0"/>
          </w:tcPr>
          <w:p>
            <w:pPr>
              <w:pStyle w:val="TableParagraph"/>
              <w:spacing w:before="1"/>
              <w:rPr>
                <w:rFonts w:ascii="Calibri"/>
                <w:sz w:val="9"/>
              </w:rPr>
            </w:pPr>
          </w:p>
          <w:p>
            <w:pPr>
              <w:pStyle w:val="TableParagraph"/>
              <w:ind w:left="14"/>
              <w:rPr>
                <w:sz w:val="10"/>
              </w:rPr>
            </w:pPr>
            <w:r>
              <w:rPr>
                <w:sz w:val="10"/>
              </w:rPr>
              <w:t>2. Promote sustainable flood risk management</w:t>
            </w:r>
          </w:p>
        </w:tc>
        <w:tc>
          <w:tcPr>
            <w:tcW w:w="4145" w:type="dxa"/>
            <w:shd w:val="clear" w:color="auto" w:fill="D8E6F0"/>
          </w:tcPr>
          <w:p>
            <w:pPr>
              <w:pStyle w:val="TableParagraph"/>
              <w:spacing w:line="106" w:lineRule="exact"/>
              <w:ind w:left="14"/>
              <w:rPr>
                <w:sz w:val="10"/>
              </w:rPr>
            </w:pPr>
            <w:r>
              <w:rPr>
                <w:sz w:val="10"/>
              </w:rPr>
              <w:t>TBC</w:t>
            </w:r>
          </w:p>
        </w:tc>
        <w:tc>
          <w:tcPr>
            <w:tcW w:w="1783" w:type="dxa"/>
            <w:shd w:val="clear" w:color="auto" w:fill="D8E6F0"/>
          </w:tcPr>
          <w:p>
            <w:pPr>
              <w:pStyle w:val="TableParagraph"/>
              <w:spacing w:line="254" w:lineRule="auto" w:before="51"/>
              <w:ind w:left="14" w:right="10"/>
              <w:rPr>
                <w:sz w:val="10"/>
              </w:rPr>
            </w:pPr>
            <w:r>
              <w:rPr>
                <w:sz w:val="10"/>
              </w:rPr>
              <w:t>Reduce carbon emissions and improve energy efficiency</w:t>
            </w:r>
          </w:p>
        </w:tc>
        <w:tc>
          <w:tcPr>
            <w:tcW w:w="917" w:type="dxa"/>
            <w:shd w:val="clear" w:color="auto" w:fill="D8E6F0"/>
          </w:tcPr>
          <w:p>
            <w:pPr>
              <w:pStyle w:val="TableParagraph"/>
              <w:spacing w:line="254" w:lineRule="auto" w:before="51"/>
              <w:ind w:left="14" w:right="172"/>
              <w:rPr>
                <w:sz w:val="10"/>
              </w:rPr>
            </w:pPr>
            <w:r>
              <w:rPr>
                <w:sz w:val="10"/>
              </w:rPr>
              <w:t>LCC Flood Risk Management</w:t>
            </w:r>
          </w:p>
        </w:tc>
        <w:tc>
          <w:tcPr>
            <w:tcW w:w="1114" w:type="dxa"/>
            <w:shd w:val="clear" w:color="auto" w:fill="D8E6F0"/>
          </w:tcPr>
          <w:p>
            <w:pPr>
              <w:pStyle w:val="TableParagraph"/>
              <w:spacing w:before="1"/>
              <w:rPr>
                <w:rFonts w:ascii="Calibri"/>
                <w:sz w:val="9"/>
              </w:rPr>
            </w:pPr>
          </w:p>
          <w:p>
            <w:pPr>
              <w:pStyle w:val="TableParagraph"/>
              <w:ind w:left="14"/>
              <w:rPr>
                <w:sz w:val="10"/>
              </w:rPr>
            </w:pPr>
            <w:r>
              <w:rPr>
                <w:sz w:val="10"/>
              </w:rPr>
              <w:t>Environment Agency</w:t>
            </w:r>
          </w:p>
        </w:tc>
        <w:tc>
          <w:tcPr>
            <w:tcW w:w="670" w:type="dxa"/>
            <w:shd w:val="clear" w:color="auto" w:fill="D8E6F0"/>
          </w:tcPr>
          <w:p>
            <w:pPr>
              <w:pStyle w:val="TableParagraph"/>
              <w:spacing w:before="1"/>
              <w:rPr>
                <w:rFonts w:ascii="Calibri"/>
                <w:sz w:val="9"/>
              </w:rPr>
            </w:pPr>
          </w:p>
          <w:p>
            <w:pPr>
              <w:pStyle w:val="TableParagraph"/>
              <w:ind w:left="14"/>
              <w:rPr>
                <w:sz w:val="10"/>
              </w:rPr>
            </w:pPr>
            <w:r>
              <w:rPr>
                <w:sz w:val="10"/>
              </w:rPr>
              <w:t>17/10/2018</w:t>
            </w:r>
          </w:p>
        </w:tc>
      </w:tr>
      <w:tr>
        <w:trPr>
          <w:trHeight w:val="734" w:hRule="atLeast"/>
        </w:trPr>
        <w:tc>
          <w:tcPr>
            <w:tcW w:w="305" w:type="dxa"/>
          </w:tcPr>
          <w:p>
            <w:pPr>
              <w:pStyle w:val="TableParagraph"/>
              <w:rPr>
                <w:rFonts w:ascii="Calibri"/>
                <w:sz w:val="12"/>
              </w:rPr>
            </w:pPr>
          </w:p>
          <w:p>
            <w:pPr>
              <w:pStyle w:val="TableParagraph"/>
              <w:spacing w:before="8"/>
              <w:rPr>
                <w:rFonts w:ascii="Calibri"/>
                <w:sz w:val="12"/>
              </w:rPr>
            </w:pPr>
          </w:p>
          <w:p>
            <w:pPr>
              <w:pStyle w:val="TableParagraph"/>
              <w:ind w:left="18"/>
              <w:rPr>
                <w:sz w:val="11"/>
              </w:rPr>
            </w:pPr>
            <w:r>
              <w:rPr>
                <w:w w:val="105"/>
                <w:sz w:val="11"/>
              </w:rPr>
              <w:t>P11</w:t>
            </w:r>
          </w:p>
        </w:tc>
        <w:tc>
          <w:tcPr>
            <w:tcW w:w="715" w:type="dxa"/>
            <w:shd w:val="clear" w:color="auto" w:fill="D8E6F0"/>
          </w:tcPr>
          <w:p>
            <w:pPr>
              <w:pStyle w:val="TableParagraph"/>
              <w:rPr>
                <w:rFonts w:ascii="Calibri"/>
                <w:sz w:val="10"/>
              </w:rPr>
            </w:pPr>
          </w:p>
          <w:p>
            <w:pPr>
              <w:pStyle w:val="TableParagraph"/>
              <w:spacing w:before="10"/>
              <w:rPr>
                <w:rFonts w:ascii="Calibri"/>
                <w:sz w:val="14"/>
              </w:rPr>
            </w:pPr>
          </w:p>
          <w:p>
            <w:pPr>
              <w:pStyle w:val="TableParagraph"/>
              <w:ind w:right="141"/>
              <w:jc w:val="right"/>
              <w:rPr>
                <w:b/>
                <w:sz w:val="10"/>
              </w:rPr>
            </w:pPr>
            <w:r>
              <w:rPr>
                <w:b/>
                <w:sz w:val="10"/>
              </w:rPr>
              <w:t>MEDIUM</w:t>
            </w:r>
          </w:p>
        </w:tc>
        <w:tc>
          <w:tcPr>
            <w:tcW w:w="1505" w:type="dxa"/>
            <w:shd w:val="clear" w:color="auto" w:fill="D8E6F0"/>
          </w:tcPr>
          <w:p>
            <w:pPr>
              <w:pStyle w:val="TableParagraph"/>
              <w:rPr>
                <w:rFonts w:ascii="Calibri"/>
                <w:sz w:val="10"/>
              </w:rPr>
            </w:pPr>
          </w:p>
          <w:p>
            <w:pPr>
              <w:pStyle w:val="TableParagraph"/>
              <w:spacing w:before="10"/>
              <w:rPr>
                <w:rFonts w:ascii="Calibri"/>
                <w:sz w:val="14"/>
              </w:rPr>
            </w:pPr>
          </w:p>
          <w:p>
            <w:pPr>
              <w:pStyle w:val="TableParagraph"/>
              <w:ind w:left="542"/>
              <w:rPr>
                <w:b/>
                <w:sz w:val="10"/>
              </w:rPr>
            </w:pPr>
            <w:r>
              <w:rPr>
                <w:b/>
                <w:sz w:val="10"/>
              </w:rPr>
              <w:t>Ongoing</w:t>
            </w:r>
          </w:p>
        </w:tc>
        <w:tc>
          <w:tcPr>
            <w:tcW w:w="4145" w:type="dxa"/>
            <w:shd w:val="clear" w:color="auto" w:fill="D8E6F0"/>
          </w:tcPr>
          <w:p>
            <w:pPr>
              <w:pStyle w:val="TableParagraph"/>
              <w:spacing w:before="58"/>
              <w:ind w:left="16"/>
              <w:rPr>
                <w:sz w:val="10"/>
              </w:rPr>
            </w:pPr>
            <w:r>
              <w:rPr>
                <w:sz w:val="10"/>
              </w:rPr>
              <w:t>Engagement and communication with public on FRM issues; such as:</w:t>
            </w:r>
          </w:p>
          <w:p>
            <w:pPr>
              <w:pStyle w:val="TableParagraph"/>
              <w:numPr>
                <w:ilvl w:val="0"/>
                <w:numId w:val="69"/>
              </w:numPr>
              <w:tabs>
                <w:tab w:pos="78" w:val="left" w:leader="none"/>
              </w:tabs>
              <w:spacing w:line="240" w:lineRule="auto" w:before="8" w:after="0"/>
              <w:ind w:left="16" w:right="0" w:firstLine="0"/>
              <w:jc w:val="left"/>
              <w:rPr>
                <w:sz w:val="10"/>
              </w:rPr>
            </w:pPr>
            <w:r>
              <w:rPr>
                <w:sz w:val="10"/>
              </w:rPr>
              <w:t>Targeted ‘flood fairs’ held in at-risk locations highlighting flood protection</w:t>
            </w:r>
            <w:r>
              <w:rPr>
                <w:spacing w:val="-7"/>
                <w:sz w:val="10"/>
              </w:rPr>
              <w:t> </w:t>
            </w:r>
            <w:r>
              <w:rPr>
                <w:sz w:val="10"/>
              </w:rPr>
              <w:t>products;</w:t>
            </w:r>
          </w:p>
          <w:p>
            <w:pPr>
              <w:pStyle w:val="TableParagraph"/>
              <w:numPr>
                <w:ilvl w:val="0"/>
                <w:numId w:val="69"/>
              </w:numPr>
              <w:tabs>
                <w:tab w:pos="78" w:val="left" w:leader="none"/>
              </w:tabs>
              <w:spacing w:line="254" w:lineRule="auto" w:before="7" w:after="0"/>
              <w:ind w:left="16" w:right="263" w:firstLine="0"/>
              <w:jc w:val="left"/>
              <w:rPr>
                <w:sz w:val="10"/>
              </w:rPr>
            </w:pPr>
            <w:r>
              <w:rPr>
                <w:sz w:val="10"/>
              </w:rPr>
              <w:t>Wider public information campaigns for at-risk households drawing attention to useful resources, and</w:t>
            </w:r>
          </w:p>
          <w:p>
            <w:pPr>
              <w:pStyle w:val="TableParagraph"/>
              <w:numPr>
                <w:ilvl w:val="0"/>
                <w:numId w:val="69"/>
              </w:numPr>
              <w:tabs>
                <w:tab w:pos="78" w:val="left" w:leader="none"/>
              </w:tabs>
              <w:spacing w:line="240" w:lineRule="auto" w:before="1" w:after="0"/>
              <w:ind w:left="16" w:right="0" w:firstLine="0"/>
              <w:jc w:val="left"/>
              <w:rPr>
                <w:sz w:val="10"/>
              </w:rPr>
            </w:pPr>
            <w:r>
              <w:rPr>
                <w:sz w:val="10"/>
              </w:rPr>
              <w:t>Engagement with local flood action groups (EA and</w:t>
            </w:r>
            <w:r>
              <w:rPr>
                <w:spacing w:val="-1"/>
                <w:sz w:val="10"/>
              </w:rPr>
              <w:t> </w:t>
            </w:r>
            <w:r>
              <w:rPr>
                <w:sz w:val="10"/>
              </w:rPr>
              <w:t>RET).</w:t>
            </w:r>
          </w:p>
        </w:tc>
        <w:tc>
          <w:tcPr>
            <w:tcW w:w="927" w:type="dxa"/>
            <w:shd w:val="clear" w:color="auto" w:fill="D8E6F0"/>
          </w:tcPr>
          <w:p>
            <w:pPr>
              <w:pStyle w:val="TableParagraph"/>
              <w:rPr>
                <w:rFonts w:ascii="Calibri"/>
                <w:sz w:val="10"/>
              </w:rPr>
            </w:pPr>
          </w:p>
          <w:p>
            <w:pPr>
              <w:pStyle w:val="TableParagraph"/>
              <w:spacing w:before="10"/>
              <w:rPr>
                <w:rFonts w:ascii="Calibri"/>
                <w:sz w:val="14"/>
              </w:rPr>
            </w:pPr>
          </w:p>
          <w:p>
            <w:pPr>
              <w:pStyle w:val="TableParagraph"/>
              <w:ind w:left="8"/>
              <w:jc w:val="center"/>
              <w:rPr>
                <w:sz w:val="10"/>
              </w:rPr>
            </w:pPr>
            <w:r>
              <w:rPr>
                <w:w w:val="100"/>
                <w:sz w:val="10"/>
              </w:rPr>
              <w:t>-</w:t>
            </w:r>
          </w:p>
        </w:tc>
        <w:tc>
          <w:tcPr>
            <w:tcW w:w="1707" w:type="dxa"/>
            <w:shd w:val="clear" w:color="auto" w:fill="D8E6F0"/>
          </w:tcPr>
          <w:p>
            <w:pPr>
              <w:pStyle w:val="TableParagraph"/>
              <w:rPr>
                <w:rFonts w:ascii="Calibri"/>
                <w:sz w:val="10"/>
              </w:rPr>
            </w:pPr>
          </w:p>
          <w:p>
            <w:pPr>
              <w:pStyle w:val="TableParagraph"/>
              <w:spacing w:before="11"/>
              <w:rPr>
                <w:rFonts w:ascii="Calibri"/>
                <w:sz w:val="9"/>
              </w:rPr>
            </w:pPr>
          </w:p>
          <w:p>
            <w:pPr>
              <w:pStyle w:val="TableParagraph"/>
              <w:spacing w:line="254" w:lineRule="auto"/>
              <w:ind w:left="15" w:right="127"/>
              <w:rPr>
                <w:sz w:val="10"/>
              </w:rPr>
            </w:pPr>
            <w:r>
              <w:rPr>
                <w:sz w:val="10"/>
              </w:rPr>
              <w:t>1. Flood awareness, response and recovery</w:t>
            </w:r>
          </w:p>
        </w:tc>
        <w:tc>
          <w:tcPr>
            <w:tcW w:w="4145" w:type="dxa"/>
            <w:shd w:val="clear" w:color="auto" w:fill="D8E6F0"/>
          </w:tcPr>
          <w:p>
            <w:pPr>
              <w:pStyle w:val="TableParagraph"/>
              <w:rPr>
                <w:rFonts w:ascii="Calibri"/>
                <w:sz w:val="10"/>
              </w:rPr>
            </w:pPr>
          </w:p>
          <w:p>
            <w:pPr>
              <w:pStyle w:val="TableParagraph"/>
              <w:spacing w:before="11"/>
              <w:rPr>
                <w:rFonts w:ascii="Calibri"/>
                <w:sz w:val="9"/>
              </w:rPr>
            </w:pPr>
          </w:p>
          <w:p>
            <w:pPr>
              <w:pStyle w:val="TableParagraph"/>
              <w:spacing w:line="254" w:lineRule="auto"/>
              <w:ind w:left="14" w:right="50"/>
              <w:rPr>
                <w:sz w:val="10"/>
              </w:rPr>
            </w:pPr>
            <w:r>
              <w:rPr>
                <w:sz w:val="10"/>
              </w:rPr>
              <w:t>5. Increase community awareness of flood risk and the work of the LLFA in managing this risk</w:t>
            </w:r>
          </w:p>
        </w:tc>
        <w:tc>
          <w:tcPr>
            <w:tcW w:w="4145" w:type="dxa"/>
            <w:shd w:val="clear" w:color="auto" w:fill="D8E6F0"/>
          </w:tcPr>
          <w:p>
            <w:pPr>
              <w:pStyle w:val="TableParagraph"/>
              <w:rPr>
                <w:rFonts w:ascii="Calibri"/>
                <w:sz w:val="10"/>
              </w:rPr>
            </w:pPr>
          </w:p>
          <w:p>
            <w:pPr>
              <w:pStyle w:val="TableParagraph"/>
              <w:spacing w:before="11"/>
              <w:rPr>
                <w:rFonts w:ascii="Calibri"/>
                <w:sz w:val="9"/>
              </w:rPr>
            </w:pPr>
          </w:p>
          <w:p>
            <w:pPr>
              <w:pStyle w:val="TableParagraph"/>
              <w:spacing w:line="254" w:lineRule="auto"/>
              <w:ind w:left="14"/>
              <w:rPr>
                <w:sz w:val="10"/>
              </w:rPr>
            </w:pPr>
            <w:r>
              <w:rPr>
                <w:sz w:val="10"/>
              </w:rPr>
              <w:t>Engagement and consultation has begun as part of LFRMS - Graham Lindsey and Paul Seddon are points of contact for flood action groups</w:t>
            </w:r>
          </w:p>
        </w:tc>
        <w:tc>
          <w:tcPr>
            <w:tcW w:w="1783" w:type="dxa"/>
            <w:shd w:val="clear" w:color="auto" w:fill="D8E6F0"/>
          </w:tcPr>
          <w:p>
            <w:pPr>
              <w:pStyle w:val="TableParagraph"/>
              <w:rPr>
                <w:rFonts w:ascii="Calibri"/>
                <w:sz w:val="10"/>
              </w:rPr>
            </w:pPr>
          </w:p>
          <w:p>
            <w:pPr>
              <w:pStyle w:val="TableParagraph"/>
              <w:spacing w:before="11"/>
              <w:rPr>
                <w:rFonts w:ascii="Calibri"/>
                <w:sz w:val="9"/>
              </w:rPr>
            </w:pPr>
          </w:p>
          <w:p>
            <w:pPr>
              <w:pStyle w:val="TableParagraph"/>
              <w:spacing w:line="254" w:lineRule="auto"/>
              <w:ind w:left="14" w:right="221"/>
              <w:rPr>
                <w:sz w:val="10"/>
              </w:rPr>
            </w:pPr>
            <w:r>
              <w:rPr>
                <w:sz w:val="10"/>
              </w:rPr>
              <w:t>Involve communities in decisions - localism agenda</w:t>
            </w:r>
          </w:p>
        </w:tc>
        <w:tc>
          <w:tcPr>
            <w:tcW w:w="917" w:type="dxa"/>
            <w:shd w:val="clear" w:color="auto" w:fill="D8E6F0"/>
          </w:tcPr>
          <w:p>
            <w:pPr>
              <w:pStyle w:val="TableParagraph"/>
              <w:spacing w:line="254" w:lineRule="auto" w:before="58"/>
              <w:ind w:left="14" w:right="172"/>
              <w:rPr>
                <w:sz w:val="10"/>
              </w:rPr>
            </w:pPr>
            <w:r>
              <w:rPr>
                <w:sz w:val="10"/>
              </w:rPr>
              <w:t>LCC Flood Risk Management &amp; Peacetime Emergency Planning Unit</w:t>
            </w:r>
          </w:p>
        </w:tc>
        <w:tc>
          <w:tcPr>
            <w:tcW w:w="1114" w:type="dxa"/>
            <w:shd w:val="clear" w:color="auto" w:fill="D8E6F0"/>
          </w:tcPr>
          <w:p>
            <w:pPr>
              <w:pStyle w:val="TableParagraph"/>
              <w:spacing w:before="9"/>
              <w:rPr>
                <w:rFonts w:ascii="Calibri"/>
                <w:sz w:val="14"/>
              </w:rPr>
            </w:pPr>
          </w:p>
          <w:p>
            <w:pPr>
              <w:pStyle w:val="TableParagraph"/>
              <w:spacing w:line="254" w:lineRule="auto" w:before="1"/>
              <w:ind w:left="14" w:right="119"/>
              <w:rPr>
                <w:sz w:val="10"/>
              </w:rPr>
            </w:pPr>
            <w:r>
              <w:rPr>
                <w:sz w:val="10"/>
              </w:rPr>
              <w:t>Internal LCC departments and external stakeholders</w:t>
            </w:r>
          </w:p>
        </w:tc>
        <w:tc>
          <w:tcPr>
            <w:tcW w:w="670" w:type="dxa"/>
            <w:shd w:val="clear" w:color="auto" w:fill="D8E6F0"/>
          </w:tcPr>
          <w:p>
            <w:pPr>
              <w:pStyle w:val="TableParagraph"/>
              <w:rPr>
                <w:rFonts w:ascii="Calibri"/>
                <w:sz w:val="10"/>
              </w:rPr>
            </w:pPr>
          </w:p>
          <w:p>
            <w:pPr>
              <w:pStyle w:val="TableParagraph"/>
              <w:spacing w:before="10"/>
              <w:rPr>
                <w:rFonts w:ascii="Calibri"/>
                <w:sz w:val="14"/>
              </w:rPr>
            </w:pPr>
          </w:p>
          <w:p>
            <w:pPr>
              <w:pStyle w:val="TableParagraph"/>
              <w:ind w:left="14"/>
              <w:rPr>
                <w:sz w:val="10"/>
              </w:rPr>
            </w:pPr>
            <w:r>
              <w:rPr>
                <w:sz w:val="10"/>
              </w:rPr>
              <w:t>17/10/2018</w:t>
            </w:r>
          </w:p>
        </w:tc>
      </w:tr>
      <w:tr>
        <w:trPr>
          <w:trHeight w:val="350" w:hRule="atLeast"/>
        </w:trPr>
        <w:tc>
          <w:tcPr>
            <w:tcW w:w="305" w:type="dxa"/>
          </w:tcPr>
          <w:p>
            <w:pPr>
              <w:pStyle w:val="TableParagraph"/>
              <w:spacing w:before="11"/>
              <w:rPr>
                <w:rFonts w:ascii="Calibri"/>
                <w:sz w:val="8"/>
              </w:rPr>
            </w:pPr>
          </w:p>
          <w:p>
            <w:pPr>
              <w:pStyle w:val="TableParagraph"/>
              <w:ind w:left="18"/>
              <w:rPr>
                <w:sz w:val="11"/>
              </w:rPr>
            </w:pPr>
            <w:r>
              <w:rPr>
                <w:w w:val="105"/>
                <w:sz w:val="11"/>
              </w:rPr>
              <w:t>P12</w:t>
            </w:r>
          </w:p>
        </w:tc>
        <w:tc>
          <w:tcPr>
            <w:tcW w:w="715" w:type="dxa"/>
            <w:shd w:val="clear" w:color="auto" w:fill="D8E6F0"/>
          </w:tcPr>
          <w:p>
            <w:pPr>
              <w:pStyle w:val="TableParagraph"/>
              <w:spacing w:before="1"/>
              <w:rPr>
                <w:rFonts w:ascii="Calibri"/>
                <w:sz w:val="9"/>
              </w:rPr>
            </w:pPr>
          </w:p>
          <w:p>
            <w:pPr>
              <w:pStyle w:val="TableParagraph"/>
              <w:ind w:right="141"/>
              <w:jc w:val="right"/>
              <w:rPr>
                <w:b/>
                <w:sz w:val="10"/>
              </w:rPr>
            </w:pPr>
            <w:r>
              <w:rPr>
                <w:b/>
                <w:sz w:val="10"/>
              </w:rPr>
              <w:t>MEDIUM</w:t>
            </w:r>
          </w:p>
        </w:tc>
        <w:tc>
          <w:tcPr>
            <w:tcW w:w="1505" w:type="dxa"/>
            <w:shd w:val="clear" w:color="auto" w:fill="D8E6F0"/>
          </w:tcPr>
          <w:p>
            <w:pPr>
              <w:pStyle w:val="TableParagraph"/>
              <w:spacing w:before="1"/>
              <w:rPr>
                <w:rFonts w:ascii="Calibri"/>
                <w:sz w:val="9"/>
              </w:rPr>
            </w:pPr>
          </w:p>
          <w:p>
            <w:pPr>
              <w:pStyle w:val="TableParagraph"/>
              <w:ind w:left="542"/>
              <w:rPr>
                <w:b/>
                <w:sz w:val="10"/>
              </w:rPr>
            </w:pPr>
            <w:r>
              <w:rPr>
                <w:b/>
                <w:sz w:val="10"/>
              </w:rPr>
              <w:t>Ongoing</w:t>
            </w:r>
          </w:p>
        </w:tc>
        <w:tc>
          <w:tcPr>
            <w:tcW w:w="4145" w:type="dxa"/>
            <w:shd w:val="clear" w:color="auto" w:fill="D8E6F0"/>
          </w:tcPr>
          <w:p>
            <w:pPr>
              <w:pStyle w:val="TableParagraph"/>
              <w:spacing w:line="106" w:lineRule="exact"/>
              <w:ind w:left="16"/>
              <w:rPr>
                <w:sz w:val="10"/>
              </w:rPr>
            </w:pPr>
            <w:r>
              <w:rPr>
                <w:sz w:val="10"/>
              </w:rPr>
              <w:t>Leeds City Council to increase their flood risk management capacity, knowledge and skills</w:t>
            </w:r>
          </w:p>
          <w:p>
            <w:pPr>
              <w:pStyle w:val="TableParagraph"/>
              <w:spacing w:line="120" w:lineRule="atLeast" w:before="2"/>
              <w:ind w:left="16"/>
              <w:rPr>
                <w:sz w:val="10"/>
              </w:rPr>
            </w:pPr>
            <w:r>
              <w:rPr>
                <w:sz w:val="10"/>
              </w:rPr>
              <w:t>(as Lead Local Flood Authority) in order to deliver their new responsibilities as conferred under the Flood and Water Management Act 2010.</w:t>
            </w:r>
          </w:p>
        </w:tc>
        <w:tc>
          <w:tcPr>
            <w:tcW w:w="927" w:type="dxa"/>
            <w:shd w:val="clear" w:color="auto" w:fill="D8E6F0"/>
          </w:tcPr>
          <w:p>
            <w:pPr>
              <w:pStyle w:val="TableParagraph"/>
              <w:spacing w:before="1"/>
              <w:rPr>
                <w:rFonts w:ascii="Calibri"/>
                <w:sz w:val="9"/>
              </w:rPr>
            </w:pPr>
          </w:p>
          <w:p>
            <w:pPr>
              <w:pStyle w:val="TableParagraph"/>
              <w:ind w:left="8"/>
              <w:jc w:val="center"/>
              <w:rPr>
                <w:sz w:val="10"/>
              </w:rPr>
            </w:pPr>
            <w:r>
              <w:rPr>
                <w:w w:val="100"/>
                <w:sz w:val="10"/>
              </w:rPr>
              <w:t>-</w:t>
            </w:r>
          </w:p>
        </w:tc>
        <w:tc>
          <w:tcPr>
            <w:tcW w:w="1707" w:type="dxa"/>
            <w:shd w:val="clear" w:color="auto" w:fill="D8E6F0"/>
          </w:tcPr>
          <w:p>
            <w:pPr>
              <w:pStyle w:val="TableParagraph"/>
              <w:spacing w:line="254" w:lineRule="auto" w:before="51"/>
              <w:ind w:left="15" w:right="127"/>
              <w:rPr>
                <w:sz w:val="10"/>
              </w:rPr>
            </w:pPr>
            <w:r>
              <w:rPr>
                <w:sz w:val="10"/>
              </w:rPr>
              <w:t>1. Flood awareness, response and recovery</w:t>
            </w:r>
          </w:p>
        </w:tc>
        <w:tc>
          <w:tcPr>
            <w:tcW w:w="4145" w:type="dxa"/>
            <w:shd w:val="clear" w:color="auto" w:fill="D8E6F0"/>
          </w:tcPr>
          <w:p>
            <w:pPr>
              <w:pStyle w:val="TableParagraph"/>
              <w:spacing w:before="1"/>
              <w:rPr>
                <w:rFonts w:ascii="Calibri"/>
                <w:sz w:val="9"/>
              </w:rPr>
            </w:pPr>
          </w:p>
          <w:p>
            <w:pPr>
              <w:pStyle w:val="TableParagraph"/>
              <w:ind w:left="15"/>
              <w:rPr>
                <w:sz w:val="10"/>
              </w:rPr>
            </w:pPr>
            <w:r>
              <w:rPr>
                <w:sz w:val="10"/>
              </w:rPr>
              <w:t>4. Increase internal skills and ultimately capacity for flood risk management;</w:t>
            </w:r>
          </w:p>
        </w:tc>
        <w:tc>
          <w:tcPr>
            <w:tcW w:w="4145" w:type="dxa"/>
            <w:shd w:val="clear" w:color="auto" w:fill="D8E6F0"/>
          </w:tcPr>
          <w:p>
            <w:pPr>
              <w:pStyle w:val="TableParagraph"/>
              <w:spacing w:line="254" w:lineRule="auto" w:before="51"/>
              <w:ind w:left="14"/>
              <w:rPr>
                <w:sz w:val="10"/>
              </w:rPr>
            </w:pPr>
            <w:r>
              <w:rPr>
                <w:sz w:val="10"/>
              </w:rPr>
              <w:t>In accordance with Defra guidance on capacity building. Improve understanding of flood risk in the city and expertise to better manage consequences.</w:t>
            </w:r>
          </w:p>
        </w:tc>
        <w:tc>
          <w:tcPr>
            <w:tcW w:w="1783" w:type="dxa"/>
            <w:shd w:val="clear" w:color="auto" w:fill="D8E6F0"/>
          </w:tcPr>
          <w:p>
            <w:pPr>
              <w:pStyle w:val="TableParagraph"/>
              <w:spacing w:line="254" w:lineRule="auto" w:before="51"/>
              <w:ind w:left="14" w:right="71"/>
              <w:rPr>
                <w:sz w:val="10"/>
              </w:rPr>
            </w:pPr>
            <w:r>
              <w:rPr>
                <w:sz w:val="10"/>
              </w:rPr>
              <w:t>Increases local authority capacity and skills in flood risk management</w:t>
            </w:r>
          </w:p>
        </w:tc>
        <w:tc>
          <w:tcPr>
            <w:tcW w:w="917" w:type="dxa"/>
            <w:shd w:val="clear" w:color="auto" w:fill="D8E6F0"/>
          </w:tcPr>
          <w:p>
            <w:pPr>
              <w:pStyle w:val="TableParagraph"/>
              <w:spacing w:line="254" w:lineRule="auto" w:before="51"/>
              <w:ind w:left="14" w:right="172"/>
              <w:rPr>
                <w:sz w:val="10"/>
              </w:rPr>
            </w:pPr>
            <w:r>
              <w:rPr>
                <w:sz w:val="10"/>
              </w:rPr>
              <w:t>LCC Flood Risk Management</w:t>
            </w:r>
          </w:p>
        </w:tc>
        <w:tc>
          <w:tcPr>
            <w:tcW w:w="1114" w:type="dxa"/>
            <w:shd w:val="clear" w:color="auto" w:fill="D8E6F0"/>
          </w:tcPr>
          <w:p>
            <w:pPr>
              <w:pStyle w:val="TableParagraph"/>
              <w:spacing w:before="1"/>
              <w:rPr>
                <w:rFonts w:ascii="Calibri"/>
                <w:sz w:val="9"/>
              </w:rPr>
            </w:pPr>
          </w:p>
          <w:p>
            <w:pPr>
              <w:pStyle w:val="TableParagraph"/>
              <w:ind w:left="14"/>
              <w:rPr>
                <w:sz w:val="10"/>
              </w:rPr>
            </w:pPr>
            <w:r>
              <w:rPr>
                <w:sz w:val="10"/>
              </w:rPr>
              <w:t>Environment Agency</w:t>
            </w:r>
          </w:p>
        </w:tc>
        <w:tc>
          <w:tcPr>
            <w:tcW w:w="670" w:type="dxa"/>
            <w:shd w:val="clear" w:color="auto" w:fill="D8E6F0"/>
          </w:tcPr>
          <w:p>
            <w:pPr>
              <w:pStyle w:val="TableParagraph"/>
              <w:spacing w:before="1"/>
              <w:rPr>
                <w:rFonts w:ascii="Calibri"/>
                <w:sz w:val="9"/>
              </w:rPr>
            </w:pPr>
          </w:p>
          <w:p>
            <w:pPr>
              <w:pStyle w:val="TableParagraph"/>
              <w:ind w:left="14"/>
              <w:rPr>
                <w:sz w:val="10"/>
              </w:rPr>
            </w:pPr>
            <w:r>
              <w:rPr>
                <w:sz w:val="10"/>
              </w:rPr>
              <w:t>17/10/2018</w:t>
            </w:r>
          </w:p>
        </w:tc>
      </w:tr>
      <w:tr>
        <w:trPr>
          <w:trHeight w:val="590" w:hRule="atLeast"/>
        </w:trPr>
        <w:tc>
          <w:tcPr>
            <w:tcW w:w="305" w:type="dxa"/>
          </w:tcPr>
          <w:p>
            <w:pPr>
              <w:pStyle w:val="TableParagraph"/>
              <w:rPr>
                <w:rFonts w:ascii="Calibri"/>
                <w:sz w:val="12"/>
              </w:rPr>
            </w:pPr>
          </w:p>
          <w:p>
            <w:pPr>
              <w:pStyle w:val="TableParagraph"/>
              <w:spacing w:before="82"/>
              <w:ind w:left="18"/>
              <w:rPr>
                <w:sz w:val="11"/>
              </w:rPr>
            </w:pPr>
            <w:r>
              <w:rPr>
                <w:w w:val="105"/>
                <w:sz w:val="11"/>
              </w:rPr>
              <w:t>P13</w:t>
            </w:r>
          </w:p>
        </w:tc>
        <w:tc>
          <w:tcPr>
            <w:tcW w:w="715"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ind w:right="141"/>
              <w:jc w:val="right"/>
              <w:rPr>
                <w:b/>
                <w:sz w:val="10"/>
              </w:rPr>
            </w:pPr>
            <w:r>
              <w:rPr>
                <w:b/>
                <w:sz w:val="10"/>
              </w:rPr>
              <w:t>MEDIUM</w:t>
            </w:r>
          </w:p>
        </w:tc>
        <w:tc>
          <w:tcPr>
            <w:tcW w:w="1505"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ind w:left="542"/>
              <w:rPr>
                <w:b/>
                <w:sz w:val="10"/>
              </w:rPr>
            </w:pPr>
            <w:r>
              <w:rPr>
                <w:b/>
                <w:sz w:val="10"/>
              </w:rPr>
              <w:t>Ongoing</w:t>
            </w:r>
          </w:p>
        </w:tc>
        <w:tc>
          <w:tcPr>
            <w:tcW w:w="4145" w:type="dxa"/>
            <w:shd w:val="clear" w:color="auto" w:fill="D8E6F0"/>
          </w:tcPr>
          <w:p>
            <w:pPr>
              <w:pStyle w:val="TableParagraph"/>
              <w:rPr>
                <w:rFonts w:ascii="Calibri"/>
                <w:sz w:val="14"/>
              </w:rPr>
            </w:pPr>
          </w:p>
          <w:p>
            <w:pPr>
              <w:pStyle w:val="TableParagraph"/>
              <w:spacing w:line="254" w:lineRule="auto"/>
              <w:ind w:left="16"/>
              <w:rPr>
                <w:sz w:val="10"/>
              </w:rPr>
            </w:pPr>
            <w:r>
              <w:rPr>
                <w:sz w:val="10"/>
              </w:rPr>
              <w:t>Significantly increase the percentage take-up of properties registered for flood warnings in flood warning areas across city. City wide campaign as current take-up is low.</w:t>
            </w:r>
          </w:p>
        </w:tc>
        <w:tc>
          <w:tcPr>
            <w:tcW w:w="927"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ind w:left="236" w:right="228"/>
              <w:jc w:val="center"/>
              <w:rPr>
                <w:sz w:val="10"/>
              </w:rPr>
            </w:pPr>
            <w:r>
              <w:rPr>
                <w:sz w:val="10"/>
              </w:rPr>
              <w:t>City wide</w:t>
            </w:r>
          </w:p>
        </w:tc>
        <w:tc>
          <w:tcPr>
            <w:tcW w:w="1707" w:type="dxa"/>
            <w:shd w:val="clear" w:color="auto" w:fill="D8E6F0"/>
          </w:tcPr>
          <w:p>
            <w:pPr>
              <w:pStyle w:val="TableParagraph"/>
              <w:rPr>
                <w:rFonts w:ascii="Calibri"/>
                <w:sz w:val="14"/>
              </w:rPr>
            </w:pPr>
          </w:p>
          <w:p>
            <w:pPr>
              <w:pStyle w:val="TableParagraph"/>
              <w:spacing w:line="254" w:lineRule="auto"/>
              <w:ind w:left="15" w:right="127"/>
              <w:rPr>
                <w:sz w:val="10"/>
              </w:rPr>
            </w:pPr>
            <w:r>
              <w:rPr>
                <w:sz w:val="10"/>
              </w:rPr>
              <w:t>1. Flood awareness, response and recovery</w:t>
            </w:r>
          </w:p>
        </w:tc>
        <w:tc>
          <w:tcPr>
            <w:tcW w:w="4145" w:type="dxa"/>
            <w:shd w:val="clear" w:color="auto" w:fill="D8E6F0"/>
          </w:tcPr>
          <w:p>
            <w:pPr>
              <w:pStyle w:val="TableParagraph"/>
              <w:rPr>
                <w:rFonts w:ascii="Calibri"/>
                <w:sz w:val="14"/>
              </w:rPr>
            </w:pPr>
          </w:p>
          <w:p>
            <w:pPr>
              <w:pStyle w:val="TableParagraph"/>
              <w:spacing w:line="254" w:lineRule="auto"/>
              <w:ind w:left="14" w:right="50"/>
              <w:rPr>
                <w:sz w:val="10"/>
              </w:rPr>
            </w:pPr>
            <w:r>
              <w:rPr>
                <w:sz w:val="10"/>
              </w:rPr>
              <w:t>5. Increase community awareness of flood risk and the work of the LLFA in managing this risk</w:t>
            </w:r>
          </w:p>
        </w:tc>
        <w:tc>
          <w:tcPr>
            <w:tcW w:w="4145" w:type="dxa"/>
            <w:shd w:val="clear" w:color="auto" w:fill="D8E6F0"/>
          </w:tcPr>
          <w:p>
            <w:pPr>
              <w:pStyle w:val="TableParagraph"/>
              <w:rPr>
                <w:rFonts w:ascii="Calibri"/>
                <w:sz w:val="14"/>
              </w:rPr>
            </w:pPr>
          </w:p>
          <w:p>
            <w:pPr>
              <w:pStyle w:val="TableParagraph"/>
              <w:spacing w:line="254" w:lineRule="auto"/>
              <w:ind w:left="14" w:right="50"/>
              <w:rPr>
                <w:sz w:val="10"/>
              </w:rPr>
            </w:pPr>
            <w:r>
              <w:rPr>
                <w:sz w:val="10"/>
              </w:rPr>
              <w:t>This measure is listed in the Aire CFMP for the Leeds Policy Unit - to be progressed by 2030.</w:t>
            </w:r>
          </w:p>
        </w:tc>
        <w:tc>
          <w:tcPr>
            <w:tcW w:w="1783" w:type="dxa"/>
            <w:shd w:val="clear" w:color="auto" w:fill="D8E6F0"/>
          </w:tcPr>
          <w:p>
            <w:pPr>
              <w:pStyle w:val="TableParagraph"/>
              <w:spacing w:line="104" w:lineRule="exact"/>
              <w:ind w:left="14"/>
              <w:rPr>
                <w:sz w:val="10"/>
              </w:rPr>
            </w:pPr>
            <w:r>
              <w:rPr>
                <w:sz w:val="10"/>
              </w:rPr>
              <w:t>The consequences of flooding will be</w:t>
            </w:r>
          </w:p>
          <w:p>
            <w:pPr>
              <w:pStyle w:val="TableParagraph"/>
              <w:spacing w:line="120" w:lineRule="atLeast" w:before="2"/>
              <w:ind w:left="14" w:right="193"/>
              <w:rPr>
                <w:sz w:val="10"/>
              </w:rPr>
            </w:pPr>
            <w:r>
              <w:rPr>
                <w:sz w:val="10"/>
              </w:rPr>
              <w:t>reduced through the increased potential for effective action to take place following receipt of a flood warning</w:t>
            </w:r>
          </w:p>
        </w:tc>
        <w:tc>
          <w:tcPr>
            <w:tcW w:w="917" w:type="dxa"/>
            <w:shd w:val="clear" w:color="auto" w:fill="D8E6F0"/>
          </w:tcPr>
          <w:p>
            <w:pPr>
              <w:pStyle w:val="TableParagraph"/>
              <w:rPr>
                <w:rFonts w:ascii="Calibri"/>
                <w:sz w:val="14"/>
              </w:rPr>
            </w:pPr>
          </w:p>
          <w:p>
            <w:pPr>
              <w:pStyle w:val="TableParagraph"/>
              <w:spacing w:line="254" w:lineRule="auto"/>
              <w:ind w:left="14" w:right="311"/>
              <w:rPr>
                <w:sz w:val="10"/>
              </w:rPr>
            </w:pPr>
            <w:r>
              <w:rPr>
                <w:sz w:val="10"/>
              </w:rPr>
              <w:t>Environment Agency</w:t>
            </w:r>
          </w:p>
        </w:tc>
        <w:tc>
          <w:tcPr>
            <w:tcW w:w="1114"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ind w:left="14"/>
              <w:rPr>
                <w:sz w:val="10"/>
              </w:rPr>
            </w:pPr>
            <w:r>
              <w:rPr>
                <w:sz w:val="10"/>
              </w:rPr>
              <w:t>Leeds City Council</w:t>
            </w:r>
          </w:p>
        </w:tc>
        <w:tc>
          <w:tcPr>
            <w:tcW w:w="670"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ind w:left="13"/>
              <w:rPr>
                <w:sz w:val="10"/>
              </w:rPr>
            </w:pPr>
            <w:r>
              <w:rPr>
                <w:sz w:val="10"/>
              </w:rPr>
              <w:t>17/10/2018</w:t>
            </w:r>
          </w:p>
        </w:tc>
      </w:tr>
      <w:tr>
        <w:trPr>
          <w:trHeight w:val="590" w:hRule="atLeast"/>
        </w:trPr>
        <w:tc>
          <w:tcPr>
            <w:tcW w:w="305" w:type="dxa"/>
          </w:tcPr>
          <w:p>
            <w:pPr>
              <w:pStyle w:val="TableParagraph"/>
              <w:rPr>
                <w:rFonts w:ascii="Calibri"/>
                <w:sz w:val="12"/>
              </w:rPr>
            </w:pPr>
          </w:p>
          <w:p>
            <w:pPr>
              <w:pStyle w:val="TableParagraph"/>
              <w:spacing w:before="82"/>
              <w:ind w:left="19"/>
              <w:rPr>
                <w:sz w:val="11"/>
              </w:rPr>
            </w:pPr>
            <w:r>
              <w:rPr>
                <w:w w:val="105"/>
                <w:sz w:val="11"/>
              </w:rPr>
              <w:t>P10</w:t>
            </w:r>
          </w:p>
        </w:tc>
        <w:tc>
          <w:tcPr>
            <w:tcW w:w="715"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ind w:right="141"/>
              <w:jc w:val="right"/>
              <w:rPr>
                <w:b/>
                <w:sz w:val="10"/>
              </w:rPr>
            </w:pPr>
            <w:r>
              <w:rPr>
                <w:b/>
                <w:sz w:val="10"/>
              </w:rPr>
              <w:t>MEDIUM</w:t>
            </w:r>
          </w:p>
        </w:tc>
        <w:tc>
          <w:tcPr>
            <w:tcW w:w="1505"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ind w:left="539"/>
              <w:rPr>
                <w:b/>
                <w:sz w:val="10"/>
              </w:rPr>
            </w:pPr>
            <w:r>
              <w:rPr>
                <w:b/>
                <w:sz w:val="10"/>
              </w:rPr>
              <w:t>Annually</w:t>
            </w:r>
          </w:p>
        </w:tc>
        <w:tc>
          <w:tcPr>
            <w:tcW w:w="4145" w:type="dxa"/>
            <w:shd w:val="clear" w:color="auto" w:fill="D8E6F0"/>
          </w:tcPr>
          <w:p>
            <w:pPr>
              <w:pStyle w:val="TableParagraph"/>
              <w:rPr>
                <w:rFonts w:ascii="Calibri"/>
                <w:sz w:val="14"/>
              </w:rPr>
            </w:pPr>
          </w:p>
          <w:p>
            <w:pPr>
              <w:pStyle w:val="TableParagraph"/>
              <w:spacing w:line="254" w:lineRule="auto"/>
              <w:ind w:left="16"/>
              <w:rPr>
                <w:sz w:val="10"/>
              </w:rPr>
            </w:pPr>
            <w:r>
              <w:rPr>
                <w:sz w:val="10"/>
              </w:rPr>
              <w:t>Review and update Emergency Handbook, Generic Flooding Plan, Community Flood Action Plans, West Yorkshire Major Flood Incident Plan, Reservoir Emergency Plan.</w:t>
            </w:r>
          </w:p>
        </w:tc>
        <w:tc>
          <w:tcPr>
            <w:tcW w:w="927"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ind w:left="8"/>
              <w:jc w:val="center"/>
              <w:rPr>
                <w:sz w:val="10"/>
              </w:rPr>
            </w:pPr>
            <w:r>
              <w:rPr>
                <w:w w:val="100"/>
                <w:sz w:val="10"/>
              </w:rPr>
              <w:t>-</w:t>
            </w:r>
          </w:p>
        </w:tc>
        <w:tc>
          <w:tcPr>
            <w:tcW w:w="1707" w:type="dxa"/>
            <w:shd w:val="clear" w:color="auto" w:fill="D8E6F0"/>
          </w:tcPr>
          <w:p>
            <w:pPr>
              <w:pStyle w:val="TableParagraph"/>
              <w:rPr>
                <w:rFonts w:ascii="Calibri"/>
                <w:sz w:val="14"/>
              </w:rPr>
            </w:pPr>
          </w:p>
          <w:p>
            <w:pPr>
              <w:pStyle w:val="TableParagraph"/>
              <w:spacing w:line="254" w:lineRule="auto"/>
              <w:ind w:left="15" w:right="127"/>
              <w:rPr>
                <w:sz w:val="10"/>
              </w:rPr>
            </w:pPr>
            <w:r>
              <w:rPr>
                <w:sz w:val="10"/>
              </w:rPr>
              <w:t>1. Flood awareness, response and recovery</w:t>
            </w:r>
          </w:p>
        </w:tc>
        <w:tc>
          <w:tcPr>
            <w:tcW w:w="4145"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ind w:left="15"/>
              <w:rPr>
                <w:sz w:val="10"/>
              </w:rPr>
            </w:pPr>
            <w:r>
              <w:rPr>
                <w:sz w:val="10"/>
              </w:rPr>
              <w:t>1. Improve co-operation between LLFA and other RMAs</w:t>
            </w:r>
          </w:p>
        </w:tc>
        <w:tc>
          <w:tcPr>
            <w:tcW w:w="4145" w:type="dxa"/>
            <w:shd w:val="clear" w:color="auto" w:fill="D8E6F0"/>
          </w:tcPr>
          <w:p>
            <w:pPr>
              <w:pStyle w:val="TableParagraph"/>
              <w:spacing w:before="11"/>
              <w:rPr>
                <w:rFonts w:ascii="Calibri"/>
                <w:sz w:val="8"/>
              </w:rPr>
            </w:pPr>
          </w:p>
          <w:p>
            <w:pPr>
              <w:pStyle w:val="TableParagraph"/>
              <w:spacing w:line="254" w:lineRule="auto"/>
              <w:ind w:left="14" w:right="50"/>
              <w:rPr>
                <w:sz w:val="10"/>
              </w:rPr>
            </w:pPr>
            <w:r>
              <w:rPr>
                <w:sz w:val="10"/>
              </w:rPr>
              <w:t>Plans need to be updated with latest contact details, departments and processes. SG/IH have discussed with Paul Seddon in Peacetime Emergency Planning Unit and he is progressing this. This measure is listed in the Aire CFMP for the Leeds Policy Unit.</w:t>
            </w:r>
          </w:p>
        </w:tc>
        <w:tc>
          <w:tcPr>
            <w:tcW w:w="1783" w:type="dxa"/>
            <w:shd w:val="clear" w:color="auto" w:fill="D8E6F0"/>
          </w:tcPr>
          <w:p>
            <w:pPr>
              <w:pStyle w:val="TableParagraph"/>
              <w:spacing w:line="254" w:lineRule="auto" w:before="49"/>
              <w:ind w:left="14" w:right="32"/>
              <w:rPr>
                <w:sz w:val="10"/>
              </w:rPr>
            </w:pPr>
            <w:r>
              <w:rPr>
                <w:sz w:val="10"/>
              </w:rPr>
              <w:t>Ensures plans for coordination of FRM activities in the event of a flood are up to date and consequences and disruption of flooding are minimised.</w:t>
            </w:r>
          </w:p>
        </w:tc>
        <w:tc>
          <w:tcPr>
            <w:tcW w:w="917" w:type="dxa"/>
            <w:shd w:val="clear" w:color="auto" w:fill="D8E6F0"/>
          </w:tcPr>
          <w:p>
            <w:pPr>
              <w:pStyle w:val="TableParagraph"/>
              <w:spacing w:before="11"/>
              <w:rPr>
                <w:rFonts w:ascii="Calibri"/>
                <w:sz w:val="8"/>
              </w:rPr>
            </w:pPr>
          </w:p>
          <w:p>
            <w:pPr>
              <w:pStyle w:val="TableParagraph"/>
              <w:spacing w:line="254" w:lineRule="auto"/>
              <w:ind w:left="14" w:right="278"/>
              <w:rPr>
                <w:sz w:val="10"/>
              </w:rPr>
            </w:pPr>
            <w:r>
              <w:rPr>
                <w:sz w:val="10"/>
              </w:rPr>
              <w:t>Peacetime Emergency Planning Unit</w:t>
            </w:r>
          </w:p>
        </w:tc>
        <w:tc>
          <w:tcPr>
            <w:tcW w:w="1114" w:type="dxa"/>
            <w:shd w:val="clear" w:color="auto" w:fill="D8E6F0"/>
          </w:tcPr>
          <w:p>
            <w:pPr>
              <w:pStyle w:val="TableParagraph"/>
              <w:spacing w:before="11"/>
              <w:rPr>
                <w:rFonts w:ascii="Calibri"/>
                <w:sz w:val="8"/>
              </w:rPr>
            </w:pPr>
          </w:p>
          <w:p>
            <w:pPr>
              <w:pStyle w:val="TableParagraph"/>
              <w:spacing w:line="254" w:lineRule="auto"/>
              <w:ind w:left="14" w:right="52"/>
              <w:rPr>
                <w:sz w:val="10"/>
              </w:rPr>
            </w:pPr>
            <w:r>
              <w:rPr>
                <w:sz w:val="10"/>
              </w:rPr>
              <w:t>Environment Agency &amp; West Yorkshire Authorities</w:t>
            </w:r>
          </w:p>
        </w:tc>
        <w:tc>
          <w:tcPr>
            <w:tcW w:w="670" w:type="dxa"/>
            <w:shd w:val="clear" w:color="auto" w:fill="D8E6F0"/>
          </w:tcPr>
          <w:p>
            <w:pPr>
              <w:pStyle w:val="TableParagraph"/>
              <w:rPr>
                <w:rFonts w:ascii="Calibri"/>
                <w:sz w:val="10"/>
              </w:rPr>
            </w:pPr>
          </w:p>
          <w:p>
            <w:pPr>
              <w:pStyle w:val="TableParagraph"/>
              <w:spacing w:before="11"/>
              <w:rPr>
                <w:rFonts w:ascii="Calibri"/>
                <w:sz w:val="8"/>
              </w:rPr>
            </w:pPr>
          </w:p>
          <w:p>
            <w:pPr>
              <w:pStyle w:val="TableParagraph"/>
              <w:ind w:left="14"/>
              <w:rPr>
                <w:sz w:val="10"/>
              </w:rPr>
            </w:pPr>
            <w:r>
              <w:rPr>
                <w:sz w:val="10"/>
              </w:rPr>
              <w:t>17/10/2018</w:t>
            </w:r>
          </w:p>
        </w:tc>
      </w:tr>
      <w:tr>
        <w:trPr>
          <w:trHeight w:val="830" w:hRule="atLeast"/>
        </w:trPr>
        <w:tc>
          <w:tcPr>
            <w:tcW w:w="305" w:type="dxa"/>
          </w:tcPr>
          <w:p>
            <w:pPr>
              <w:pStyle w:val="TableParagraph"/>
              <w:rPr>
                <w:rFonts w:ascii="Calibri"/>
                <w:sz w:val="12"/>
              </w:rPr>
            </w:pPr>
          </w:p>
          <w:p>
            <w:pPr>
              <w:pStyle w:val="TableParagraph"/>
              <w:spacing w:before="7"/>
              <w:rPr>
                <w:rFonts w:ascii="Calibri"/>
                <w:sz w:val="16"/>
              </w:rPr>
            </w:pPr>
          </w:p>
          <w:p>
            <w:pPr>
              <w:pStyle w:val="TableParagraph"/>
              <w:ind w:left="19"/>
              <w:rPr>
                <w:sz w:val="11"/>
              </w:rPr>
            </w:pPr>
            <w:r>
              <w:rPr>
                <w:w w:val="105"/>
                <w:sz w:val="11"/>
              </w:rPr>
              <w:t>P17</w:t>
            </w:r>
          </w:p>
        </w:tc>
        <w:tc>
          <w:tcPr>
            <w:tcW w:w="715" w:type="dxa"/>
            <w:shd w:val="clear" w:color="auto" w:fill="FFFF9A"/>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239"/>
              <w:rPr>
                <w:b/>
                <w:sz w:val="10"/>
              </w:rPr>
            </w:pPr>
            <w:r>
              <w:rPr>
                <w:b/>
                <w:sz w:val="10"/>
              </w:rPr>
              <w:t>LOW</w:t>
            </w:r>
          </w:p>
        </w:tc>
        <w:tc>
          <w:tcPr>
            <w:tcW w:w="1505" w:type="dxa"/>
            <w:shd w:val="clear" w:color="auto" w:fill="FFFF9A"/>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472"/>
              <w:rPr>
                <w:b/>
                <w:sz w:val="10"/>
              </w:rPr>
            </w:pPr>
            <w:r>
              <w:rPr>
                <w:b/>
                <w:sz w:val="10"/>
              </w:rPr>
              <w:t>As required</w:t>
            </w:r>
          </w:p>
        </w:tc>
        <w:tc>
          <w:tcPr>
            <w:tcW w:w="4145" w:type="dxa"/>
            <w:shd w:val="clear" w:color="auto" w:fill="FFFF9A"/>
          </w:tcPr>
          <w:p>
            <w:pPr>
              <w:pStyle w:val="TableParagraph"/>
              <w:spacing w:line="101" w:lineRule="exact"/>
              <w:ind w:left="16"/>
              <w:rPr>
                <w:sz w:val="10"/>
              </w:rPr>
            </w:pPr>
            <w:r>
              <w:rPr>
                <w:sz w:val="10"/>
              </w:rPr>
              <w:t>Maintain internet and intranet web pages to provide comprehensive information to all</w:t>
            </w:r>
          </w:p>
          <w:p>
            <w:pPr>
              <w:pStyle w:val="TableParagraph"/>
              <w:spacing w:before="7"/>
              <w:ind w:left="16"/>
              <w:rPr>
                <w:sz w:val="10"/>
              </w:rPr>
            </w:pPr>
            <w:r>
              <w:rPr>
                <w:sz w:val="10"/>
              </w:rPr>
              <w:t>stakeholders on:</w:t>
            </w:r>
          </w:p>
          <w:p>
            <w:pPr>
              <w:pStyle w:val="TableParagraph"/>
              <w:spacing w:before="8"/>
              <w:rPr>
                <w:rFonts w:ascii="Calibri"/>
                <w:sz w:val="10"/>
              </w:rPr>
            </w:pPr>
          </w:p>
          <w:p>
            <w:pPr>
              <w:pStyle w:val="TableParagraph"/>
              <w:numPr>
                <w:ilvl w:val="0"/>
                <w:numId w:val="70"/>
              </w:numPr>
              <w:tabs>
                <w:tab w:pos="78" w:val="left" w:leader="none"/>
              </w:tabs>
              <w:spacing w:line="240" w:lineRule="auto" w:before="0" w:after="0"/>
              <w:ind w:left="78" w:right="0" w:hanging="62"/>
              <w:jc w:val="left"/>
              <w:rPr>
                <w:sz w:val="10"/>
              </w:rPr>
            </w:pPr>
            <w:r>
              <w:rPr>
                <w:sz w:val="10"/>
              </w:rPr>
              <w:t>The sources of flooding and who is responsible for what;</w:t>
            </w:r>
          </w:p>
          <w:p>
            <w:pPr>
              <w:pStyle w:val="TableParagraph"/>
              <w:numPr>
                <w:ilvl w:val="0"/>
                <w:numId w:val="70"/>
              </w:numPr>
              <w:tabs>
                <w:tab w:pos="78" w:val="left" w:leader="none"/>
              </w:tabs>
              <w:spacing w:line="240" w:lineRule="auto" w:before="7" w:after="0"/>
              <w:ind w:left="78" w:right="0" w:hanging="62"/>
              <w:jc w:val="left"/>
              <w:rPr>
                <w:sz w:val="10"/>
              </w:rPr>
            </w:pPr>
            <w:r>
              <w:rPr>
                <w:sz w:val="10"/>
              </w:rPr>
              <w:t>How to prepare for flooding</w:t>
            </w:r>
            <w:r>
              <w:rPr>
                <w:spacing w:val="-1"/>
                <w:sz w:val="10"/>
              </w:rPr>
              <w:t> </w:t>
            </w:r>
            <w:r>
              <w:rPr>
                <w:sz w:val="10"/>
              </w:rPr>
              <w:t>emergencies;</w:t>
            </w:r>
          </w:p>
          <w:p>
            <w:pPr>
              <w:pStyle w:val="TableParagraph"/>
              <w:numPr>
                <w:ilvl w:val="0"/>
                <w:numId w:val="70"/>
              </w:numPr>
              <w:tabs>
                <w:tab w:pos="78" w:val="left" w:leader="none"/>
              </w:tabs>
              <w:spacing w:line="240" w:lineRule="auto" w:before="8" w:after="0"/>
              <w:ind w:left="78" w:right="0" w:hanging="62"/>
              <w:jc w:val="left"/>
              <w:rPr>
                <w:sz w:val="10"/>
              </w:rPr>
            </w:pPr>
            <w:r>
              <w:rPr>
                <w:sz w:val="10"/>
              </w:rPr>
              <w:t>What to do when flooding occurs and who to report this</w:t>
            </w:r>
            <w:r>
              <w:rPr>
                <w:spacing w:val="1"/>
                <w:sz w:val="10"/>
              </w:rPr>
              <w:t> </w:t>
            </w:r>
            <w:r>
              <w:rPr>
                <w:sz w:val="10"/>
              </w:rPr>
              <w:t>to;</w:t>
            </w:r>
          </w:p>
          <w:p>
            <w:pPr>
              <w:pStyle w:val="TableParagraph"/>
              <w:numPr>
                <w:ilvl w:val="0"/>
                <w:numId w:val="70"/>
              </w:numPr>
              <w:tabs>
                <w:tab w:pos="78" w:val="left" w:leader="none"/>
              </w:tabs>
              <w:spacing w:line="89" w:lineRule="exact" w:before="7" w:after="0"/>
              <w:ind w:left="78" w:right="0" w:hanging="62"/>
              <w:jc w:val="left"/>
              <w:rPr>
                <w:sz w:val="10"/>
              </w:rPr>
            </w:pPr>
            <w:r>
              <w:rPr>
                <w:sz w:val="10"/>
              </w:rPr>
              <w:t>How flood risk is treated within the planning</w:t>
            </w:r>
            <w:r>
              <w:rPr>
                <w:spacing w:val="-2"/>
                <w:sz w:val="10"/>
              </w:rPr>
              <w:t> </w:t>
            </w:r>
            <w:r>
              <w:rPr>
                <w:sz w:val="10"/>
              </w:rPr>
              <w:t>process.</w:t>
            </w:r>
          </w:p>
        </w:tc>
        <w:tc>
          <w:tcPr>
            <w:tcW w:w="927" w:type="dxa"/>
            <w:shd w:val="clear" w:color="auto" w:fill="FFFF9A"/>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8"/>
              <w:jc w:val="center"/>
              <w:rPr>
                <w:sz w:val="10"/>
              </w:rPr>
            </w:pPr>
            <w:r>
              <w:rPr>
                <w:w w:val="100"/>
                <w:sz w:val="10"/>
              </w:rPr>
              <w:t>-</w:t>
            </w:r>
          </w:p>
        </w:tc>
        <w:tc>
          <w:tcPr>
            <w:tcW w:w="1707" w:type="dxa"/>
            <w:shd w:val="clear" w:color="auto" w:fill="FFFF9A"/>
          </w:tcPr>
          <w:p>
            <w:pPr>
              <w:pStyle w:val="TableParagraph"/>
              <w:rPr>
                <w:rFonts w:ascii="Calibri"/>
                <w:sz w:val="10"/>
              </w:rPr>
            </w:pPr>
          </w:p>
          <w:p>
            <w:pPr>
              <w:pStyle w:val="TableParagraph"/>
              <w:spacing w:before="10"/>
              <w:rPr>
                <w:rFonts w:ascii="Calibri"/>
                <w:sz w:val="13"/>
              </w:rPr>
            </w:pPr>
          </w:p>
          <w:p>
            <w:pPr>
              <w:pStyle w:val="TableParagraph"/>
              <w:spacing w:line="254" w:lineRule="auto"/>
              <w:ind w:left="15" w:right="127"/>
              <w:rPr>
                <w:sz w:val="10"/>
              </w:rPr>
            </w:pPr>
            <w:r>
              <w:rPr>
                <w:sz w:val="10"/>
              </w:rPr>
              <w:t>1. Flood awareness, response and recovery</w:t>
            </w:r>
          </w:p>
        </w:tc>
        <w:tc>
          <w:tcPr>
            <w:tcW w:w="4145" w:type="dxa"/>
            <w:shd w:val="clear" w:color="auto" w:fill="FFFF9A"/>
          </w:tcPr>
          <w:p>
            <w:pPr>
              <w:pStyle w:val="TableParagraph"/>
              <w:rPr>
                <w:rFonts w:ascii="Calibri"/>
                <w:sz w:val="10"/>
              </w:rPr>
            </w:pPr>
          </w:p>
          <w:p>
            <w:pPr>
              <w:pStyle w:val="TableParagraph"/>
              <w:spacing w:before="10"/>
              <w:rPr>
                <w:rFonts w:ascii="Calibri"/>
                <w:sz w:val="13"/>
              </w:rPr>
            </w:pPr>
          </w:p>
          <w:p>
            <w:pPr>
              <w:pStyle w:val="TableParagraph"/>
              <w:spacing w:line="254" w:lineRule="auto"/>
              <w:ind w:left="15" w:right="50"/>
              <w:rPr>
                <w:sz w:val="10"/>
              </w:rPr>
            </w:pPr>
            <w:r>
              <w:rPr>
                <w:sz w:val="10"/>
              </w:rPr>
              <w:t>5. Increase community awareness of flood risk and the work of the LLFA in managing this risk</w:t>
            </w:r>
          </w:p>
        </w:tc>
        <w:tc>
          <w:tcPr>
            <w:tcW w:w="4145" w:type="dxa"/>
            <w:shd w:val="clear" w:color="auto" w:fill="FFFF9A"/>
          </w:tcPr>
          <w:p>
            <w:pPr>
              <w:pStyle w:val="TableParagraph"/>
              <w:rPr>
                <w:rFonts w:ascii="Calibri"/>
                <w:sz w:val="10"/>
              </w:rPr>
            </w:pPr>
          </w:p>
          <w:p>
            <w:pPr>
              <w:pStyle w:val="TableParagraph"/>
              <w:spacing w:before="10"/>
              <w:rPr>
                <w:rFonts w:ascii="Calibri"/>
                <w:sz w:val="13"/>
              </w:rPr>
            </w:pPr>
          </w:p>
          <w:p>
            <w:pPr>
              <w:pStyle w:val="TableParagraph"/>
              <w:spacing w:line="254" w:lineRule="auto"/>
              <w:ind w:left="14" w:right="50"/>
              <w:rPr>
                <w:sz w:val="10"/>
              </w:rPr>
            </w:pPr>
            <w:r>
              <w:rPr>
                <w:sz w:val="10"/>
              </w:rPr>
              <w:t>Internet and intranet pages in place and launched. Further feedback required from services on on-going basis.</w:t>
            </w:r>
          </w:p>
        </w:tc>
        <w:tc>
          <w:tcPr>
            <w:tcW w:w="1783" w:type="dxa"/>
            <w:shd w:val="clear" w:color="auto" w:fill="FFFF9A"/>
          </w:tcPr>
          <w:p>
            <w:pPr>
              <w:pStyle w:val="TableParagraph"/>
              <w:rPr>
                <w:rFonts w:ascii="Calibri"/>
                <w:sz w:val="10"/>
              </w:rPr>
            </w:pPr>
          </w:p>
          <w:p>
            <w:pPr>
              <w:pStyle w:val="TableParagraph"/>
              <w:spacing w:before="9"/>
              <w:rPr>
                <w:rFonts w:ascii="Calibri"/>
                <w:sz w:val="8"/>
              </w:rPr>
            </w:pPr>
          </w:p>
          <w:p>
            <w:pPr>
              <w:pStyle w:val="TableParagraph"/>
              <w:spacing w:line="254" w:lineRule="auto"/>
              <w:ind w:left="14" w:right="188"/>
              <w:rPr>
                <w:sz w:val="10"/>
              </w:rPr>
            </w:pPr>
            <w:r>
              <w:rPr>
                <w:sz w:val="10"/>
              </w:rPr>
              <w:t>Ensures that there is a single consistent source of information on flood risk management.</w:t>
            </w:r>
          </w:p>
        </w:tc>
        <w:tc>
          <w:tcPr>
            <w:tcW w:w="917" w:type="dxa"/>
            <w:shd w:val="clear" w:color="auto" w:fill="FFFF9A"/>
          </w:tcPr>
          <w:p>
            <w:pPr>
              <w:pStyle w:val="TableParagraph"/>
              <w:rPr>
                <w:rFonts w:ascii="Calibri"/>
                <w:sz w:val="10"/>
              </w:rPr>
            </w:pPr>
          </w:p>
          <w:p>
            <w:pPr>
              <w:pStyle w:val="TableParagraph"/>
              <w:spacing w:before="10"/>
              <w:rPr>
                <w:rFonts w:ascii="Calibri"/>
                <w:sz w:val="13"/>
              </w:rPr>
            </w:pPr>
          </w:p>
          <w:p>
            <w:pPr>
              <w:pStyle w:val="TableParagraph"/>
              <w:spacing w:line="254" w:lineRule="auto"/>
              <w:ind w:left="14" w:right="172"/>
              <w:rPr>
                <w:sz w:val="10"/>
              </w:rPr>
            </w:pPr>
            <w:r>
              <w:rPr>
                <w:sz w:val="10"/>
              </w:rPr>
              <w:t>LCC Flood Risk Management</w:t>
            </w:r>
          </w:p>
        </w:tc>
        <w:tc>
          <w:tcPr>
            <w:tcW w:w="1114" w:type="dxa"/>
            <w:shd w:val="clear" w:color="auto" w:fill="FFFF9A"/>
          </w:tcPr>
          <w:p>
            <w:pPr>
              <w:pStyle w:val="TableParagraph"/>
              <w:rPr>
                <w:rFonts w:ascii="Calibri"/>
                <w:sz w:val="10"/>
              </w:rPr>
            </w:pPr>
          </w:p>
          <w:p>
            <w:pPr>
              <w:pStyle w:val="TableParagraph"/>
              <w:spacing w:before="9"/>
              <w:rPr>
                <w:rFonts w:ascii="Calibri"/>
                <w:sz w:val="8"/>
              </w:rPr>
            </w:pPr>
          </w:p>
          <w:p>
            <w:pPr>
              <w:pStyle w:val="TableParagraph"/>
              <w:spacing w:line="254" w:lineRule="auto"/>
              <w:ind w:left="14" w:right="119"/>
              <w:rPr>
                <w:sz w:val="10"/>
              </w:rPr>
            </w:pPr>
            <w:r>
              <w:rPr>
                <w:sz w:val="10"/>
              </w:rPr>
              <w:t>Internal LCC departments and external stakeholders</w:t>
            </w:r>
          </w:p>
        </w:tc>
        <w:tc>
          <w:tcPr>
            <w:tcW w:w="670" w:type="dxa"/>
            <w:shd w:val="clear" w:color="auto" w:fill="FFFF9A"/>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4"/>
              <w:rPr>
                <w:sz w:val="10"/>
              </w:rPr>
            </w:pPr>
            <w:r>
              <w:rPr>
                <w:sz w:val="10"/>
              </w:rPr>
              <w:t>17/10/2018</w:t>
            </w:r>
          </w:p>
        </w:tc>
      </w:tr>
      <w:tr>
        <w:trPr>
          <w:trHeight w:val="830" w:hRule="atLeast"/>
        </w:trPr>
        <w:tc>
          <w:tcPr>
            <w:tcW w:w="305" w:type="dxa"/>
          </w:tcPr>
          <w:p>
            <w:pPr>
              <w:pStyle w:val="TableParagraph"/>
              <w:rPr>
                <w:rFonts w:ascii="Calibri"/>
                <w:sz w:val="12"/>
              </w:rPr>
            </w:pPr>
          </w:p>
          <w:p>
            <w:pPr>
              <w:pStyle w:val="TableParagraph"/>
              <w:spacing w:before="7"/>
              <w:rPr>
                <w:rFonts w:ascii="Calibri"/>
                <w:sz w:val="16"/>
              </w:rPr>
            </w:pPr>
          </w:p>
          <w:p>
            <w:pPr>
              <w:pStyle w:val="TableParagraph"/>
              <w:ind w:left="18"/>
              <w:rPr>
                <w:sz w:val="11"/>
              </w:rPr>
            </w:pPr>
            <w:r>
              <w:rPr>
                <w:w w:val="105"/>
                <w:sz w:val="11"/>
              </w:rPr>
              <w:t>P18</w:t>
            </w:r>
          </w:p>
        </w:tc>
        <w:tc>
          <w:tcPr>
            <w:tcW w:w="715" w:type="dxa"/>
            <w:shd w:val="clear" w:color="auto" w:fill="FFFF9A"/>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239"/>
              <w:rPr>
                <w:b/>
                <w:sz w:val="10"/>
              </w:rPr>
            </w:pPr>
            <w:r>
              <w:rPr>
                <w:b/>
                <w:sz w:val="10"/>
              </w:rPr>
              <w:t>LOW</w:t>
            </w:r>
          </w:p>
        </w:tc>
        <w:tc>
          <w:tcPr>
            <w:tcW w:w="1505" w:type="dxa"/>
            <w:shd w:val="clear" w:color="auto" w:fill="FFFF9A"/>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525"/>
              <w:rPr>
                <w:b/>
                <w:sz w:val="10"/>
              </w:rPr>
            </w:pPr>
            <w:r>
              <w:rPr>
                <w:b/>
                <w:sz w:val="10"/>
              </w:rPr>
              <w:t>On-going</w:t>
            </w:r>
          </w:p>
        </w:tc>
        <w:tc>
          <w:tcPr>
            <w:tcW w:w="4145" w:type="dxa"/>
            <w:shd w:val="clear" w:color="auto" w:fill="FFFF9A"/>
          </w:tcPr>
          <w:p>
            <w:pPr>
              <w:pStyle w:val="TableParagraph"/>
              <w:spacing w:line="101" w:lineRule="exact"/>
              <w:ind w:left="16"/>
              <w:rPr>
                <w:sz w:val="10"/>
              </w:rPr>
            </w:pPr>
            <w:r>
              <w:rPr>
                <w:sz w:val="10"/>
              </w:rPr>
              <w:t>Promote the use of sustainable design principles in all future developments to ensure that</w:t>
            </w:r>
          </w:p>
          <w:p>
            <w:pPr>
              <w:pStyle w:val="TableParagraph"/>
              <w:spacing w:before="7"/>
              <w:ind w:left="16"/>
              <w:rPr>
                <w:sz w:val="10"/>
              </w:rPr>
            </w:pPr>
            <w:r>
              <w:rPr>
                <w:sz w:val="10"/>
              </w:rPr>
              <w:t>the risk of flooding and climate change are fully taken into account e.g.</w:t>
            </w:r>
          </w:p>
          <w:p>
            <w:pPr>
              <w:pStyle w:val="TableParagraph"/>
              <w:numPr>
                <w:ilvl w:val="0"/>
                <w:numId w:val="71"/>
              </w:numPr>
              <w:tabs>
                <w:tab w:pos="78" w:val="left" w:leader="none"/>
              </w:tabs>
              <w:spacing w:line="240" w:lineRule="auto" w:before="8" w:after="0"/>
              <w:ind w:left="77" w:right="0" w:hanging="61"/>
              <w:jc w:val="left"/>
              <w:rPr>
                <w:sz w:val="10"/>
              </w:rPr>
            </w:pPr>
            <w:r>
              <w:rPr>
                <w:sz w:val="10"/>
              </w:rPr>
              <w:t>Promoting use of SuDS;</w:t>
            </w:r>
          </w:p>
          <w:p>
            <w:pPr>
              <w:pStyle w:val="TableParagraph"/>
              <w:numPr>
                <w:ilvl w:val="0"/>
                <w:numId w:val="71"/>
              </w:numPr>
              <w:tabs>
                <w:tab w:pos="78" w:val="left" w:leader="none"/>
              </w:tabs>
              <w:spacing w:line="240" w:lineRule="auto" w:before="7" w:after="0"/>
              <w:ind w:left="77" w:right="0" w:hanging="61"/>
              <w:jc w:val="left"/>
              <w:rPr>
                <w:sz w:val="10"/>
              </w:rPr>
            </w:pPr>
            <w:r>
              <w:rPr>
                <w:sz w:val="10"/>
              </w:rPr>
              <w:t>Incorporating policies and recommendations within Leeds LDF;</w:t>
            </w:r>
          </w:p>
          <w:p>
            <w:pPr>
              <w:pStyle w:val="TableParagraph"/>
              <w:numPr>
                <w:ilvl w:val="0"/>
                <w:numId w:val="71"/>
              </w:numPr>
              <w:tabs>
                <w:tab w:pos="78" w:val="left" w:leader="none"/>
              </w:tabs>
              <w:spacing w:line="240" w:lineRule="auto" w:before="7" w:after="0"/>
              <w:ind w:left="77" w:right="0" w:hanging="61"/>
              <w:jc w:val="left"/>
              <w:rPr>
                <w:sz w:val="10"/>
              </w:rPr>
            </w:pPr>
            <w:r>
              <w:rPr>
                <w:sz w:val="10"/>
              </w:rPr>
              <w:t>Developer contributions in Core</w:t>
            </w:r>
            <w:r>
              <w:rPr>
                <w:spacing w:val="-3"/>
                <w:sz w:val="10"/>
              </w:rPr>
              <w:t> </w:t>
            </w:r>
            <w:r>
              <w:rPr>
                <w:sz w:val="10"/>
              </w:rPr>
              <w:t>Strategy;</w:t>
            </w:r>
          </w:p>
          <w:p>
            <w:pPr>
              <w:pStyle w:val="TableParagraph"/>
              <w:numPr>
                <w:ilvl w:val="0"/>
                <w:numId w:val="71"/>
              </w:numPr>
              <w:tabs>
                <w:tab w:pos="78" w:val="left" w:leader="none"/>
              </w:tabs>
              <w:spacing w:line="240" w:lineRule="auto" w:before="8" w:after="0"/>
              <w:ind w:left="77" w:right="0" w:hanging="61"/>
              <w:jc w:val="left"/>
              <w:rPr>
                <w:sz w:val="10"/>
              </w:rPr>
            </w:pPr>
            <w:r>
              <w:rPr>
                <w:sz w:val="10"/>
              </w:rPr>
              <w:t>Biodiversity and local amenity,</w:t>
            </w:r>
            <w:r>
              <w:rPr>
                <w:spacing w:val="-1"/>
                <w:sz w:val="10"/>
              </w:rPr>
              <w:t> </w:t>
            </w:r>
            <w:r>
              <w:rPr>
                <w:sz w:val="10"/>
              </w:rPr>
              <w:t>and</w:t>
            </w:r>
          </w:p>
          <w:p>
            <w:pPr>
              <w:pStyle w:val="TableParagraph"/>
              <w:numPr>
                <w:ilvl w:val="0"/>
                <w:numId w:val="71"/>
              </w:numPr>
              <w:tabs>
                <w:tab w:pos="78" w:val="left" w:leader="none"/>
              </w:tabs>
              <w:spacing w:line="89" w:lineRule="exact" w:before="7" w:after="0"/>
              <w:ind w:left="77" w:right="0" w:hanging="61"/>
              <w:jc w:val="left"/>
              <w:rPr>
                <w:sz w:val="10"/>
              </w:rPr>
            </w:pPr>
            <w:r>
              <w:rPr>
                <w:sz w:val="10"/>
              </w:rPr>
              <w:t>Climate Change</w:t>
            </w:r>
            <w:r>
              <w:rPr>
                <w:spacing w:val="-1"/>
                <w:sz w:val="10"/>
              </w:rPr>
              <w:t> </w:t>
            </w:r>
            <w:r>
              <w:rPr>
                <w:sz w:val="10"/>
              </w:rPr>
              <w:t>Adaptation.</w:t>
            </w:r>
          </w:p>
        </w:tc>
        <w:tc>
          <w:tcPr>
            <w:tcW w:w="927" w:type="dxa"/>
            <w:shd w:val="clear" w:color="auto" w:fill="FFFF9A"/>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237" w:right="228"/>
              <w:jc w:val="center"/>
              <w:rPr>
                <w:sz w:val="10"/>
              </w:rPr>
            </w:pPr>
            <w:r>
              <w:rPr>
                <w:sz w:val="10"/>
              </w:rPr>
              <w:t>City-wide</w:t>
            </w:r>
          </w:p>
        </w:tc>
        <w:tc>
          <w:tcPr>
            <w:tcW w:w="1707" w:type="dxa"/>
            <w:shd w:val="clear" w:color="auto" w:fill="FFFF9A"/>
          </w:tcPr>
          <w:p>
            <w:pPr>
              <w:pStyle w:val="TableParagraph"/>
              <w:rPr>
                <w:rFonts w:ascii="Calibri"/>
                <w:sz w:val="10"/>
              </w:rPr>
            </w:pPr>
          </w:p>
          <w:p>
            <w:pPr>
              <w:pStyle w:val="TableParagraph"/>
              <w:spacing w:before="10"/>
              <w:rPr>
                <w:rFonts w:ascii="Calibri"/>
                <w:sz w:val="13"/>
              </w:rPr>
            </w:pPr>
          </w:p>
          <w:p>
            <w:pPr>
              <w:pStyle w:val="TableParagraph"/>
              <w:spacing w:line="254" w:lineRule="auto"/>
              <w:ind w:left="15" w:right="44"/>
              <w:rPr>
                <w:sz w:val="10"/>
              </w:rPr>
            </w:pPr>
            <w:r>
              <w:rPr>
                <w:sz w:val="10"/>
              </w:rPr>
              <w:t>2. Spatial planning and development control</w:t>
            </w:r>
          </w:p>
        </w:tc>
        <w:tc>
          <w:tcPr>
            <w:tcW w:w="4145" w:type="dxa"/>
            <w:shd w:val="clear" w:color="auto" w:fill="FFFF9A"/>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5"/>
              <w:rPr>
                <w:sz w:val="10"/>
              </w:rPr>
            </w:pPr>
            <w:r>
              <w:rPr>
                <w:sz w:val="10"/>
              </w:rPr>
              <w:t>2. Promote sustainable flood risk management</w:t>
            </w:r>
          </w:p>
        </w:tc>
        <w:tc>
          <w:tcPr>
            <w:tcW w:w="4145" w:type="dxa"/>
            <w:shd w:val="clear" w:color="auto" w:fill="FFFF9A"/>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4"/>
              <w:rPr>
                <w:sz w:val="10"/>
              </w:rPr>
            </w:pPr>
            <w:r>
              <w:rPr>
                <w:sz w:val="10"/>
              </w:rPr>
              <w:t>This measure is listed in the Aire Catchment Flood Management Plan</w:t>
            </w:r>
          </w:p>
        </w:tc>
        <w:tc>
          <w:tcPr>
            <w:tcW w:w="1783" w:type="dxa"/>
            <w:shd w:val="clear" w:color="auto" w:fill="FFFF9A"/>
          </w:tcPr>
          <w:p>
            <w:pPr>
              <w:pStyle w:val="TableParagraph"/>
              <w:spacing w:before="8"/>
              <w:rPr>
                <w:rFonts w:ascii="Calibri"/>
                <w:sz w:val="8"/>
              </w:rPr>
            </w:pPr>
          </w:p>
          <w:p>
            <w:pPr>
              <w:pStyle w:val="TableParagraph"/>
              <w:spacing w:line="254" w:lineRule="auto"/>
              <w:ind w:left="14" w:right="54"/>
              <w:rPr>
                <w:sz w:val="10"/>
              </w:rPr>
            </w:pPr>
            <w:r>
              <w:rPr>
                <w:sz w:val="10"/>
              </w:rPr>
              <w:t>Bu embedding the requirements for SuDS and urban design principles within local policy we will be able to improve the management of the water environment in all new developments.</w:t>
            </w:r>
          </w:p>
        </w:tc>
        <w:tc>
          <w:tcPr>
            <w:tcW w:w="917" w:type="dxa"/>
            <w:shd w:val="clear" w:color="auto" w:fill="FFFF9A"/>
          </w:tcPr>
          <w:p>
            <w:pPr>
              <w:pStyle w:val="TableParagraph"/>
              <w:spacing w:before="8"/>
              <w:rPr>
                <w:rFonts w:ascii="Calibri"/>
                <w:sz w:val="8"/>
              </w:rPr>
            </w:pPr>
          </w:p>
          <w:p>
            <w:pPr>
              <w:pStyle w:val="TableParagraph"/>
              <w:spacing w:line="254" w:lineRule="auto"/>
              <w:ind w:left="14" w:right="78"/>
              <w:rPr>
                <w:sz w:val="10"/>
              </w:rPr>
            </w:pPr>
            <w:r>
              <w:rPr>
                <w:sz w:val="10"/>
              </w:rPr>
              <w:t>LCC Forward Planning and Implementation &amp; Sustainable Development Unit</w:t>
            </w:r>
          </w:p>
        </w:tc>
        <w:tc>
          <w:tcPr>
            <w:tcW w:w="1114" w:type="dxa"/>
            <w:shd w:val="clear" w:color="auto" w:fill="FFFF9A"/>
          </w:tcPr>
          <w:p>
            <w:pPr>
              <w:pStyle w:val="TableParagraph"/>
              <w:rPr>
                <w:rFonts w:ascii="Calibri"/>
                <w:sz w:val="10"/>
              </w:rPr>
            </w:pPr>
          </w:p>
          <w:p>
            <w:pPr>
              <w:pStyle w:val="TableParagraph"/>
              <w:spacing w:before="9"/>
              <w:rPr>
                <w:rFonts w:ascii="Calibri"/>
                <w:sz w:val="8"/>
              </w:rPr>
            </w:pPr>
          </w:p>
          <w:p>
            <w:pPr>
              <w:pStyle w:val="TableParagraph"/>
              <w:spacing w:line="254" w:lineRule="auto"/>
              <w:ind w:left="14" w:right="52"/>
              <w:rPr>
                <w:sz w:val="10"/>
              </w:rPr>
            </w:pPr>
            <w:r>
              <w:rPr>
                <w:sz w:val="10"/>
              </w:rPr>
              <w:t>Environment Agency &amp; Yorkshire Water Services</w:t>
            </w:r>
          </w:p>
        </w:tc>
        <w:tc>
          <w:tcPr>
            <w:tcW w:w="670" w:type="dxa"/>
            <w:shd w:val="clear" w:color="auto" w:fill="FFFF9A"/>
          </w:tcPr>
          <w:p>
            <w:pPr>
              <w:pStyle w:val="TableParagraph"/>
              <w:rPr>
                <w:rFonts w:ascii="Calibri"/>
                <w:sz w:val="10"/>
              </w:rPr>
            </w:pPr>
          </w:p>
          <w:p>
            <w:pPr>
              <w:pStyle w:val="TableParagraph"/>
              <w:rPr>
                <w:rFonts w:ascii="Calibri"/>
                <w:sz w:val="10"/>
              </w:rPr>
            </w:pPr>
          </w:p>
          <w:p>
            <w:pPr>
              <w:pStyle w:val="TableParagraph"/>
              <w:spacing w:before="9"/>
              <w:rPr>
                <w:rFonts w:ascii="Calibri"/>
                <w:sz w:val="8"/>
              </w:rPr>
            </w:pPr>
          </w:p>
          <w:p>
            <w:pPr>
              <w:pStyle w:val="TableParagraph"/>
              <w:ind w:left="14"/>
              <w:rPr>
                <w:sz w:val="10"/>
              </w:rPr>
            </w:pPr>
            <w:r>
              <w:rPr>
                <w:sz w:val="10"/>
              </w:rPr>
              <w:t>17/10/2018</w:t>
            </w:r>
          </w:p>
        </w:tc>
      </w:tr>
      <w:tr>
        <w:trPr>
          <w:trHeight w:val="470" w:hRule="atLeast"/>
        </w:trPr>
        <w:tc>
          <w:tcPr>
            <w:tcW w:w="305" w:type="dxa"/>
          </w:tcPr>
          <w:p>
            <w:pPr>
              <w:pStyle w:val="TableParagraph"/>
              <w:spacing w:before="10"/>
              <w:rPr>
                <w:rFonts w:ascii="Calibri"/>
                <w:sz w:val="13"/>
              </w:rPr>
            </w:pPr>
          </w:p>
          <w:p>
            <w:pPr>
              <w:pStyle w:val="TableParagraph"/>
              <w:ind w:left="19"/>
              <w:rPr>
                <w:sz w:val="11"/>
              </w:rPr>
            </w:pPr>
            <w:r>
              <w:rPr>
                <w:w w:val="105"/>
                <w:sz w:val="11"/>
              </w:rPr>
              <w:t>P16</w:t>
            </w:r>
          </w:p>
        </w:tc>
        <w:tc>
          <w:tcPr>
            <w:tcW w:w="715" w:type="dxa"/>
            <w:shd w:val="clear" w:color="auto" w:fill="FFFF9A"/>
          </w:tcPr>
          <w:p>
            <w:pPr>
              <w:pStyle w:val="TableParagraph"/>
              <w:rPr>
                <w:rFonts w:ascii="Calibri"/>
                <w:sz w:val="14"/>
              </w:rPr>
            </w:pPr>
          </w:p>
          <w:p>
            <w:pPr>
              <w:pStyle w:val="TableParagraph"/>
              <w:ind w:left="239"/>
              <w:rPr>
                <w:b/>
                <w:sz w:val="10"/>
              </w:rPr>
            </w:pPr>
            <w:r>
              <w:rPr>
                <w:b/>
                <w:sz w:val="10"/>
              </w:rPr>
              <w:t>LOW</w:t>
            </w:r>
          </w:p>
        </w:tc>
        <w:tc>
          <w:tcPr>
            <w:tcW w:w="1505" w:type="dxa"/>
            <w:shd w:val="clear" w:color="auto" w:fill="FFFF9A"/>
          </w:tcPr>
          <w:p>
            <w:pPr>
              <w:pStyle w:val="TableParagraph"/>
              <w:rPr>
                <w:rFonts w:ascii="Calibri"/>
                <w:sz w:val="14"/>
              </w:rPr>
            </w:pPr>
          </w:p>
          <w:p>
            <w:pPr>
              <w:pStyle w:val="TableParagraph"/>
              <w:ind w:left="515"/>
              <w:rPr>
                <w:b/>
                <w:sz w:val="10"/>
              </w:rPr>
            </w:pPr>
            <w:r>
              <w:rPr>
                <w:b/>
                <w:sz w:val="10"/>
              </w:rPr>
              <w:t>6 Monthly</w:t>
            </w:r>
          </w:p>
        </w:tc>
        <w:tc>
          <w:tcPr>
            <w:tcW w:w="4145" w:type="dxa"/>
            <w:shd w:val="clear" w:color="auto" w:fill="FFFF9A"/>
          </w:tcPr>
          <w:p>
            <w:pPr>
              <w:pStyle w:val="TableParagraph"/>
              <w:spacing w:line="104" w:lineRule="exact"/>
              <w:ind w:left="16"/>
              <w:rPr>
                <w:sz w:val="10"/>
              </w:rPr>
            </w:pPr>
            <w:r>
              <w:rPr>
                <w:sz w:val="10"/>
              </w:rPr>
              <w:t>Review Council Policy on FRM e.g. ‘Maintaining Water Resources and Responding to Flood</w:t>
            </w:r>
          </w:p>
          <w:p>
            <w:pPr>
              <w:pStyle w:val="TableParagraph"/>
              <w:spacing w:line="120" w:lineRule="atLeast" w:before="2"/>
              <w:ind w:left="16"/>
              <w:rPr>
                <w:sz w:val="10"/>
              </w:rPr>
            </w:pPr>
            <w:r>
              <w:rPr>
                <w:sz w:val="10"/>
              </w:rPr>
              <w:t>Incidents’ approved by Exec Board on 17 May 2006 to ensure that it conforms to the requirements of the FWMA that Local authorities should lead on the management of local flood risk, with the support of the relevant organisations.</w:t>
            </w:r>
          </w:p>
        </w:tc>
        <w:tc>
          <w:tcPr>
            <w:tcW w:w="927" w:type="dxa"/>
            <w:shd w:val="clear" w:color="auto" w:fill="FFFF9A"/>
          </w:tcPr>
          <w:p>
            <w:pPr>
              <w:pStyle w:val="TableParagraph"/>
              <w:rPr>
                <w:rFonts w:ascii="Calibri"/>
                <w:sz w:val="14"/>
              </w:rPr>
            </w:pPr>
          </w:p>
          <w:p>
            <w:pPr>
              <w:pStyle w:val="TableParagraph"/>
              <w:ind w:left="8"/>
              <w:jc w:val="center"/>
              <w:rPr>
                <w:sz w:val="10"/>
              </w:rPr>
            </w:pPr>
            <w:r>
              <w:rPr>
                <w:w w:val="100"/>
                <w:sz w:val="10"/>
              </w:rPr>
              <w:t>-</w:t>
            </w:r>
          </w:p>
        </w:tc>
        <w:tc>
          <w:tcPr>
            <w:tcW w:w="1707" w:type="dxa"/>
            <w:shd w:val="clear" w:color="auto" w:fill="FFFF9A"/>
          </w:tcPr>
          <w:p>
            <w:pPr>
              <w:pStyle w:val="TableParagraph"/>
              <w:spacing w:before="1"/>
              <w:rPr>
                <w:rFonts w:ascii="Calibri"/>
                <w:sz w:val="9"/>
              </w:rPr>
            </w:pPr>
          </w:p>
          <w:p>
            <w:pPr>
              <w:pStyle w:val="TableParagraph"/>
              <w:spacing w:line="254" w:lineRule="auto"/>
              <w:ind w:left="15" w:right="44"/>
              <w:rPr>
                <w:sz w:val="10"/>
              </w:rPr>
            </w:pPr>
            <w:r>
              <w:rPr>
                <w:sz w:val="10"/>
              </w:rPr>
              <w:t>2. Spatial planning and development control</w:t>
            </w:r>
          </w:p>
        </w:tc>
        <w:tc>
          <w:tcPr>
            <w:tcW w:w="4145" w:type="dxa"/>
            <w:shd w:val="clear" w:color="auto" w:fill="FFFF9A"/>
          </w:tcPr>
          <w:p>
            <w:pPr>
              <w:pStyle w:val="TableParagraph"/>
              <w:rPr>
                <w:rFonts w:ascii="Calibri"/>
                <w:sz w:val="14"/>
              </w:rPr>
            </w:pPr>
          </w:p>
          <w:p>
            <w:pPr>
              <w:pStyle w:val="TableParagraph"/>
              <w:ind w:left="15"/>
              <w:rPr>
                <w:sz w:val="10"/>
              </w:rPr>
            </w:pPr>
            <w:r>
              <w:rPr>
                <w:sz w:val="10"/>
              </w:rPr>
              <w:t>1. Improve co-operation between LLFA and other RMAs</w:t>
            </w:r>
          </w:p>
        </w:tc>
        <w:tc>
          <w:tcPr>
            <w:tcW w:w="4145" w:type="dxa"/>
            <w:shd w:val="clear" w:color="auto" w:fill="FFFF9A"/>
          </w:tcPr>
          <w:p>
            <w:pPr>
              <w:pStyle w:val="TableParagraph"/>
              <w:rPr>
                <w:rFonts w:ascii="Calibri"/>
                <w:sz w:val="14"/>
              </w:rPr>
            </w:pPr>
          </w:p>
          <w:p>
            <w:pPr>
              <w:pStyle w:val="TableParagraph"/>
              <w:ind w:left="14"/>
              <w:rPr>
                <w:sz w:val="10"/>
              </w:rPr>
            </w:pPr>
            <w:r>
              <w:rPr>
                <w:sz w:val="10"/>
              </w:rPr>
              <w:t>The Policy should be reviewed in light of the publication of the FWMA.</w:t>
            </w:r>
          </w:p>
        </w:tc>
        <w:tc>
          <w:tcPr>
            <w:tcW w:w="1783" w:type="dxa"/>
            <w:shd w:val="clear" w:color="auto" w:fill="FFFF9A"/>
          </w:tcPr>
          <w:p>
            <w:pPr>
              <w:pStyle w:val="TableParagraph"/>
              <w:spacing w:line="254" w:lineRule="auto" w:before="48"/>
              <w:ind w:left="14" w:right="15"/>
              <w:rPr>
                <w:sz w:val="10"/>
              </w:rPr>
            </w:pPr>
            <w:r>
              <w:rPr>
                <w:sz w:val="10"/>
              </w:rPr>
              <w:t>Ensures clarity around Council’s legal roles and responsibilities and that work programmes have a sound foundation.</w:t>
            </w:r>
          </w:p>
        </w:tc>
        <w:tc>
          <w:tcPr>
            <w:tcW w:w="917" w:type="dxa"/>
            <w:shd w:val="clear" w:color="auto" w:fill="FFFF9A"/>
          </w:tcPr>
          <w:p>
            <w:pPr>
              <w:pStyle w:val="TableParagraph"/>
              <w:rPr>
                <w:rFonts w:ascii="Times New Roman"/>
                <w:sz w:val="10"/>
              </w:rPr>
            </w:pPr>
          </w:p>
        </w:tc>
        <w:tc>
          <w:tcPr>
            <w:tcW w:w="1114" w:type="dxa"/>
            <w:shd w:val="clear" w:color="auto" w:fill="FFFF9A"/>
          </w:tcPr>
          <w:p>
            <w:pPr>
              <w:pStyle w:val="TableParagraph"/>
              <w:spacing w:line="254" w:lineRule="auto" w:before="48"/>
              <w:ind w:left="14" w:right="119"/>
              <w:rPr>
                <w:sz w:val="10"/>
              </w:rPr>
            </w:pPr>
            <w:r>
              <w:rPr>
                <w:sz w:val="10"/>
              </w:rPr>
              <w:t>Internal LCC departments and external stakeholders</w:t>
            </w:r>
          </w:p>
        </w:tc>
        <w:tc>
          <w:tcPr>
            <w:tcW w:w="670" w:type="dxa"/>
            <w:shd w:val="clear" w:color="auto" w:fill="FFFF9A"/>
          </w:tcPr>
          <w:p>
            <w:pPr>
              <w:pStyle w:val="TableParagraph"/>
              <w:rPr>
                <w:rFonts w:ascii="Calibri"/>
                <w:sz w:val="14"/>
              </w:rPr>
            </w:pPr>
          </w:p>
          <w:p>
            <w:pPr>
              <w:pStyle w:val="TableParagraph"/>
              <w:ind w:left="14"/>
              <w:rPr>
                <w:sz w:val="10"/>
              </w:rPr>
            </w:pPr>
            <w:r>
              <w:rPr>
                <w:sz w:val="10"/>
              </w:rPr>
              <w:t>17/10/2018</w:t>
            </w:r>
          </w:p>
        </w:tc>
      </w:tr>
      <w:tr>
        <w:trPr>
          <w:trHeight w:val="590" w:hRule="atLeast"/>
        </w:trPr>
        <w:tc>
          <w:tcPr>
            <w:tcW w:w="305" w:type="dxa"/>
          </w:tcPr>
          <w:p>
            <w:pPr>
              <w:pStyle w:val="TableParagraph"/>
              <w:rPr>
                <w:rFonts w:ascii="Calibri"/>
                <w:sz w:val="12"/>
              </w:rPr>
            </w:pPr>
          </w:p>
          <w:p>
            <w:pPr>
              <w:pStyle w:val="TableParagraph"/>
              <w:spacing w:before="82"/>
              <w:ind w:left="18"/>
              <w:rPr>
                <w:sz w:val="11"/>
              </w:rPr>
            </w:pPr>
            <w:r>
              <w:rPr>
                <w:w w:val="105"/>
                <w:sz w:val="11"/>
              </w:rPr>
              <w:t>P19</w:t>
            </w:r>
          </w:p>
        </w:tc>
        <w:tc>
          <w:tcPr>
            <w:tcW w:w="715" w:type="dxa"/>
            <w:shd w:val="clear" w:color="auto" w:fill="FFFF9A"/>
          </w:tcPr>
          <w:p>
            <w:pPr>
              <w:pStyle w:val="TableParagraph"/>
              <w:rPr>
                <w:rFonts w:ascii="Calibri"/>
                <w:sz w:val="10"/>
              </w:rPr>
            </w:pPr>
          </w:p>
          <w:p>
            <w:pPr>
              <w:pStyle w:val="TableParagraph"/>
              <w:spacing w:before="11"/>
              <w:rPr>
                <w:rFonts w:ascii="Calibri"/>
                <w:sz w:val="8"/>
              </w:rPr>
            </w:pPr>
          </w:p>
          <w:p>
            <w:pPr>
              <w:pStyle w:val="TableParagraph"/>
              <w:ind w:left="239"/>
              <w:rPr>
                <w:b/>
                <w:sz w:val="10"/>
              </w:rPr>
            </w:pPr>
            <w:r>
              <w:rPr>
                <w:b/>
                <w:sz w:val="10"/>
              </w:rPr>
              <w:t>LOW</w:t>
            </w:r>
          </w:p>
        </w:tc>
        <w:tc>
          <w:tcPr>
            <w:tcW w:w="1505" w:type="dxa"/>
            <w:shd w:val="clear" w:color="auto" w:fill="FFFF9A"/>
          </w:tcPr>
          <w:p>
            <w:pPr>
              <w:pStyle w:val="TableParagraph"/>
              <w:rPr>
                <w:rFonts w:ascii="Calibri"/>
                <w:sz w:val="10"/>
              </w:rPr>
            </w:pPr>
          </w:p>
          <w:p>
            <w:pPr>
              <w:pStyle w:val="TableParagraph"/>
              <w:spacing w:before="11"/>
              <w:rPr>
                <w:rFonts w:ascii="Calibri"/>
                <w:sz w:val="8"/>
              </w:rPr>
            </w:pPr>
          </w:p>
          <w:p>
            <w:pPr>
              <w:pStyle w:val="TableParagraph"/>
              <w:ind w:left="542"/>
              <w:rPr>
                <w:b/>
                <w:sz w:val="10"/>
              </w:rPr>
            </w:pPr>
            <w:r>
              <w:rPr>
                <w:b/>
                <w:sz w:val="10"/>
              </w:rPr>
              <w:t>Ongoing</w:t>
            </w:r>
          </w:p>
        </w:tc>
        <w:tc>
          <w:tcPr>
            <w:tcW w:w="4145" w:type="dxa"/>
            <w:shd w:val="clear" w:color="auto" w:fill="FFFF9A"/>
          </w:tcPr>
          <w:p>
            <w:pPr>
              <w:pStyle w:val="TableParagraph"/>
              <w:rPr>
                <w:rFonts w:ascii="Calibri"/>
                <w:sz w:val="14"/>
              </w:rPr>
            </w:pPr>
          </w:p>
          <w:p>
            <w:pPr>
              <w:pStyle w:val="TableParagraph"/>
              <w:spacing w:line="254" w:lineRule="auto"/>
              <w:ind w:left="16"/>
              <w:rPr>
                <w:sz w:val="10"/>
              </w:rPr>
            </w:pPr>
            <w:r>
              <w:rPr>
                <w:sz w:val="10"/>
              </w:rPr>
              <w:t>Review Strategic Flood Risk Assessment (SFRA) produced by Jacobs in October 2007; assess the need for a Level 2 SFRA to be undertaken.</w:t>
            </w:r>
          </w:p>
        </w:tc>
        <w:tc>
          <w:tcPr>
            <w:tcW w:w="927" w:type="dxa"/>
            <w:shd w:val="clear" w:color="auto" w:fill="FFFF9A"/>
          </w:tcPr>
          <w:p>
            <w:pPr>
              <w:pStyle w:val="TableParagraph"/>
              <w:rPr>
                <w:rFonts w:ascii="Calibri"/>
                <w:sz w:val="10"/>
              </w:rPr>
            </w:pPr>
          </w:p>
          <w:p>
            <w:pPr>
              <w:pStyle w:val="TableParagraph"/>
              <w:spacing w:before="11"/>
              <w:rPr>
                <w:rFonts w:ascii="Calibri"/>
                <w:sz w:val="8"/>
              </w:rPr>
            </w:pPr>
          </w:p>
          <w:p>
            <w:pPr>
              <w:pStyle w:val="TableParagraph"/>
              <w:ind w:left="8"/>
              <w:jc w:val="center"/>
              <w:rPr>
                <w:sz w:val="10"/>
              </w:rPr>
            </w:pPr>
            <w:r>
              <w:rPr>
                <w:w w:val="100"/>
                <w:sz w:val="10"/>
              </w:rPr>
              <w:t>-</w:t>
            </w:r>
          </w:p>
        </w:tc>
        <w:tc>
          <w:tcPr>
            <w:tcW w:w="1707" w:type="dxa"/>
            <w:shd w:val="clear" w:color="auto" w:fill="FFFF9A"/>
          </w:tcPr>
          <w:p>
            <w:pPr>
              <w:pStyle w:val="TableParagraph"/>
              <w:rPr>
                <w:rFonts w:ascii="Calibri"/>
                <w:sz w:val="14"/>
              </w:rPr>
            </w:pPr>
          </w:p>
          <w:p>
            <w:pPr>
              <w:pStyle w:val="TableParagraph"/>
              <w:spacing w:line="254" w:lineRule="auto"/>
              <w:ind w:left="15" w:right="44"/>
              <w:rPr>
                <w:sz w:val="10"/>
              </w:rPr>
            </w:pPr>
            <w:r>
              <w:rPr>
                <w:sz w:val="10"/>
              </w:rPr>
              <w:t>2. Spatial planning and development control</w:t>
            </w:r>
          </w:p>
        </w:tc>
        <w:tc>
          <w:tcPr>
            <w:tcW w:w="4145" w:type="dxa"/>
            <w:shd w:val="clear" w:color="auto" w:fill="FFFF9A"/>
          </w:tcPr>
          <w:p>
            <w:pPr>
              <w:pStyle w:val="TableParagraph"/>
              <w:rPr>
                <w:rFonts w:ascii="Calibri"/>
                <w:sz w:val="14"/>
              </w:rPr>
            </w:pPr>
          </w:p>
          <w:p>
            <w:pPr>
              <w:pStyle w:val="TableParagraph"/>
              <w:spacing w:line="254" w:lineRule="auto"/>
              <w:ind w:left="15"/>
              <w:rPr>
                <w:sz w:val="10"/>
              </w:rPr>
            </w:pPr>
            <w:r>
              <w:rPr>
                <w:sz w:val="10"/>
              </w:rPr>
              <w:t>3. Develop a consistent, affordable and sustainable approach to planning and investment in flood risk management: land allocation, SuDS, SABs;</w:t>
            </w:r>
          </w:p>
        </w:tc>
        <w:tc>
          <w:tcPr>
            <w:tcW w:w="4145" w:type="dxa"/>
            <w:shd w:val="clear" w:color="auto" w:fill="FFFF9A"/>
          </w:tcPr>
          <w:p>
            <w:pPr>
              <w:pStyle w:val="TableParagraph"/>
              <w:rPr>
                <w:rFonts w:ascii="Calibri"/>
                <w:sz w:val="14"/>
              </w:rPr>
            </w:pPr>
          </w:p>
          <w:p>
            <w:pPr>
              <w:pStyle w:val="TableParagraph"/>
              <w:spacing w:line="254" w:lineRule="auto"/>
              <w:ind w:left="14"/>
              <w:rPr>
                <w:sz w:val="10"/>
              </w:rPr>
            </w:pPr>
            <w:r>
              <w:rPr>
                <w:sz w:val="10"/>
              </w:rPr>
              <w:t>24/04/12 - SG had meeting with DF to discuss this. DF indicated that the EA have published data updates online - document as a whole is broadly up to date.</w:t>
            </w:r>
          </w:p>
        </w:tc>
        <w:tc>
          <w:tcPr>
            <w:tcW w:w="1783" w:type="dxa"/>
            <w:shd w:val="clear" w:color="auto" w:fill="FFFF9A"/>
          </w:tcPr>
          <w:p>
            <w:pPr>
              <w:pStyle w:val="TableParagraph"/>
              <w:spacing w:line="104" w:lineRule="exact"/>
              <w:ind w:left="14"/>
              <w:rPr>
                <w:sz w:val="10"/>
              </w:rPr>
            </w:pPr>
            <w:r>
              <w:rPr>
                <w:sz w:val="10"/>
              </w:rPr>
              <w:t>Helps ensure there is a more complete</w:t>
            </w:r>
          </w:p>
          <w:p>
            <w:pPr>
              <w:pStyle w:val="TableParagraph"/>
              <w:spacing w:line="120" w:lineRule="atLeast" w:before="2"/>
              <w:ind w:left="14" w:right="93"/>
              <w:rPr>
                <w:sz w:val="10"/>
              </w:rPr>
            </w:pPr>
            <w:r>
              <w:rPr>
                <w:sz w:val="10"/>
              </w:rPr>
              <w:t>understanding of flood risk at a high- level which takes account of YWS’s network and other lessons learned or gaps.</w:t>
            </w:r>
          </w:p>
        </w:tc>
        <w:tc>
          <w:tcPr>
            <w:tcW w:w="917" w:type="dxa"/>
            <w:shd w:val="clear" w:color="auto" w:fill="FFFF9A"/>
          </w:tcPr>
          <w:p>
            <w:pPr>
              <w:pStyle w:val="TableParagraph"/>
              <w:spacing w:line="104" w:lineRule="exact"/>
              <w:ind w:left="14"/>
              <w:rPr>
                <w:sz w:val="10"/>
              </w:rPr>
            </w:pPr>
            <w:r>
              <w:rPr>
                <w:sz w:val="10"/>
              </w:rPr>
              <w:t>LCC Flood</w:t>
            </w:r>
            <w:r>
              <w:rPr>
                <w:spacing w:val="-1"/>
                <w:sz w:val="10"/>
              </w:rPr>
              <w:t> </w:t>
            </w:r>
            <w:r>
              <w:rPr>
                <w:sz w:val="10"/>
              </w:rPr>
              <w:t>Risk</w:t>
            </w:r>
          </w:p>
          <w:p>
            <w:pPr>
              <w:pStyle w:val="TableParagraph"/>
              <w:spacing w:line="120" w:lineRule="atLeast" w:before="2"/>
              <w:ind w:left="14" w:right="89"/>
              <w:rPr>
                <w:sz w:val="10"/>
              </w:rPr>
            </w:pPr>
            <w:r>
              <w:rPr>
                <w:sz w:val="10"/>
              </w:rPr>
              <w:t>Management &amp; Forward Planning and Implementation</w:t>
            </w:r>
          </w:p>
        </w:tc>
        <w:tc>
          <w:tcPr>
            <w:tcW w:w="1114" w:type="dxa"/>
            <w:shd w:val="clear" w:color="auto" w:fill="FFFF9A"/>
          </w:tcPr>
          <w:p>
            <w:pPr>
              <w:pStyle w:val="TableParagraph"/>
              <w:rPr>
                <w:rFonts w:ascii="Calibri"/>
                <w:sz w:val="10"/>
              </w:rPr>
            </w:pPr>
          </w:p>
          <w:p>
            <w:pPr>
              <w:pStyle w:val="TableParagraph"/>
              <w:spacing w:before="11"/>
              <w:rPr>
                <w:rFonts w:ascii="Calibri"/>
                <w:sz w:val="8"/>
              </w:rPr>
            </w:pPr>
          </w:p>
          <w:p>
            <w:pPr>
              <w:pStyle w:val="TableParagraph"/>
              <w:ind w:left="14"/>
              <w:rPr>
                <w:sz w:val="10"/>
              </w:rPr>
            </w:pPr>
            <w:r>
              <w:rPr>
                <w:sz w:val="10"/>
              </w:rPr>
              <w:t>Leeds City Council</w:t>
            </w:r>
          </w:p>
        </w:tc>
        <w:tc>
          <w:tcPr>
            <w:tcW w:w="670" w:type="dxa"/>
            <w:shd w:val="clear" w:color="auto" w:fill="FFFF9A"/>
          </w:tcPr>
          <w:p>
            <w:pPr>
              <w:pStyle w:val="TableParagraph"/>
              <w:rPr>
                <w:rFonts w:ascii="Calibri"/>
                <w:sz w:val="10"/>
              </w:rPr>
            </w:pPr>
          </w:p>
          <w:p>
            <w:pPr>
              <w:pStyle w:val="TableParagraph"/>
              <w:spacing w:before="11"/>
              <w:rPr>
                <w:rFonts w:ascii="Calibri"/>
                <w:sz w:val="8"/>
              </w:rPr>
            </w:pPr>
          </w:p>
          <w:p>
            <w:pPr>
              <w:pStyle w:val="TableParagraph"/>
              <w:ind w:left="13"/>
              <w:rPr>
                <w:sz w:val="10"/>
              </w:rPr>
            </w:pPr>
            <w:r>
              <w:rPr>
                <w:sz w:val="10"/>
              </w:rPr>
              <w:t>17/10/2018</w:t>
            </w:r>
          </w:p>
        </w:tc>
      </w:tr>
      <w:tr>
        <w:trPr>
          <w:trHeight w:val="349" w:hRule="atLeast"/>
        </w:trPr>
        <w:tc>
          <w:tcPr>
            <w:tcW w:w="305" w:type="dxa"/>
          </w:tcPr>
          <w:p>
            <w:pPr>
              <w:pStyle w:val="TableParagraph"/>
              <w:spacing w:before="11"/>
              <w:rPr>
                <w:rFonts w:ascii="Calibri"/>
                <w:sz w:val="8"/>
              </w:rPr>
            </w:pPr>
          </w:p>
          <w:p>
            <w:pPr>
              <w:pStyle w:val="TableParagraph"/>
              <w:ind w:left="19"/>
              <w:rPr>
                <w:sz w:val="11"/>
              </w:rPr>
            </w:pPr>
            <w:r>
              <w:rPr>
                <w:w w:val="105"/>
                <w:sz w:val="11"/>
              </w:rPr>
              <w:t>P14</w:t>
            </w:r>
          </w:p>
        </w:tc>
        <w:tc>
          <w:tcPr>
            <w:tcW w:w="715" w:type="dxa"/>
            <w:shd w:val="clear" w:color="auto" w:fill="FFFF9A"/>
          </w:tcPr>
          <w:p>
            <w:pPr>
              <w:pStyle w:val="TableParagraph"/>
              <w:spacing w:before="1"/>
              <w:rPr>
                <w:rFonts w:ascii="Calibri"/>
                <w:sz w:val="9"/>
              </w:rPr>
            </w:pPr>
          </w:p>
          <w:p>
            <w:pPr>
              <w:pStyle w:val="TableParagraph"/>
              <w:ind w:left="239"/>
              <w:rPr>
                <w:b/>
                <w:sz w:val="10"/>
              </w:rPr>
            </w:pPr>
            <w:r>
              <w:rPr>
                <w:b/>
                <w:sz w:val="10"/>
              </w:rPr>
              <w:t>LOW</w:t>
            </w:r>
          </w:p>
        </w:tc>
        <w:tc>
          <w:tcPr>
            <w:tcW w:w="1505" w:type="dxa"/>
            <w:shd w:val="clear" w:color="auto" w:fill="FFFF9A"/>
          </w:tcPr>
          <w:p>
            <w:pPr>
              <w:pStyle w:val="TableParagraph"/>
              <w:spacing w:before="1"/>
              <w:rPr>
                <w:rFonts w:ascii="Calibri"/>
                <w:sz w:val="9"/>
              </w:rPr>
            </w:pPr>
          </w:p>
          <w:p>
            <w:pPr>
              <w:pStyle w:val="TableParagraph"/>
              <w:ind w:left="575" w:right="565"/>
              <w:jc w:val="center"/>
              <w:rPr>
                <w:b/>
                <w:sz w:val="10"/>
              </w:rPr>
            </w:pPr>
            <w:r>
              <w:rPr>
                <w:b/>
                <w:sz w:val="10"/>
              </w:rPr>
              <w:t>2024</w:t>
            </w:r>
          </w:p>
        </w:tc>
        <w:tc>
          <w:tcPr>
            <w:tcW w:w="4145" w:type="dxa"/>
            <w:shd w:val="clear" w:color="auto" w:fill="FFFF9A"/>
          </w:tcPr>
          <w:p>
            <w:pPr>
              <w:pStyle w:val="TableParagraph"/>
              <w:spacing w:before="1"/>
              <w:rPr>
                <w:rFonts w:ascii="Calibri"/>
                <w:sz w:val="9"/>
              </w:rPr>
            </w:pPr>
          </w:p>
          <w:p>
            <w:pPr>
              <w:pStyle w:val="TableParagraph"/>
              <w:ind w:left="16"/>
              <w:rPr>
                <w:sz w:val="10"/>
              </w:rPr>
            </w:pPr>
            <w:r>
              <w:rPr>
                <w:sz w:val="10"/>
              </w:rPr>
              <w:t>Review Local Flood Risk Management Strategy (LFRMS)</w:t>
            </w:r>
          </w:p>
        </w:tc>
        <w:tc>
          <w:tcPr>
            <w:tcW w:w="927" w:type="dxa"/>
            <w:shd w:val="clear" w:color="auto" w:fill="FFFF9A"/>
          </w:tcPr>
          <w:p>
            <w:pPr>
              <w:pStyle w:val="TableParagraph"/>
              <w:spacing w:before="1"/>
              <w:rPr>
                <w:rFonts w:ascii="Calibri"/>
                <w:sz w:val="9"/>
              </w:rPr>
            </w:pPr>
          </w:p>
          <w:p>
            <w:pPr>
              <w:pStyle w:val="TableParagraph"/>
              <w:ind w:left="7"/>
              <w:jc w:val="center"/>
              <w:rPr>
                <w:sz w:val="10"/>
              </w:rPr>
            </w:pPr>
            <w:r>
              <w:rPr>
                <w:w w:val="100"/>
                <w:sz w:val="10"/>
              </w:rPr>
              <w:t>-</w:t>
            </w:r>
          </w:p>
        </w:tc>
        <w:tc>
          <w:tcPr>
            <w:tcW w:w="1707" w:type="dxa"/>
            <w:shd w:val="clear" w:color="auto" w:fill="FFFF9A"/>
          </w:tcPr>
          <w:p>
            <w:pPr>
              <w:pStyle w:val="TableParagraph"/>
              <w:spacing w:line="254" w:lineRule="auto" w:before="51"/>
              <w:ind w:left="15" w:right="44"/>
              <w:rPr>
                <w:sz w:val="10"/>
              </w:rPr>
            </w:pPr>
            <w:r>
              <w:rPr>
                <w:sz w:val="10"/>
              </w:rPr>
              <w:t>2. Spatial planning and development control</w:t>
            </w:r>
          </w:p>
        </w:tc>
        <w:tc>
          <w:tcPr>
            <w:tcW w:w="4145" w:type="dxa"/>
            <w:shd w:val="clear" w:color="auto" w:fill="FFFF9A"/>
          </w:tcPr>
          <w:p>
            <w:pPr>
              <w:pStyle w:val="TableParagraph"/>
              <w:spacing w:line="254" w:lineRule="auto" w:before="51"/>
              <w:ind w:left="15"/>
              <w:rPr>
                <w:sz w:val="10"/>
              </w:rPr>
            </w:pPr>
            <w:r>
              <w:rPr>
                <w:sz w:val="10"/>
              </w:rPr>
              <w:t>3. Develop a consistent, affordable and sustainable approach to planning and investment in flood risk management: land allocation, SuDS, SABs;</w:t>
            </w:r>
          </w:p>
        </w:tc>
        <w:tc>
          <w:tcPr>
            <w:tcW w:w="4145" w:type="dxa"/>
            <w:shd w:val="clear" w:color="auto" w:fill="FFFF9A"/>
          </w:tcPr>
          <w:p>
            <w:pPr>
              <w:pStyle w:val="TableParagraph"/>
              <w:spacing w:line="106" w:lineRule="exact"/>
              <w:ind w:left="14"/>
              <w:rPr>
                <w:sz w:val="10"/>
              </w:rPr>
            </w:pPr>
            <w:r>
              <w:rPr>
                <w:sz w:val="10"/>
              </w:rPr>
              <w:t>The LFRMS will be reviewed once every 6 years. This will link the LFRMS review with the</w:t>
            </w:r>
          </w:p>
          <w:p>
            <w:pPr>
              <w:pStyle w:val="TableParagraph"/>
              <w:spacing w:line="120" w:lineRule="atLeast" w:before="2"/>
              <w:ind w:left="14"/>
              <w:rPr>
                <w:sz w:val="10"/>
              </w:rPr>
            </w:pPr>
            <w:r>
              <w:rPr>
                <w:sz w:val="10"/>
              </w:rPr>
              <w:t>cycles for reviewing the PFRA as outlined in the FRR. The first review is scheduled to be completed by October 2018.</w:t>
            </w:r>
          </w:p>
        </w:tc>
        <w:tc>
          <w:tcPr>
            <w:tcW w:w="1783" w:type="dxa"/>
            <w:shd w:val="clear" w:color="auto" w:fill="FFFF9A"/>
          </w:tcPr>
          <w:p>
            <w:pPr>
              <w:pStyle w:val="TableParagraph"/>
              <w:spacing w:line="106" w:lineRule="exact"/>
              <w:ind w:left="14"/>
              <w:rPr>
                <w:sz w:val="10"/>
              </w:rPr>
            </w:pPr>
            <w:r>
              <w:rPr>
                <w:sz w:val="10"/>
              </w:rPr>
              <w:t>Ensures LFRMS is updated with</w:t>
            </w:r>
          </w:p>
          <w:p>
            <w:pPr>
              <w:pStyle w:val="TableParagraph"/>
              <w:spacing w:line="120" w:lineRule="atLeast" w:before="2"/>
              <w:ind w:left="14" w:right="260"/>
              <w:rPr>
                <w:sz w:val="10"/>
              </w:rPr>
            </w:pPr>
            <w:r>
              <w:rPr>
                <w:sz w:val="10"/>
              </w:rPr>
              <w:t>relevant information to reflect any changes in FRM</w:t>
            </w:r>
          </w:p>
        </w:tc>
        <w:tc>
          <w:tcPr>
            <w:tcW w:w="917" w:type="dxa"/>
            <w:shd w:val="clear" w:color="auto" w:fill="FFFF9A"/>
          </w:tcPr>
          <w:p>
            <w:pPr>
              <w:pStyle w:val="TableParagraph"/>
              <w:spacing w:line="254" w:lineRule="auto" w:before="51"/>
              <w:ind w:left="14" w:right="172"/>
              <w:rPr>
                <w:sz w:val="10"/>
              </w:rPr>
            </w:pPr>
            <w:r>
              <w:rPr>
                <w:sz w:val="10"/>
              </w:rPr>
              <w:t>LCC Flood Risk Management</w:t>
            </w:r>
          </w:p>
        </w:tc>
        <w:tc>
          <w:tcPr>
            <w:tcW w:w="1114" w:type="dxa"/>
            <w:shd w:val="clear" w:color="auto" w:fill="FFFF9A"/>
          </w:tcPr>
          <w:p>
            <w:pPr>
              <w:pStyle w:val="TableParagraph"/>
              <w:spacing w:line="106" w:lineRule="exact"/>
              <w:ind w:left="14"/>
              <w:rPr>
                <w:sz w:val="10"/>
              </w:rPr>
            </w:pPr>
            <w:r>
              <w:rPr>
                <w:sz w:val="10"/>
              </w:rPr>
              <w:t>Internal LCC</w:t>
            </w:r>
          </w:p>
          <w:p>
            <w:pPr>
              <w:pStyle w:val="TableParagraph"/>
              <w:spacing w:line="120" w:lineRule="atLeast" w:before="2"/>
              <w:ind w:left="14" w:right="119"/>
              <w:rPr>
                <w:sz w:val="10"/>
              </w:rPr>
            </w:pPr>
            <w:r>
              <w:rPr>
                <w:sz w:val="10"/>
              </w:rPr>
              <w:t>departments and external stakeholders</w:t>
            </w:r>
          </w:p>
        </w:tc>
        <w:tc>
          <w:tcPr>
            <w:tcW w:w="670" w:type="dxa"/>
            <w:shd w:val="clear" w:color="auto" w:fill="FFFF9A"/>
          </w:tcPr>
          <w:p>
            <w:pPr>
              <w:pStyle w:val="TableParagraph"/>
              <w:spacing w:before="1"/>
              <w:rPr>
                <w:rFonts w:ascii="Calibri"/>
                <w:sz w:val="9"/>
              </w:rPr>
            </w:pPr>
          </w:p>
          <w:p>
            <w:pPr>
              <w:pStyle w:val="TableParagraph"/>
              <w:ind w:left="14"/>
              <w:rPr>
                <w:sz w:val="10"/>
              </w:rPr>
            </w:pPr>
            <w:r>
              <w:rPr>
                <w:sz w:val="10"/>
              </w:rPr>
              <w:t>17/10/2018</w:t>
            </w:r>
          </w:p>
        </w:tc>
      </w:tr>
      <w:tr>
        <w:trPr>
          <w:trHeight w:val="129" w:hRule="atLeast"/>
        </w:trPr>
        <w:tc>
          <w:tcPr>
            <w:tcW w:w="22078" w:type="dxa"/>
            <w:gridSpan w:val="12"/>
            <w:shd w:val="clear" w:color="auto" w:fill="F9423A"/>
          </w:tcPr>
          <w:p>
            <w:pPr>
              <w:pStyle w:val="TableParagraph"/>
              <w:spacing w:line="109" w:lineRule="exact"/>
              <w:ind w:left="19"/>
              <w:rPr>
                <w:b/>
                <w:sz w:val="11"/>
              </w:rPr>
            </w:pPr>
            <w:r>
              <w:rPr>
                <w:b/>
                <w:color w:val="FFFFFF"/>
                <w:w w:val="105"/>
                <w:sz w:val="11"/>
              </w:rPr>
              <w:t>COMPLETED POLICIES SINCE 2011</w:t>
            </w:r>
          </w:p>
        </w:tc>
      </w:tr>
      <w:tr>
        <w:trPr>
          <w:trHeight w:val="470" w:hRule="atLeast"/>
        </w:trPr>
        <w:tc>
          <w:tcPr>
            <w:tcW w:w="305" w:type="dxa"/>
          </w:tcPr>
          <w:p>
            <w:pPr>
              <w:pStyle w:val="TableParagraph"/>
              <w:spacing w:before="10"/>
              <w:rPr>
                <w:rFonts w:ascii="Calibri"/>
                <w:sz w:val="13"/>
              </w:rPr>
            </w:pPr>
          </w:p>
          <w:p>
            <w:pPr>
              <w:pStyle w:val="TableParagraph"/>
              <w:ind w:left="19"/>
              <w:rPr>
                <w:sz w:val="11"/>
              </w:rPr>
            </w:pPr>
            <w:r>
              <w:rPr>
                <w:w w:val="105"/>
                <w:sz w:val="11"/>
              </w:rPr>
              <w:t>P20</w:t>
            </w:r>
          </w:p>
        </w:tc>
        <w:tc>
          <w:tcPr>
            <w:tcW w:w="715" w:type="dxa"/>
            <w:shd w:val="clear" w:color="auto" w:fill="D9D9D9"/>
          </w:tcPr>
          <w:p>
            <w:pPr>
              <w:pStyle w:val="TableParagraph"/>
              <w:rPr>
                <w:rFonts w:ascii="Times New Roman"/>
                <w:sz w:val="10"/>
              </w:rPr>
            </w:pPr>
          </w:p>
        </w:tc>
        <w:tc>
          <w:tcPr>
            <w:tcW w:w="1505" w:type="dxa"/>
            <w:shd w:val="clear" w:color="auto" w:fill="D9D9D9"/>
          </w:tcPr>
          <w:p>
            <w:pPr>
              <w:pStyle w:val="TableParagraph"/>
              <w:rPr>
                <w:rFonts w:ascii="Calibri"/>
                <w:sz w:val="14"/>
              </w:rPr>
            </w:pPr>
          </w:p>
          <w:p>
            <w:pPr>
              <w:pStyle w:val="TableParagraph"/>
              <w:ind w:left="578" w:right="565"/>
              <w:jc w:val="center"/>
              <w:rPr>
                <w:b/>
                <w:sz w:val="10"/>
              </w:rPr>
            </w:pPr>
            <w:r>
              <w:rPr>
                <w:b/>
                <w:sz w:val="10"/>
              </w:rPr>
              <w:t>Oct-12</w:t>
            </w:r>
          </w:p>
        </w:tc>
        <w:tc>
          <w:tcPr>
            <w:tcW w:w="4145" w:type="dxa"/>
            <w:shd w:val="clear" w:color="auto" w:fill="D9D9D9"/>
          </w:tcPr>
          <w:p>
            <w:pPr>
              <w:pStyle w:val="TableParagraph"/>
              <w:rPr>
                <w:rFonts w:ascii="Calibri"/>
                <w:sz w:val="14"/>
              </w:rPr>
            </w:pPr>
          </w:p>
          <w:p>
            <w:pPr>
              <w:pStyle w:val="TableParagraph"/>
              <w:ind w:left="16"/>
              <w:rPr>
                <w:sz w:val="10"/>
              </w:rPr>
            </w:pPr>
            <w:r>
              <w:rPr>
                <w:sz w:val="10"/>
              </w:rPr>
              <w:t>Undertake Strategic Environmental Assessment (SEA) for LFRMS</w:t>
            </w:r>
          </w:p>
        </w:tc>
        <w:tc>
          <w:tcPr>
            <w:tcW w:w="927" w:type="dxa"/>
            <w:shd w:val="clear" w:color="auto" w:fill="D9D9D9"/>
          </w:tcPr>
          <w:p>
            <w:pPr>
              <w:pStyle w:val="TableParagraph"/>
              <w:rPr>
                <w:rFonts w:ascii="Calibri"/>
                <w:sz w:val="14"/>
              </w:rPr>
            </w:pPr>
          </w:p>
          <w:p>
            <w:pPr>
              <w:pStyle w:val="TableParagraph"/>
              <w:ind w:left="12"/>
              <w:jc w:val="center"/>
              <w:rPr>
                <w:sz w:val="10"/>
              </w:rPr>
            </w:pPr>
            <w:r>
              <w:rPr>
                <w:w w:val="100"/>
                <w:sz w:val="10"/>
              </w:rPr>
              <w:t>-</w:t>
            </w:r>
          </w:p>
        </w:tc>
        <w:tc>
          <w:tcPr>
            <w:tcW w:w="1707" w:type="dxa"/>
            <w:shd w:val="clear" w:color="auto" w:fill="D9D9D9"/>
          </w:tcPr>
          <w:p>
            <w:pPr>
              <w:pStyle w:val="TableParagraph"/>
              <w:rPr>
                <w:rFonts w:ascii="Calibri"/>
                <w:sz w:val="14"/>
              </w:rPr>
            </w:pPr>
          </w:p>
          <w:p>
            <w:pPr>
              <w:pStyle w:val="TableParagraph"/>
              <w:ind w:left="15"/>
              <w:rPr>
                <w:sz w:val="10"/>
              </w:rPr>
            </w:pPr>
            <w:r>
              <w:rPr>
                <w:sz w:val="10"/>
              </w:rPr>
              <w:t>2. Spatial planning and development</w:t>
            </w:r>
          </w:p>
        </w:tc>
        <w:tc>
          <w:tcPr>
            <w:tcW w:w="4145" w:type="dxa"/>
            <w:shd w:val="clear" w:color="auto" w:fill="D9D9D9"/>
          </w:tcPr>
          <w:p>
            <w:pPr>
              <w:pStyle w:val="TableParagraph"/>
              <w:rPr>
                <w:rFonts w:ascii="Calibri"/>
                <w:sz w:val="14"/>
              </w:rPr>
            </w:pPr>
          </w:p>
          <w:p>
            <w:pPr>
              <w:pStyle w:val="TableParagraph"/>
              <w:ind w:left="-33"/>
              <w:rPr>
                <w:sz w:val="10"/>
              </w:rPr>
            </w:pPr>
            <w:r>
              <w:rPr>
                <w:sz w:val="10"/>
              </w:rPr>
              <w:t>c2. Promote sustainable flood risk management</w:t>
            </w:r>
          </w:p>
        </w:tc>
        <w:tc>
          <w:tcPr>
            <w:tcW w:w="4145" w:type="dxa"/>
            <w:shd w:val="clear" w:color="auto" w:fill="D9D9D9"/>
          </w:tcPr>
          <w:p>
            <w:pPr>
              <w:pStyle w:val="TableParagraph"/>
              <w:spacing w:before="1"/>
              <w:rPr>
                <w:rFonts w:ascii="Calibri"/>
                <w:sz w:val="9"/>
              </w:rPr>
            </w:pPr>
          </w:p>
          <w:p>
            <w:pPr>
              <w:pStyle w:val="TableParagraph"/>
              <w:spacing w:line="254" w:lineRule="auto"/>
              <w:ind w:left="14" w:right="50"/>
              <w:rPr>
                <w:sz w:val="10"/>
              </w:rPr>
            </w:pPr>
            <w:r>
              <w:rPr>
                <w:sz w:val="10"/>
              </w:rPr>
              <w:t>This is part of process of producing LFRMS. SEA Workshop planned for July 2012 to appraise the objectives and measures in the LFRMS - see 19</w:t>
            </w:r>
          </w:p>
        </w:tc>
        <w:tc>
          <w:tcPr>
            <w:tcW w:w="1783" w:type="dxa"/>
            <w:shd w:val="clear" w:color="auto" w:fill="D9D9D9"/>
          </w:tcPr>
          <w:p>
            <w:pPr>
              <w:pStyle w:val="TableParagraph"/>
              <w:spacing w:line="254" w:lineRule="auto" w:before="49"/>
              <w:ind w:left="14" w:right="49"/>
              <w:rPr>
                <w:sz w:val="10"/>
              </w:rPr>
            </w:pPr>
            <w:r>
              <w:rPr>
                <w:sz w:val="10"/>
              </w:rPr>
              <w:t>Will ensure LFRMS is sustainable and workable and also secure buy in from stakeholders</w:t>
            </w:r>
          </w:p>
        </w:tc>
        <w:tc>
          <w:tcPr>
            <w:tcW w:w="917" w:type="dxa"/>
            <w:shd w:val="clear" w:color="auto" w:fill="D9D9D9"/>
          </w:tcPr>
          <w:p>
            <w:pPr>
              <w:pStyle w:val="TableParagraph"/>
              <w:spacing w:line="104" w:lineRule="exact"/>
              <w:ind w:left="14"/>
              <w:rPr>
                <w:sz w:val="10"/>
              </w:rPr>
            </w:pPr>
            <w:r>
              <w:rPr>
                <w:sz w:val="10"/>
              </w:rPr>
              <w:t>LCC Sustainable</w:t>
            </w:r>
          </w:p>
          <w:p>
            <w:pPr>
              <w:pStyle w:val="TableParagraph"/>
              <w:spacing w:line="120" w:lineRule="atLeast" w:before="2"/>
              <w:ind w:left="14" w:right="78"/>
              <w:rPr>
                <w:sz w:val="10"/>
              </w:rPr>
            </w:pPr>
            <w:r>
              <w:rPr>
                <w:sz w:val="10"/>
              </w:rPr>
              <w:t>Development Unit &amp; Flood Risk Management</w:t>
            </w:r>
          </w:p>
        </w:tc>
        <w:tc>
          <w:tcPr>
            <w:tcW w:w="1114" w:type="dxa"/>
            <w:shd w:val="clear" w:color="auto" w:fill="D9D9D9"/>
          </w:tcPr>
          <w:p>
            <w:pPr>
              <w:pStyle w:val="TableParagraph"/>
              <w:rPr>
                <w:rFonts w:ascii="Calibri"/>
                <w:sz w:val="14"/>
              </w:rPr>
            </w:pPr>
          </w:p>
          <w:p>
            <w:pPr>
              <w:pStyle w:val="TableParagraph"/>
              <w:ind w:left="14"/>
              <w:rPr>
                <w:sz w:val="10"/>
              </w:rPr>
            </w:pPr>
            <w:r>
              <w:rPr>
                <w:sz w:val="10"/>
              </w:rPr>
              <w:t>Environment Agency</w:t>
            </w:r>
          </w:p>
        </w:tc>
        <w:tc>
          <w:tcPr>
            <w:tcW w:w="670" w:type="dxa"/>
            <w:shd w:val="clear" w:color="auto" w:fill="D9D9D9"/>
          </w:tcPr>
          <w:p>
            <w:pPr>
              <w:pStyle w:val="TableParagraph"/>
              <w:rPr>
                <w:rFonts w:ascii="Calibri"/>
                <w:sz w:val="14"/>
              </w:rPr>
            </w:pPr>
          </w:p>
          <w:p>
            <w:pPr>
              <w:pStyle w:val="TableParagraph"/>
              <w:ind w:left="14"/>
              <w:rPr>
                <w:sz w:val="10"/>
              </w:rPr>
            </w:pPr>
            <w:r>
              <w:rPr>
                <w:sz w:val="10"/>
              </w:rPr>
              <w:t>17/10/2018</w:t>
            </w:r>
          </w:p>
        </w:tc>
      </w:tr>
      <w:tr>
        <w:trPr>
          <w:trHeight w:val="230" w:hRule="atLeast"/>
        </w:trPr>
        <w:tc>
          <w:tcPr>
            <w:tcW w:w="305" w:type="dxa"/>
          </w:tcPr>
          <w:p>
            <w:pPr>
              <w:pStyle w:val="TableParagraph"/>
              <w:spacing w:before="49"/>
              <w:ind w:left="19"/>
              <w:rPr>
                <w:sz w:val="11"/>
              </w:rPr>
            </w:pPr>
            <w:r>
              <w:rPr>
                <w:w w:val="105"/>
                <w:sz w:val="11"/>
              </w:rPr>
              <w:t>P1</w:t>
            </w:r>
          </w:p>
        </w:tc>
        <w:tc>
          <w:tcPr>
            <w:tcW w:w="715" w:type="dxa"/>
            <w:shd w:val="clear" w:color="auto" w:fill="D9D9D9"/>
          </w:tcPr>
          <w:p>
            <w:pPr>
              <w:pStyle w:val="TableParagraph"/>
              <w:rPr>
                <w:rFonts w:ascii="Times New Roman"/>
                <w:sz w:val="10"/>
              </w:rPr>
            </w:pPr>
          </w:p>
        </w:tc>
        <w:tc>
          <w:tcPr>
            <w:tcW w:w="1505" w:type="dxa"/>
            <w:shd w:val="clear" w:color="auto" w:fill="D9D9D9"/>
          </w:tcPr>
          <w:p>
            <w:pPr>
              <w:pStyle w:val="TableParagraph"/>
              <w:spacing w:before="51"/>
              <w:ind w:left="590"/>
              <w:rPr>
                <w:b/>
                <w:sz w:val="10"/>
              </w:rPr>
            </w:pPr>
            <w:r>
              <w:rPr>
                <w:b/>
                <w:sz w:val="10"/>
              </w:rPr>
              <w:t>Mar-14</w:t>
            </w:r>
          </w:p>
        </w:tc>
        <w:tc>
          <w:tcPr>
            <w:tcW w:w="4145" w:type="dxa"/>
            <w:shd w:val="clear" w:color="auto" w:fill="D9D9D9"/>
          </w:tcPr>
          <w:p>
            <w:pPr>
              <w:pStyle w:val="TableParagraph"/>
              <w:spacing w:before="51"/>
              <w:ind w:left="16"/>
              <w:rPr>
                <w:sz w:val="10"/>
              </w:rPr>
            </w:pPr>
            <w:r>
              <w:rPr>
                <w:sz w:val="10"/>
              </w:rPr>
              <w:t>Publish Local Flood Risk Management Strategy</w:t>
            </w:r>
          </w:p>
        </w:tc>
        <w:tc>
          <w:tcPr>
            <w:tcW w:w="927" w:type="dxa"/>
            <w:shd w:val="clear" w:color="auto" w:fill="D9D9D9"/>
          </w:tcPr>
          <w:p>
            <w:pPr>
              <w:pStyle w:val="TableParagraph"/>
              <w:spacing w:before="51"/>
              <w:ind w:left="7"/>
              <w:jc w:val="center"/>
              <w:rPr>
                <w:sz w:val="10"/>
              </w:rPr>
            </w:pPr>
            <w:r>
              <w:rPr>
                <w:w w:val="100"/>
                <w:sz w:val="10"/>
              </w:rPr>
              <w:t>-</w:t>
            </w:r>
          </w:p>
        </w:tc>
        <w:tc>
          <w:tcPr>
            <w:tcW w:w="1707" w:type="dxa"/>
            <w:shd w:val="clear" w:color="auto" w:fill="D9D9D9"/>
          </w:tcPr>
          <w:p>
            <w:pPr>
              <w:pStyle w:val="TableParagraph"/>
              <w:spacing w:line="106" w:lineRule="exact"/>
              <w:ind w:left="15"/>
              <w:rPr>
                <w:sz w:val="10"/>
              </w:rPr>
            </w:pPr>
            <w:r>
              <w:rPr>
                <w:sz w:val="10"/>
              </w:rPr>
              <w:t>2. Spatial planning and development</w:t>
            </w:r>
          </w:p>
          <w:p>
            <w:pPr>
              <w:pStyle w:val="TableParagraph"/>
              <w:spacing w:line="96" w:lineRule="exact" w:before="7"/>
              <w:ind w:left="15"/>
              <w:rPr>
                <w:sz w:val="10"/>
              </w:rPr>
            </w:pPr>
            <w:r>
              <w:rPr>
                <w:sz w:val="10"/>
              </w:rPr>
              <w:t>control</w:t>
            </w:r>
          </w:p>
        </w:tc>
        <w:tc>
          <w:tcPr>
            <w:tcW w:w="4145" w:type="dxa"/>
            <w:shd w:val="clear" w:color="auto" w:fill="D9D9D9"/>
          </w:tcPr>
          <w:p>
            <w:pPr>
              <w:pStyle w:val="TableParagraph"/>
              <w:spacing w:line="106" w:lineRule="exact"/>
              <w:ind w:left="15"/>
              <w:rPr>
                <w:sz w:val="10"/>
              </w:rPr>
            </w:pPr>
            <w:r>
              <w:rPr>
                <w:sz w:val="10"/>
              </w:rPr>
              <w:t>3. Develop a consistent, affordable and sustainable approach to planning and investment in</w:t>
            </w:r>
          </w:p>
          <w:p>
            <w:pPr>
              <w:pStyle w:val="TableParagraph"/>
              <w:spacing w:line="96" w:lineRule="exact" w:before="7"/>
              <w:ind w:left="15"/>
              <w:rPr>
                <w:sz w:val="10"/>
              </w:rPr>
            </w:pPr>
            <w:r>
              <w:rPr>
                <w:sz w:val="10"/>
              </w:rPr>
              <w:t>flood risk management: land allocation, SuDS, SABs;</w:t>
            </w:r>
          </w:p>
        </w:tc>
        <w:tc>
          <w:tcPr>
            <w:tcW w:w="4145" w:type="dxa"/>
            <w:shd w:val="clear" w:color="auto" w:fill="D9D9D9"/>
          </w:tcPr>
          <w:p>
            <w:pPr>
              <w:pStyle w:val="TableParagraph"/>
              <w:spacing w:before="51"/>
              <w:ind w:left="14"/>
              <w:rPr>
                <w:sz w:val="10"/>
              </w:rPr>
            </w:pPr>
            <w:r>
              <w:rPr>
                <w:sz w:val="10"/>
              </w:rPr>
              <w:t>Draft strategy currently being developed in parallel with an SEA.</w:t>
            </w:r>
          </w:p>
        </w:tc>
        <w:tc>
          <w:tcPr>
            <w:tcW w:w="1783" w:type="dxa"/>
            <w:shd w:val="clear" w:color="auto" w:fill="D9D9D9"/>
          </w:tcPr>
          <w:p>
            <w:pPr>
              <w:pStyle w:val="TableParagraph"/>
              <w:spacing w:line="106" w:lineRule="exact"/>
              <w:ind w:left="14"/>
              <w:rPr>
                <w:sz w:val="10"/>
              </w:rPr>
            </w:pPr>
            <w:r>
              <w:rPr>
                <w:sz w:val="10"/>
              </w:rPr>
              <w:t>Will raise awareness of the LFRMS</w:t>
            </w:r>
          </w:p>
          <w:p>
            <w:pPr>
              <w:pStyle w:val="TableParagraph"/>
              <w:spacing w:line="96" w:lineRule="exact" w:before="7"/>
              <w:ind w:left="14"/>
              <w:rPr>
                <w:sz w:val="10"/>
              </w:rPr>
            </w:pPr>
            <w:r>
              <w:rPr>
                <w:sz w:val="10"/>
              </w:rPr>
              <w:t>and FRM issues in the city</w:t>
            </w:r>
          </w:p>
        </w:tc>
        <w:tc>
          <w:tcPr>
            <w:tcW w:w="917" w:type="dxa"/>
            <w:shd w:val="clear" w:color="auto" w:fill="D9D9D9"/>
          </w:tcPr>
          <w:p>
            <w:pPr>
              <w:pStyle w:val="TableParagraph"/>
              <w:spacing w:line="106" w:lineRule="exact"/>
              <w:ind w:left="14"/>
              <w:rPr>
                <w:sz w:val="10"/>
              </w:rPr>
            </w:pPr>
            <w:r>
              <w:rPr>
                <w:sz w:val="10"/>
              </w:rPr>
              <w:t>LCC Flood Risk</w:t>
            </w:r>
          </w:p>
          <w:p>
            <w:pPr>
              <w:pStyle w:val="TableParagraph"/>
              <w:spacing w:line="96" w:lineRule="exact" w:before="7"/>
              <w:ind w:left="14"/>
              <w:rPr>
                <w:sz w:val="10"/>
              </w:rPr>
            </w:pPr>
            <w:r>
              <w:rPr>
                <w:sz w:val="10"/>
              </w:rPr>
              <w:t>Management</w:t>
            </w:r>
          </w:p>
        </w:tc>
        <w:tc>
          <w:tcPr>
            <w:tcW w:w="1114" w:type="dxa"/>
            <w:shd w:val="clear" w:color="auto" w:fill="D9D9D9"/>
          </w:tcPr>
          <w:p>
            <w:pPr>
              <w:pStyle w:val="TableParagraph"/>
              <w:spacing w:before="51"/>
              <w:ind w:left="14"/>
              <w:rPr>
                <w:sz w:val="10"/>
              </w:rPr>
            </w:pPr>
            <w:r>
              <w:rPr>
                <w:sz w:val="10"/>
              </w:rPr>
              <w:t>Environment Agency</w:t>
            </w:r>
          </w:p>
        </w:tc>
        <w:tc>
          <w:tcPr>
            <w:tcW w:w="670" w:type="dxa"/>
            <w:shd w:val="clear" w:color="auto" w:fill="D9D9D9"/>
          </w:tcPr>
          <w:p>
            <w:pPr>
              <w:pStyle w:val="TableParagraph"/>
              <w:spacing w:before="51"/>
              <w:ind w:left="14"/>
              <w:rPr>
                <w:sz w:val="10"/>
              </w:rPr>
            </w:pPr>
            <w:r>
              <w:rPr>
                <w:sz w:val="10"/>
              </w:rPr>
              <w:t>17/10/2018</w:t>
            </w:r>
          </w:p>
        </w:tc>
      </w:tr>
      <w:tr>
        <w:trPr>
          <w:trHeight w:val="350" w:hRule="atLeast"/>
        </w:trPr>
        <w:tc>
          <w:tcPr>
            <w:tcW w:w="305" w:type="dxa"/>
          </w:tcPr>
          <w:p>
            <w:pPr>
              <w:pStyle w:val="TableParagraph"/>
              <w:spacing w:before="11"/>
              <w:rPr>
                <w:rFonts w:ascii="Calibri"/>
                <w:sz w:val="8"/>
              </w:rPr>
            </w:pPr>
          </w:p>
          <w:p>
            <w:pPr>
              <w:pStyle w:val="TableParagraph"/>
              <w:ind w:left="19"/>
              <w:rPr>
                <w:sz w:val="11"/>
              </w:rPr>
            </w:pPr>
            <w:r>
              <w:rPr>
                <w:w w:val="105"/>
                <w:sz w:val="11"/>
              </w:rPr>
              <w:t>P2</w:t>
            </w:r>
          </w:p>
        </w:tc>
        <w:tc>
          <w:tcPr>
            <w:tcW w:w="715" w:type="dxa"/>
            <w:shd w:val="clear" w:color="auto" w:fill="D9D9D9"/>
          </w:tcPr>
          <w:p>
            <w:pPr>
              <w:pStyle w:val="TableParagraph"/>
              <w:rPr>
                <w:rFonts w:ascii="Times New Roman"/>
                <w:sz w:val="10"/>
              </w:rPr>
            </w:pPr>
          </w:p>
        </w:tc>
        <w:tc>
          <w:tcPr>
            <w:tcW w:w="1505" w:type="dxa"/>
            <w:shd w:val="clear" w:color="auto" w:fill="D9D9D9"/>
          </w:tcPr>
          <w:p>
            <w:pPr>
              <w:pStyle w:val="TableParagraph"/>
              <w:spacing w:before="1"/>
              <w:rPr>
                <w:rFonts w:ascii="Calibri"/>
                <w:sz w:val="9"/>
              </w:rPr>
            </w:pPr>
          </w:p>
          <w:p>
            <w:pPr>
              <w:pStyle w:val="TableParagraph"/>
              <w:ind w:left="590"/>
              <w:rPr>
                <w:b/>
                <w:sz w:val="10"/>
              </w:rPr>
            </w:pPr>
            <w:r>
              <w:rPr>
                <w:b/>
                <w:sz w:val="10"/>
              </w:rPr>
              <w:t>Mar-14</w:t>
            </w:r>
          </w:p>
        </w:tc>
        <w:tc>
          <w:tcPr>
            <w:tcW w:w="4145" w:type="dxa"/>
            <w:shd w:val="clear" w:color="auto" w:fill="D9D9D9"/>
          </w:tcPr>
          <w:p>
            <w:pPr>
              <w:pStyle w:val="TableParagraph"/>
              <w:spacing w:before="1"/>
              <w:rPr>
                <w:rFonts w:ascii="Calibri"/>
                <w:sz w:val="9"/>
              </w:rPr>
            </w:pPr>
          </w:p>
          <w:p>
            <w:pPr>
              <w:pStyle w:val="TableParagraph"/>
              <w:ind w:left="16"/>
              <w:rPr>
                <w:sz w:val="10"/>
              </w:rPr>
            </w:pPr>
            <w:r>
              <w:rPr>
                <w:sz w:val="10"/>
              </w:rPr>
              <w:t>Publish LFRMS List of Measures</w:t>
            </w:r>
          </w:p>
        </w:tc>
        <w:tc>
          <w:tcPr>
            <w:tcW w:w="927" w:type="dxa"/>
            <w:shd w:val="clear" w:color="auto" w:fill="D9D9D9"/>
          </w:tcPr>
          <w:p>
            <w:pPr>
              <w:pStyle w:val="TableParagraph"/>
              <w:spacing w:before="1"/>
              <w:rPr>
                <w:rFonts w:ascii="Calibri"/>
                <w:sz w:val="9"/>
              </w:rPr>
            </w:pPr>
          </w:p>
          <w:p>
            <w:pPr>
              <w:pStyle w:val="TableParagraph"/>
              <w:ind w:left="8"/>
              <w:jc w:val="center"/>
              <w:rPr>
                <w:sz w:val="10"/>
              </w:rPr>
            </w:pPr>
            <w:r>
              <w:rPr>
                <w:w w:val="100"/>
                <w:sz w:val="10"/>
              </w:rPr>
              <w:t>-</w:t>
            </w:r>
          </w:p>
        </w:tc>
        <w:tc>
          <w:tcPr>
            <w:tcW w:w="1707" w:type="dxa"/>
            <w:shd w:val="clear" w:color="auto" w:fill="D9D9D9"/>
          </w:tcPr>
          <w:p>
            <w:pPr>
              <w:pStyle w:val="TableParagraph"/>
              <w:spacing w:line="254" w:lineRule="auto" w:before="51"/>
              <w:ind w:left="15" w:right="44"/>
              <w:rPr>
                <w:sz w:val="10"/>
              </w:rPr>
            </w:pPr>
            <w:r>
              <w:rPr>
                <w:sz w:val="10"/>
              </w:rPr>
              <w:t>2. Spatial planning and development control</w:t>
            </w:r>
          </w:p>
        </w:tc>
        <w:tc>
          <w:tcPr>
            <w:tcW w:w="4145" w:type="dxa"/>
            <w:shd w:val="clear" w:color="auto" w:fill="D9D9D9"/>
          </w:tcPr>
          <w:p>
            <w:pPr>
              <w:pStyle w:val="TableParagraph"/>
              <w:spacing w:line="254" w:lineRule="auto" w:before="51"/>
              <w:ind w:left="15"/>
              <w:rPr>
                <w:sz w:val="10"/>
              </w:rPr>
            </w:pPr>
            <w:r>
              <w:rPr>
                <w:sz w:val="10"/>
              </w:rPr>
              <w:t>3. Develop a consistent, affordable and sustainable approach to planning and investment in flood risk management: land allocation, SuDS, SABs;</w:t>
            </w:r>
          </w:p>
        </w:tc>
        <w:tc>
          <w:tcPr>
            <w:tcW w:w="4145" w:type="dxa"/>
            <w:shd w:val="clear" w:color="auto" w:fill="D9D9D9"/>
          </w:tcPr>
          <w:p>
            <w:pPr>
              <w:pStyle w:val="TableParagraph"/>
              <w:spacing w:before="1"/>
              <w:rPr>
                <w:rFonts w:ascii="Calibri"/>
                <w:sz w:val="9"/>
              </w:rPr>
            </w:pPr>
          </w:p>
          <w:p>
            <w:pPr>
              <w:pStyle w:val="TableParagraph"/>
              <w:ind w:left="14"/>
              <w:rPr>
                <w:sz w:val="10"/>
              </w:rPr>
            </w:pPr>
            <w:r>
              <w:rPr>
                <w:sz w:val="10"/>
              </w:rPr>
              <w:t>List of measures currently being developed.</w:t>
            </w:r>
          </w:p>
        </w:tc>
        <w:tc>
          <w:tcPr>
            <w:tcW w:w="1783" w:type="dxa"/>
            <w:shd w:val="clear" w:color="auto" w:fill="D9D9D9"/>
          </w:tcPr>
          <w:p>
            <w:pPr>
              <w:pStyle w:val="TableParagraph"/>
              <w:spacing w:line="106" w:lineRule="exact"/>
              <w:ind w:left="14"/>
              <w:rPr>
                <w:sz w:val="10"/>
              </w:rPr>
            </w:pPr>
            <w:r>
              <w:rPr>
                <w:sz w:val="10"/>
              </w:rPr>
              <w:t>Will assess progress with List of</w:t>
            </w:r>
          </w:p>
          <w:p>
            <w:pPr>
              <w:pStyle w:val="TableParagraph"/>
              <w:spacing w:line="120" w:lineRule="atLeast" w:before="2"/>
              <w:ind w:left="14" w:right="260"/>
              <w:rPr>
                <w:sz w:val="10"/>
              </w:rPr>
            </w:pPr>
            <w:r>
              <w:rPr>
                <w:sz w:val="10"/>
              </w:rPr>
              <w:t>Measures and ensure continuous improvement</w:t>
            </w:r>
          </w:p>
        </w:tc>
        <w:tc>
          <w:tcPr>
            <w:tcW w:w="917" w:type="dxa"/>
            <w:shd w:val="clear" w:color="auto" w:fill="D9D9D9"/>
          </w:tcPr>
          <w:p>
            <w:pPr>
              <w:pStyle w:val="TableParagraph"/>
              <w:spacing w:line="254" w:lineRule="auto" w:before="51"/>
              <w:ind w:left="14" w:right="172"/>
              <w:rPr>
                <w:sz w:val="10"/>
              </w:rPr>
            </w:pPr>
            <w:r>
              <w:rPr>
                <w:sz w:val="10"/>
              </w:rPr>
              <w:t>LCC Flood Risk Management</w:t>
            </w:r>
          </w:p>
        </w:tc>
        <w:tc>
          <w:tcPr>
            <w:tcW w:w="1114" w:type="dxa"/>
            <w:shd w:val="clear" w:color="auto" w:fill="D9D9D9"/>
          </w:tcPr>
          <w:p>
            <w:pPr>
              <w:pStyle w:val="TableParagraph"/>
              <w:spacing w:line="106" w:lineRule="exact"/>
              <w:ind w:left="14"/>
              <w:rPr>
                <w:sz w:val="10"/>
              </w:rPr>
            </w:pPr>
            <w:r>
              <w:rPr>
                <w:sz w:val="10"/>
              </w:rPr>
              <w:t>Internal LCC</w:t>
            </w:r>
          </w:p>
          <w:p>
            <w:pPr>
              <w:pStyle w:val="TableParagraph"/>
              <w:spacing w:line="120" w:lineRule="atLeast" w:before="2"/>
              <w:ind w:left="14" w:right="119"/>
              <w:rPr>
                <w:sz w:val="10"/>
              </w:rPr>
            </w:pPr>
            <w:r>
              <w:rPr>
                <w:sz w:val="10"/>
              </w:rPr>
              <w:t>departments and external stakeholders</w:t>
            </w:r>
          </w:p>
        </w:tc>
        <w:tc>
          <w:tcPr>
            <w:tcW w:w="670" w:type="dxa"/>
            <w:shd w:val="clear" w:color="auto" w:fill="D9D9D9"/>
          </w:tcPr>
          <w:p>
            <w:pPr>
              <w:pStyle w:val="TableParagraph"/>
              <w:spacing w:before="1"/>
              <w:rPr>
                <w:rFonts w:ascii="Calibri"/>
                <w:sz w:val="9"/>
              </w:rPr>
            </w:pPr>
          </w:p>
          <w:p>
            <w:pPr>
              <w:pStyle w:val="TableParagraph"/>
              <w:ind w:left="14"/>
              <w:rPr>
                <w:sz w:val="10"/>
              </w:rPr>
            </w:pPr>
            <w:r>
              <w:rPr>
                <w:sz w:val="10"/>
              </w:rPr>
              <w:t>17/10/2018</w:t>
            </w:r>
          </w:p>
        </w:tc>
      </w:tr>
      <w:tr>
        <w:trPr>
          <w:trHeight w:val="590" w:hRule="atLeast"/>
        </w:trPr>
        <w:tc>
          <w:tcPr>
            <w:tcW w:w="305" w:type="dxa"/>
          </w:tcPr>
          <w:p>
            <w:pPr>
              <w:pStyle w:val="TableParagraph"/>
              <w:rPr>
                <w:rFonts w:ascii="Calibri"/>
                <w:sz w:val="12"/>
              </w:rPr>
            </w:pPr>
          </w:p>
          <w:p>
            <w:pPr>
              <w:pStyle w:val="TableParagraph"/>
              <w:spacing w:before="82"/>
              <w:ind w:left="19"/>
              <w:rPr>
                <w:sz w:val="11"/>
              </w:rPr>
            </w:pPr>
            <w:r>
              <w:rPr>
                <w:w w:val="105"/>
                <w:sz w:val="11"/>
              </w:rPr>
              <w:t>P21</w:t>
            </w:r>
          </w:p>
        </w:tc>
        <w:tc>
          <w:tcPr>
            <w:tcW w:w="715" w:type="dxa"/>
            <w:shd w:val="clear" w:color="auto" w:fill="D9D9D9"/>
          </w:tcPr>
          <w:p>
            <w:pPr>
              <w:pStyle w:val="TableParagraph"/>
              <w:rPr>
                <w:rFonts w:ascii="Times New Roman"/>
                <w:sz w:val="10"/>
              </w:rPr>
            </w:pPr>
          </w:p>
        </w:tc>
        <w:tc>
          <w:tcPr>
            <w:tcW w:w="1505" w:type="dxa"/>
            <w:shd w:val="clear" w:color="auto" w:fill="D9D9D9"/>
          </w:tcPr>
          <w:p>
            <w:pPr>
              <w:pStyle w:val="TableParagraph"/>
              <w:rPr>
                <w:rFonts w:ascii="Calibri"/>
                <w:sz w:val="10"/>
              </w:rPr>
            </w:pPr>
          </w:p>
          <w:p>
            <w:pPr>
              <w:pStyle w:val="TableParagraph"/>
              <w:spacing w:before="11"/>
              <w:rPr>
                <w:rFonts w:ascii="Calibri"/>
                <w:sz w:val="8"/>
              </w:rPr>
            </w:pPr>
          </w:p>
          <w:p>
            <w:pPr>
              <w:pStyle w:val="TableParagraph"/>
              <w:ind w:left="590"/>
              <w:rPr>
                <w:b/>
                <w:sz w:val="10"/>
              </w:rPr>
            </w:pPr>
            <w:r>
              <w:rPr>
                <w:b/>
                <w:sz w:val="10"/>
              </w:rPr>
              <w:t>Jun-17</w:t>
            </w:r>
          </w:p>
        </w:tc>
        <w:tc>
          <w:tcPr>
            <w:tcW w:w="4145" w:type="dxa"/>
            <w:shd w:val="clear" w:color="auto" w:fill="D9D9D9"/>
          </w:tcPr>
          <w:p>
            <w:pPr>
              <w:pStyle w:val="TableParagraph"/>
              <w:rPr>
                <w:rFonts w:ascii="Calibri"/>
                <w:sz w:val="10"/>
              </w:rPr>
            </w:pPr>
          </w:p>
          <w:p>
            <w:pPr>
              <w:pStyle w:val="TableParagraph"/>
              <w:spacing w:before="11"/>
              <w:rPr>
                <w:rFonts w:ascii="Calibri"/>
                <w:sz w:val="8"/>
              </w:rPr>
            </w:pPr>
          </w:p>
          <w:p>
            <w:pPr>
              <w:pStyle w:val="TableParagraph"/>
              <w:ind w:left="16"/>
              <w:rPr>
                <w:sz w:val="10"/>
              </w:rPr>
            </w:pPr>
            <w:r>
              <w:rPr>
                <w:sz w:val="10"/>
              </w:rPr>
              <w:t>Preliminary Flood Risk Assessment (PFRA) Update</w:t>
            </w:r>
          </w:p>
        </w:tc>
        <w:tc>
          <w:tcPr>
            <w:tcW w:w="927" w:type="dxa"/>
            <w:shd w:val="clear" w:color="auto" w:fill="D9D9D9"/>
          </w:tcPr>
          <w:p>
            <w:pPr>
              <w:pStyle w:val="TableParagraph"/>
              <w:rPr>
                <w:rFonts w:ascii="Calibri"/>
                <w:sz w:val="10"/>
              </w:rPr>
            </w:pPr>
          </w:p>
          <w:p>
            <w:pPr>
              <w:pStyle w:val="TableParagraph"/>
              <w:spacing w:before="11"/>
              <w:rPr>
                <w:rFonts w:ascii="Calibri"/>
                <w:sz w:val="8"/>
              </w:rPr>
            </w:pPr>
          </w:p>
          <w:p>
            <w:pPr>
              <w:pStyle w:val="TableParagraph"/>
              <w:ind w:left="7"/>
              <w:jc w:val="center"/>
              <w:rPr>
                <w:sz w:val="10"/>
              </w:rPr>
            </w:pPr>
            <w:r>
              <w:rPr>
                <w:w w:val="100"/>
                <w:sz w:val="10"/>
              </w:rPr>
              <w:t>-</w:t>
            </w:r>
          </w:p>
        </w:tc>
        <w:tc>
          <w:tcPr>
            <w:tcW w:w="1707" w:type="dxa"/>
            <w:shd w:val="clear" w:color="auto" w:fill="D9D9D9"/>
          </w:tcPr>
          <w:p>
            <w:pPr>
              <w:pStyle w:val="TableParagraph"/>
              <w:rPr>
                <w:rFonts w:ascii="Calibri"/>
                <w:sz w:val="14"/>
              </w:rPr>
            </w:pPr>
          </w:p>
          <w:p>
            <w:pPr>
              <w:pStyle w:val="TableParagraph"/>
              <w:spacing w:line="254" w:lineRule="auto"/>
              <w:ind w:left="15" w:right="127"/>
              <w:rPr>
                <w:sz w:val="10"/>
              </w:rPr>
            </w:pPr>
            <w:r>
              <w:rPr>
                <w:sz w:val="10"/>
              </w:rPr>
              <w:t>1. Flood awareness, response and recovery</w:t>
            </w:r>
          </w:p>
        </w:tc>
        <w:tc>
          <w:tcPr>
            <w:tcW w:w="4145" w:type="dxa"/>
            <w:shd w:val="clear" w:color="auto" w:fill="D9D9D9"/>
          </w:tcPr>
          <w:p>
            <w:pPr>
              <w:pStyle w:val="TableParagraph"/>
              <w:rPr>
                <w:rFonts w:ascii="Calibri"/>
                <w:sz w:val="10"/>
              </w:rPr>
            </w:pPr>
          </w:p>
          <w:p>
            <w:pPr>
              <w:pStyle w:val="TableParagraph"/>
              <w:spacing w:before="11"/>
              <w:rPr>
                <w:rFonts w:ascii="Calibri"/>
                <w:sz w:val="8"/>
              </w:rPr>
            </w:pPr>
          </w:p>
          <w:p>
            <w:pPr>
              <w:pStyle w:val="TableParagraph"/>
              <w:ind w:left="15"/>
              <w:rPr>
                <w:sz w:val="10"/>
              </w:rPr>
            </w:pPr>
            <w:r>
              <w:rPr>
                <w:sz w:val="10"/>
              </w:rPr>
              <w:t>6. Improve understanding of local flood risk and seek to decrease local flood risk.</w:t>
            </w:r>
          </w:p>
        </w:tc>
        <w:tc>
          <w:tcPr>
            <w:tcW w:w="4145" w:type="dxa"/>
            <w:shd w:val="clear" w:color="auto" w:fill="D9D9D9"/>
          </w:tcPr>
          <w:p>
            <w:pPr>
              <w:pStyle w:val="TableParagraph"/>
              <w:rPr>
                <w:rFonts w:ascii="Calibri"/>
                <w:sz w:val="10"/>
              </w:rPr>
            </w:pPr>
          </w:p>
          <w:p>
            <w:pPr>
              <w:pStyle w:val="TableParagraph"/>
              <w:spacing w:before="11"/>
              <w:rPr>
                <w:rFonts w:ascii="Calibri"/>
                <w:sz w:val="8"/>
              </w:rPr>
            </w:pPr>
          </w:p>
          <w:p>
            <w:pPr>
              <w:pStyle w:val="TableParagraph"/>
              <w:ind w:left="14"/>
              <w:rPr>
                <w:sz w:val="10"/>
              </w:rPr>
            </w:pPr>
            <w:r>
              <w:rPr>
                <w:sz w:val="10"/>
              </w:rPr>
              <w:t>In accordance with EA-published self-assessment guidance.</w:t>
            </w:r>
          </w:p>
        </w:tc>
        <w:tc>
          <w:tcPr>
            <w:tcW w:w="1783" w:type="dxa"/>
            <w:shd w:val="clear" w:color="auto" w:fill="D9D9D9"/>
          </w:tcPr>
          <w:p>
            <w:pPr>
              <w:pStyle w:val="TableParagraph"/>
              <w:spacing w:line="254" w:lineRule="auto" w:before="49"/>
              <w:ind w:left="14" w:right="26"/>
              <w:rPr>
                <w:sz w:val="10"/>
              </w:rPr>
            </w:pPr>
            <w:r>
              <w:rPr>
                <w:w w:val="100"/>
                <w:sz w:val="10"/>
              </w:rPr>
              <w:t>The</w:t>
            </w:r>
            <w:r>
              <w:rPr>
                <w:rFonts w:ascii="Times New Roman"/>
                <w:sz w:val="10"/>
              </w:rPr>
              <w:t> </w:t>
            </w:r>
            <w:r>
              <w:rPr>
                <w:w w:val="100"/>
                <w:sz w:val="10"/>
              </w:rPr>
              <w:t>first</w:t>
            </w:r>
            <w:r>
              <w:rPr>
                <w:rFonts w:ascii="Times New Roman"/>
                <w:sz w:val="10"/>
              </w:rPr>
              <w:t> </w:t>
            </w:r>
            <w:r>
              <w:rPr>
                <w:w w:val="100"/>
                <w:sz w:val="10"/>
              </w:rPr>
              <w:t>review</w:t>
            </w:r>
            <w:r>
              <w:rPr>
                <w:rFonts w:ascii="Times New Roman"/>
                <w:sz w:val="10"/>
              </w:rPr>
              <w:t> </w:t>
            </w:r>
            <w:r>
              <w:rPr>
                <w:spacing w:val="-1"/>
                <w:w w:val="100"/>
                <w:sz w:val="10"/>
              </w:rPr>
              <w:t>o</w:t>
            </w:r>
            <w:r>
              <w:rPr>
                <w:w w:val="100"/>
                <w:sz w:val="10"/>
              </w:rPr>
              <w:t>f</w:t>
            </w:r>
            <w:r>
              <w:rPr>
                <w:rFonts w:ascii="Times New Roman"/>
                <w:sz w:val="10"/>
              </w:rPr>
              <w:t> </w:t>
            </w:r>
            <w:r>
              <w:rPr>
                <w:spacing w:val="-1"/>
                <w:w w:val="100"/>
                <w:sz w:val="10"/>
              </w:rPr>
              <w:t>LCC</w:t>
            </w:r>
            <w:r>
              <w:rPr>
                <w:spacing w:val="-57"/>
                <w:w w:val="395"/>
                <w:sz w:val="10"/>
              </w:rPr>
              <w:t>'</w:t>
            </w:r>
            <w:r>
              <w:rPr>
                <w:w w:val="100"/>
                <w:sz w:val="10"/>
              </w:rPr>
              <w:t>s</w:t>
            </w:r>
            <w:r>
              <w:rPr>
                <w:rFonts w:ascii="Times New Roman"/>
                <w:sz w:val="10"/>
              </w:rPr>
              <w:t> </w:t>
            </w:r>
            <w:r>
              <w:rPr>
                <w:spacing w:val="-1"/>
                <w:w w:val="100"/>
                <w:sz w:val="10"/>
              </w:rPr>
              <w:t>preliminary</w:t>
            </w:r>
            <w:r>
              <w:rPr>
                <w:rFonts w:ascii="Times New Roman"/>
                <w:spacing w:val="-1"/>
                <w:w w:val="100"/>
                <w:sz w:val="10"/>
              </w:rPr>
              <w:t> </w:t>
            </w:r>
            <w:r>
              <w:rPr>
                <w:sz w:val="10"/>
              </w:rPr>
              <w:t>assessment report and identification of flood risk areas (FRAs), as required by the Flood Risk Regulations (2009).</w:t>
            </w:r>
          </w:p>
        </w:tc>
        <w:tc>
          <w:tcPr>
            <w:tcW w:w="917" w:type="dxa"/>
            <w:shd w:val="clear" w:color="auto" w:fill="D9D9D9"/>
          </w:tcPr>
          <w:p>
            <w:pPr>
              <w:pStyle w:val="TableParagraph"/>
              <w:rPr>
                <w:rFonts w:ascii="Calibri"/>
                <w:sz w:val="14"/>
              </w:rPr>
            </w:pPr>
          </w:p>
          <w:p>
            <w:pPr>
              <w:pStyle w:val="TableParagraph"/>
              <w:spacing w:line="254" w:lineRule="auto"/>
              <w:ind w:left="14" w:right="172"/>
              <w:rPr>
                <w:sz w:val="10"/>
              </w:rPr>
            </w:pPr>
            <w:r>
              <w:rPr>
                <w:sz w:val="10"/>
              </w:rPr>
              <w:t>LCC Flood Risk Management</w:t>
            </w:r>
          </w:p>
        </w:tc>
        <w:tc>
          <w:tcPr>
            <w:tcW w:w="1114" w:type="dxa"/>
            <w:shd w:val="clear" w:color="auto" w:fill="D9D9D9"/>
          </w:tcPr>
          <w:p>
            <w:pPr>
              <w:pStyle w:val="TableParagraph"/>
              <w:spacing w:before="11"/>
              <w:rPr>
                <w:rFonts w:ascii="Calibri"/>
                <w:sz w:val="8"/>
              </w:rPr>
            </w:pPr>
          </w:p>
          <w:p>
            <w:pPr>
              <w:pStyle w:val="TableParagraph"/>
              <w:spacing w:line="254" w:lineRule="auto"/>
              <w:ind w:left="14" w:right="119"/>
              <w:rPr>
                <w:sz w:val="10"/>
              </w:rPr>
            </w:pPr>
            <w:r>
              <w:rPr>
                <w:sz w:val="10"/>
              </w:rPr>
              <w:t>Internal LCC departments and external stakeholders</w:t>
            </w:r>
          </w:p>
        </w:tc>
        <w:tc>
          <w:tcPr>
            <w:tcW w:w="670" w:type="dxa"/>
            <w:shd w:val="clear" w:color="auto" w:fill="D9D9D9"/>
          </w:tcPr>
          <w:p>
            <w:pPr>
              <w:pStyle w:val="TableParagraph"/>
              <w:rPr>
                <w:rFonts w:ascii="Calibri"/>
                <w:sz w:val="10"/>
              </w:rPr>
            </w:pPr>
          </w:p>
          <w:p>
            <w:pPr>
              <w:pStyle w:val="TableParagraph"/>
              <w:spacing w:before="11"/>
              <w:rPr>
                <w:rFonts w:ascii="Calibri"/>
                <w:sz w:val="8"/>
              </w:rPr>
            </w:pPr>
          </w:p>
          <w:p>
            <w:pPr>
              <w:pStyle w:val="TableParagraph"/>
              <w:ind w:left="14"/>
              <w:rPr>
                <w:sz w:val="10"/>
              </w:rPr>
            </w:pPr>
            <w:r>
              <w:rPr>
                <w:sz w:val="10"/>
              </w:rPr>
              <w:t>17/10/2018</w:t>
            </w:r>
          </w:p>
        </w:tc>
      </w:tr>
      <w:tr>
        <w:trPr>
          <w:trHeight w:val="350" w:hRule="atLeast"/>
        </w:trPr>
        <w:tc>
          <w:tcPr>
            <w:tcW w:w="305" w:type="dxa"/>
          </w:tcPr>
          <w:p>
            <w:pPr>
              <w:pStyle w:val="TableParagraph"/>
              <w:spacing w:before="11"/>
              <w:rPr>
                <w:rFonts w:ascii="Calibri"/>
                <w:sz w:val="8"/>
              </w:rPr>
            </w:pPr>
          </w:p>
          <w:p>
            <w:pPr>
              <w:pStyle w:val="TableParagraph"/>
              <w:ind w:left="19"/>
              <w:rPr>
                <w:sz w:val="11"/>
              </w:rPr>
            </w:pPr>
            <w:r>
              <w:rPr>
                <w:w w:val="105"/>
                <w:sz w:val="11"/>
              </w:rPr>
              <w:t>P23</w:t>
            </w:r>
          </w:p>
        </w:tc>
        <w:tc>
          <w:tcPr>
            <w:tcW w:w="715" w:type="dxa"/>
            <w:shd w:val="clear" w:color="auto" w:fill="D9D9D9"/>
          </w:tcPr>
          <w:p>
            <w:pPr>
              <w:pStyle w:val="TableParagraph"/>
              <w:rPr>
                <w:rFonts w:ascii="Times New Roman"/>
                <w:sz w:val="10"/>
              </w:rPr>
            </w:pPr>
          </w:p>
        </w:tc>
        <w:tc>
          <w:tcPr>
            <w:tcW w:w="1505" w:type="dxa"/>
            <w:shd w:val="clear" w:color="auto" w:fill="D9D9D9"/>
          </w:tcPr>
          <w:p>
            <w:pPr>
              <w:pStyle w:val="TableParagraph"/>
              <w:spacing w:before="1"/>
              <w:rPr>
                <w:rFonts w:ascii="Calibri"/>
                <w:sz w:val="9"/>
              </w:rPr>
            </w:pPr>
          </w:p>
          <w:p>
            <w:pPr>
              <w:pStyle w:val="TableParagraph"/>
              <w:ind w:left="587"/>
              <w:rPr>
                <w:b/>
                <w:sz w:val="10"/>
              </w:rPr>
            </w:pPr>
            <w:r>
              <w:rPr>
                <w:b/>
                <w:sz w:val="10"/>
              </w:rPr>
              <w:t>Dec-18</w:t>
            </w:r>
          </w:p>
        </w:tc>
        <w:tc>
          <w:tcPr>
            <w:tcW w:w="4145" w:type="dxa"/>
            <w:shd w:val="clear" w:color="auto" w:fill="D9D9D9"/>
          </w:tcPr>
          <w:p>
            <w:pPr>
              <w:pStyle w:val="TableParagraph"/>
              <w:spacing w:before="1"/>
              <w:rPr>
                <w:rFonts w:ascii="Calibri"/>
                <w:sz w:val="9"/>
              </w:rPr>
            </w:pPr>
          </w:p>
          <w:p>
            <w:pPr>
              <w:pStyle w:val="TableParagraph"/>
              <w:ind w:left="16"/>
              <w:rPr>
                <w:sz w:val="10"/>
              </w:rPr>
            </w:pPr>
            <w:r>
              <w:rPr>
                <w:sz w:val="10"/>
              </w:rPr>
              <w:t>Publish LFRMS List of Measures</w:t>
            </w:r>
          </w:p>
        </w:tc>
        <w:tc>
          <w:tcPr>
            <w:tcW w:w="927" w:type="dxa"/>
            <w:shd w:val="clear" w:color="auto" w:fill="D9D9D9"/>
          </w:tcPr>
          <w:p>
            <w:pPr>
              <w:pStyle w:val="TableParagraph"/>
              <w:spacing w:before="1"/>
              <w:rPr>
                <w:rFonts w:ascii="Calibri"/>
                <w:sz w:val="9"/>
              </w:rPr>
            </w:pPr>
          </w:p>
          <w:p>
            <w:pPr>
              <w:pStyle w:val="TableParagraph"/>
              <w:ind w:left="8"/>
              <w:jc w:val="center"/>
              <w:rPr>
                <w:sz w:val="10"/>
              </w:rPr>
            </w:pPr>
            <w:r>
              <w:rPr>
                <w:w w:val="100"/>
                <w:sz w:val="10"/>
              </w:rPr>
              <w:t>-</w:t>
            </w:r>
          </w:p>
        </w:tc>
        <w:tc>
          <w:tcPr>
            <w:tcW w:w="1707" w:type="dxa"/>
            <w:shd w:val="clear" w:color="auto" w:fill="D9D9D9"/>
          </w:tcPr>
          <w:p>
            <w:pPr>
              <w:pStyle w:val="TableParagraph"/>
              <w:spacing w:line="254" w:lineRule="auto" w:before="51"/>
              <w:ind w:left="15" w:right="44"/>
              <w:rPr>
                <w:sz w:val="10"/>
              </w:rPr>
            </w:pPr>
            <w:r>
              <w:rPr>
                <w:sz w:val="10"/>
              </w:rPr>
              <w:t>2. Spatial planning and development control</w:t>
            </w:r>
          </w:p>
        </w:tc>
        <w:tc>
          <w:tcPr>
            <w:tcW w:w="4145" w:type="dxa"/>
            <w:shd w:val="clear" w:color="auto" w:fill="D9D9D9"/>
          </w:tcPr>
          <w:p>
            <w:pPr>
              <w:pStyle w:val="TableParagraph"/>
              <w:spacing w:line="254" w:lineRule="auto" w:before="51"/>
              <w:ind w:left="15"/>
              <w:rPr>
                <w:sz w:val="10"/>
              </w:rPr>
            </w:pPr>
            <w:r>
              <w:rPr>
                <w:sz w:val="10"/>
              </w:rPr>
              <w:t>3. Develop a consistent, affordable and sustainable approach to planning and investment in flood risk management: land allocation, SuDS, SABs;</w:t>
            </w:r>
          </w:p>
        </w:tc>
        <w:tc>
          <w:tcPr>
            <w:tcW w:w="4145" w:type="dxa"/>
            <w:shd w:val="clear" w:color="auto" w:fill="D9D9D9"/>
          </w:tcPr>
          <w:p>
            <w:pPr>
              <w:pStyle w:val="TableParagraph"/>
              <w:spacing w:before="1"/>
              <w:rPr>
                <w:rFonts w:ascii="Calibri"/>
                <w:sz w:val="9"/>
              </w:rPr>
            </w:pPr>
          </w:p>
          <w:p>
            <w:pPr>
              <w:pStyle w:val="TableParagraph"/>
              <w:ind w:left="14"/>
              <w:rPr>
                <w:sz w:val="10"/>
              </w:rPr>
            </w:pPr>
            <w:r>
              <w:rPr>
                <w:sz w:val="10"/>
              </w:rPr>
              <w:t>List of measures currently being developed.</w:t>
            </w:r>
          </w:p>
        </w:tc>
        <w:tc>
          <w:tcPr>
            <w:tcW w:w="1783" w:type="dxa"/>
            <w:shd w:val="clear" w:color="auto" w:fill="D9D9D9"/>
          </w:tcPr>
          <w:p>
            <w:pPr>
              <w:pStyle w:val="TableParagraph"/>
              <w:spacing w:line="106" w:lineRule="exact"/>
              <w:ind w:left="14"/>
              <w:rPr>
                <w:sz w:val="10"/>
              </w:rPr>
            </w:pPr>
            <w:r>
              <w:rPr>
                <w:sz w:val="10"/>
              </w:rPr>
              <w:t>Will assess progress with List of</w:t>
            </w:r>
          </w:p>
          <w:p>
            <w:pPr>
              <w:pStyle w:val="TableParagraph"/>
              <w:spacing w:line="120" w:lineRule="atLeast" w:before="2"/>
              <w:ind w:left="14" w:right="260"/>
              <w:rPr>
                <w:sz w:val="10"/>
              </w:rPr>
            </w:pPr>
            <w:r>
              <w:rPr>
                <w:sz w:val="10"/>
              </w:rPr>
              <w:t>Measures and ensure continuous improvement</w:t>
            </w:r>
          </w:p>
        </w:tc>
        <w:tc>
          <w:tcPr>
            <w:tcW w:w="917" w:type="dxa"/>
            <w:shd w:val="clear" w:color="auto" w:fill="D9D9D9"/>
          </w:tcPr>
          <w:p>
            <w:pPr>
              <w:pStyle w:val="TableParagraph"/>
              <w:spacing w:line="254" w:lineRule="auto" w:before="51"/>
              <w:ind w:left="14" w:right="172"/>
              <w:rPr>
                <w:sz w:val="10"/>
              </w:rPr>
            </w:pPr>
            <w:r>
              <w:rPr>
                <w:sz w:val="10"/>
              </w:rPr>
              <w:t>LCC Flood Risk Management</w:t>
            </w:r>
          </w:p>
        </w:tc>
        <w:tc>
          <w:tcPr>
            <w:tcW w:w="1114" w:type="dxa"/>
            <w:shd w:val="clear" w:color="auto" w:fill="D9D9D9"/>
          </w:tcPr>
          <w:p>
            <w:pPr>
              <w:pStyle w:val="TableParagraph"/>
              <w:spacing w:line="106" w:lineRule="exact"/>
              <w:ind w:left="14"/>
              <w:rPr>
                <w:sz w:val="10"/>
              </w:rPr>
            </w:pPr>
            <w:r>
              <w:rPr>
                <w:sz w:val="10"/>
              </w:rPr>
              <w:t>Internal LCC</w:t>
            </w:r>
          </w:p>
          <w:p>
            <w:pPr>
              <w:pStyle w:val="TableParagraph"/>
              <w:spacing w:line="120" w:lineRule="atLeast" w:before="2"/>
              <w:ind w:left="14" w:right="119"/>
              <w:rPr>
                <w:sz w:val="10"/>
              </w:rPr>
            </w:pPr>
            <w:r>
              <w:rPr>
                <w:sz w:val="10"/>
              </w:rPr>
              <w:t>departments and external stakeholders</w:t>
            </w:r>
          </w:p>
        </w:tc>
        <w:tc>
          <w:tcPr>
            <w:tcW w:w="670" w:type="dxa"/>
            <w:shd w:val="clear" w:color="auto" w:fill="D9D9D9"/>
          </w:tcPr>
          <w:p>
            <w:pPr>
              <w:pStyle w:val="TableParagraph"/>
              <w:spacing w:before="1"/>
              <w:rPr>
                <w:rFonts w:ascii="Calibri"/>
                <w:sz w:val="9"/>
              </w:rPr>
            </w:pPr>
          </w:p>
          <w:p>
            <w:pPr>
              <w:pStyle w:val="TableParagraph"/>
              <w:ind w:left="14"/>
              <w:rPr>
                <w:sz w:val="10"/>
              </w:rPr>
            </w:pPr>
            <w:r>
              <w:rPr>
                <w:sz w:val="10"/>
              </w:rPr>
              <w:t>17/10/2018</w:t>
            </w:r>
          </w:p>
        </w:tc>
      </w:tr>
      <w:tr>
        <w:trPr>
          <w:trHeight w:val="350" w:hRule="atLeast"/>
        </w:trPr>
        <w:tc>
          <w:tcPr>
            <w:tcW w:w="305" w:type="dxa"/>
          </w:tcPr>
          <w:p>
            <w:pPr>
              <w:pStyle w:val="TableParagraph"/>
              <w:spacing w:before="11"/>
              <w:rPr>
                <w:rFonts w:ascii="Calibri"/>
                <w:sz w:val="8"/>
              </w:rPr>
            </w:pPr>
          </w:p>
          <w:p>
            <w:pPr>
              <w:pStyle w:val="TableParagraph"/>
              <w:ind w:left="19"/>
              <w:rPr>
                <w:sz w:val="11"/>
              </w:rPr>
            </w:pPr>
            <w:r>
              <w:rPr>
                <w:w w:val="105"/>
                <w:sz w:val="11"/>
              </w:rPr>
              <w:t>P22</w:t>
            </w:r>
          </w:p>
        </w:tc>
        <w:tc>
          <w:tcPr>
            <w:tcW w:w="715" w:type="dxa"/>
            <w:shd w:val="clear" w:color="auto" w:fill="D9D9D9"/>
          </w:tcPr>
          <w:p>
            <w:pPr>
              <w:pStyle w:val="TableParagraph"/>
              <w:rPr>
                <w:rFonts w:ascii="Times New Roman"/>
                <w:sz w:val="10"/>
              </w:rPr>
            </w:pPr>
          </w:p>
        </w:tc>
        <w:tc>
          <w:tcPr>
            <w:tcW w:w="1505" w:type="dxa"/>
            <w:shd w:val="clear" w:color="auto" w:fill="D9D9D9"/>
          </w:tcPr>
          <w:p>
            <w:pPr>
              <w:pStyle w:val="TableParagraph"/>
              <w:spacing w:before="1"/>
              <w:rPr>
                <w:rFonts w:ascii="Calibri"/>
                <w:sz w:val="9"/>
              </w:rPr>
            </w:pPr>
          </w:p>
          <w:p>
            <w:pPr>
              <w:pStyle w:val="TableParagraph"/>
              <w:ind w:left="587"/>
              <w:rPr>
                <w:b/>
                <w:sz w:val="10"/>
              </w:rPr>
            </w:pPr>
            <w:r>
              <w:rPr>
                <w:b/>
                <w:sz w:val="10"/>
              </w:rPr>
              <w:t>Dec-18</w:t>
            </w:r>
          </w:p>
        </w:tc>
        <w:tc>
          <w:tcPr>
            <w:tcW w:w="4145" w:type="dxa"/>
            <w:shd w:val="clear" w:color="auto" w:fill="D9D9D9"/>
          </w:tcPr>
          <w:p>
            <w:pPr>
              <w:pStyle w:val="TableParagraph"/>
              <w:spacing w:before="1"/>
              <w:rPr>
                <w:rFonts w:ascii="Calibri"/>
                <w:sz w:val="9"/>
              </w:rPr>
            </w:pPr>
          </w:p>
          <w:p>
            <w:pPr>
              <w:pStyle w:val="TableParagraph"/>
              <w:ind w:left="16"/>
              <w:rPr>
                <w:sz w:val="10"/>
              </w:rPr>
            </w:pPr>
            <w:r>
              <w:rPr>
                <w:sz w:val="10"/>
              </w:rPr>
              <w:t>Review Local Flood Risk Management Strategy (LFRMS)</w:t>
            </w:r>
          </w:p>
        </w:tc>
        <w:tc>
          <w:tcPr>
            <w:tcW w:w="927" w:type="dxa"/>
            <w:shd w:val="clear" w:color="auto" w:fill="D9D9D9"/>
          </w:tcPr>
          <w:p>
            <w:pPr>
              <w:pStyle w:val="TableParagraph"/>
              <w:spacing w:before="1"/>
              <w:rPr>
                <w:rFonts w:ascii="Calibri"/>
                <w:sz w:val="9"/>
              </w:rPr>
            </w:pPr>
          </w:p>
          <w:p>
            <w:pPr>
              <w:pStyle w:val="TableParagraph"/>
              <w:ind w:left="7"/>
              <w:jc w:val="center"/>
              <w:rPr>
                <w:sz w:val="10"/>
              </w:rPr>
            </w:pPr>
            <w:r>
              <w:rPr>
                <w:w w:val="100"/>
                <w:sz w:val="10"/>
              </w:rPr>
              <w:t>-</w:t>
            </w:r>
          </w:p>
        </w:tc>
        <w:tc>
          <w:tcPr>
            <w:tcW w:w="1707" w:type="dxa"/>
            <w:shd w:val="clear" w:color="auto" w:fill="D9D9D9"/>
          </w:tcPr>
          <w:p>
            <w:pPr>
              <w:pStyle w:val="TableParagraph"/>
              <w:spacing w:line="254" w:lineRule="auto" w:before="51"/>
              <w:ind w:left="15" w:right="44"/>
              <w:rPr>
                <w:sz w:val="10"/>
              </w:rPr>
            </w:pPr>
            <w:r>
              <w:rPr>
                <w:sz w:val="10"/>
              </w:rPr>
              <w:t>2. Spatial planning and development control</w:t>
            </w:r>
          </w:p>
        </w:tc>
        <w:tc>
          <w:tcPr>
            <w:tcW w:w="4145" w:type="dxa"/>
            <w:shd w:val="clear" w:color="auto" w:fill="D9D9D9"/>
          </w:tcPr>
          <w:p>
            <w:pPr>
              <w:pStyle w:val="TableParagraph"/>
              <w:spacing w:line="254" w:lineRule="auto" w:before="51"/>
              <w:ind w:left="15"/>
              <w:rPr>
                <w:sz w:val="10"/>
              </w:rPr>
            </w:pPr>
            <w:r>
              <w:rPr>
                <w:sz w:val="10"/>
              </w:rPr>
              <w:t>3. Develop a consistent, affordable and sustainable approach to planning and investment in flood risk management: land allocation, SuDS, SABs;</w:t>
            </w:r>
          </w:p>
        </w:tc>
        <w:tc>
          <w:tcPr>
            <w:tcW w:w="4145" w:type="dxa"/>
            <w:shd w:val="clear" w:color="auto" w:fill="D9D9D9"/>
          </w:tcPr>
          <w:p>
            <w:pPr>
              <w:pStyle w:val="TableParagraph"/>
              <w:spacing w:line="106" w:lineRule="exact"/>
              <w:ind w:left="14"/>
              <w:rPr>
                <w:sz w:val="10"/>
              </w:rPr>
            </w:pPr>
            <w:r>
              <w:rPr>
                <w:sz w:val="10"/>
              </w:rPr>
              <w:t>The LFRMS will be reviewed once every 6 years. This will link the LFRMS review with the</w:t>
            </w:r>
          </w:p>
          <w:p>
            <w:pPr>
              <w:pStyle w:val="TableParagraph"/>
              <w:spacing w:line="120" w:lineRule="atLeast" w:before="2"/>
              <w:ind w:left="14"/>
              <w:rPr>
                <w:sz w:val="10"/>
              </w:rPr>
            </w:pPr>
            <w:r>
              <w:rPr>
                <w:sz w:val="10"/>
              </w:rPr>
              <w:t>cycles for reviewing the PFRA as outlined in the FRR. The first review is scheduled to be completed by October 2018.</w:t>
            </w:r>
          </w:p>
        </w:tc>
        <w:tc>
          <w:tcPr>
            <w:tcW w:w="1783" w:type="dxa"/>
            <w:shd w:val="clear" w:color="auto" w:fill="D9D9D9"/>
          </w:tcPr>
          <w:p>
            <w:pPr>
              <w:pStyle w:val="TableParagraph"/>
              <w:spacing w:line="106" w:lineRule="exact"/>
              <w:ind w:left="14"/>
              <w:rPr>
                <w:sz w:val="10"/>
              </w:rPr>
            </w:pPr>
            <w:r>
              <w:rPr>
                <w:sz w:val="10"/>
              </w:rPr>
              <w:t>Ensures LFRMS is updated with</w:t>
            </w:r>
          </w:p>
          <w:p>
            <w:pPr>
              <w:pStyle w:val="TableParagraph"/>
              <w:spacing w:line="120" w:lineRule="atLeast" w:before="2"/>
              <w:ind w:left="14" w:right="260"/>
              <w:rPr>
                <w:sz w:val="10"/>
              </w:rPr>
            </w:pPr>
            <w:r>
              <w:rPr>
                <w:sz w:val="10"/>
              </w:rPr>
              <w:t>relevant information to reflect any changes in FRM</w:t>
            </w:r>
          </w:p>
        </w:tc>
        <w:tc>
          <w:tcPr>
            <w:tcW w:w="917" w:type="dxa"/>
            <w:shd w:val="clear" w:color="auto" w:fill="D9D9D9"/>
          </w:tcPr>
          <w:p>
            <w:pPr>
              <w:pStyle w:val="TableParagraph"/>
              <w:spacing w:line="254" w:lineRule="auto" w:before="51"/>
              <w:ind w:left="14" w:right="172"/>
              <w:rPr>
                <w:sz w:val="10"/>
              </w:rPr>
            </w:pPr>
            <w:r>
              <w:rPr>
                <w:sz w:val="10"/>
              </w:rPr>
              <w:t>LCC Flood Risk Management</w:t>
            </w:r>
          </w:p>
        </w:tc>
        <w:tc>
          <w:tcPr>
            <w:tcW w:w="1114" w:type="dxa"/>
            <w:shd w:val="clear" w:color="auto" w:fill="D9D9D9"/>
          </w:tcPr>
          <w:p>
            <w:pPr>
              <w:pStyle w:val="TableParagraph"/>
              <w:spacing w:line="106" w:lineRule="exact"/>
              <w:ind w:left="14"/>
              <w:rPr>
                <w:sz w:val="10"/>
              </w:rPr>
            </w:pPr>
            <w:r>
              <w:rPr>
                <w:sz w:val="10"/>
              </w:rPr>
              <w:t>Internal LCC</w:t>
            </w:r>
          </w:p>
          <w:p>
            <w:pPr>
              <w:pStyle w:val="TableParagraph"/>
              <w:spacing w:line="120" w:lineRule="atLeast" w:before="2"/>
              <w:ind w:left="14" w:right="119"/>
              <w:rPr>
                <w:sz w:val="10"/>
              </w:rPr>
            </w:pPr>
            <w:r>
              <w:rPr>
                <w:sz w:val="10"/>
              </w:rPr>
              <w:t>departments and external stakeholders</w:t>
            </w:r>
          </w:p>
        </w:tc>
        <w:tc>
          <w:tcPr>
            <w:tcW w:w="670" w:type="dxa"/>
            <w:shd w:val="clear" w:color="auto" w:fill="D9D9D9"/>
          </w:tcPr>
          <w:p>
            <w:pPr>
              <w:pStyle w:val="TableParagraph"/>
              <w:spacing w:before="1"/>
              <w:rPr>
                <w:rFonts w:ascii="Calibri"/>
                <w:sz w:val="9"/>
              </w:rPr>
            </w:pPr>
          </w:p>
          <w:p>
            <w:pPr>
              <w:pStyle w:val="TableParagraph"/>
              <w:ind w:left="14"/>
              <w:rPr>
                <w:sz w:val="10"/>
              </w:rPr>
            </w:pPr>
            <w:r>
              <w:rPr>
                <w:sz w:val="10"/>
              </w:rPr>
              <w:t>17/10/2018</w:t>
            </w:r>
          </w:p>
        </w:tc>
      </w:tr>
    </w:tbl>
    <w:p>
      <w:pPr>
        <w:spacing w:after="0"/>
        <w:rPr>
          <w:sz w:val="10"/>
        </w:rPr>
        <w:sectPr>
          <w:footerReference w:type="even" r:id="rId88"/>
          <w:pgSz w:w="23820" w:h="16840" w:orient="landscape"/>
          <w:pgMar w:footer="0" w:header="0" w:top="1080" w:bottom="280" w:left="240" w:right="24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
        <w:gridCol w:w="494"/>
        <w:gridCol w:w="979"/>
        <w:gridCol w:w="1106"/>
        <w:gridCol w:w="3040"/>
        <w:gridCol w:w="530"/>
        <w:gridCol w:w="993"/>
        <w:gridCol w:w="1243"/>
        <w:gridCol w:w="1505"/>
        <w:gridCol w:w="3768"/>
        <w:gridCol w:w="4678"/>
        <w:gridCol w:w="2096"/>
        <w:gridCol w:w="822"/>
        <w:gridCol w:w="1000"/>
        <w:gridCol w:w="599"/>
      </w:tblGrid>
      <w:tr>
        <w:trPr>
          <w:trHeight w:val="162" w:hRule="atLeast"/>
        </w:trPr>
        <w:tc>
          <w:tcPr>
            <w:tcW w:w="23124" w:type="dxa"/>
            <w:gridSpan w:val="15"/>
            <w:tcBorders>
              <w:right w:val="nil"/>
            </w:tcBorders>
            <w:shd w:val="clear" w:color="auto" w:fill="F9423A"/>
          </w:tcPr>
          <w:p>
            <w:pPr>
              <w:pStyle w:val="TableParagraph"/>
              <w:spacing w:line="143" w:lineRule="exact"/>
              <w:ind w:left="23"/>
              <w:rPr>
                <w:b/>
                <w:sz w:val="15"/>
              </w:rPr>
            </w:pPr>
            <w:bookmarkStart w:name="Appendix C - List of Measures (Schemes)" w:id="102"/>
            <w:bookmarkEnd w:id="102"/>
            <w:r>
              <w:rPr/>
            </w:r>
            <w:r>
              <w:rPr>
                <w:b/>
                <w:color w:val="FFFFFF"/>
                <w:sz w:val="15"/>
              </w:rPr>
              <w:t>Appendix C - List of Measures (Schemes)</w:t>
            </w:r>
          </w:p>
        </w:tc>
      </w:tr>
      <w:tr>
        <w:trPr>
          <w:trHeight w:val="234" w:hRule="atLeast"/>
        </w:trPr>
        <w:tc>
          <w:tcPr>
            <w:tcW w:w="271" w:type="dxa"/>
          </w:tcPr>
          <w:p>
            <w:pPr>
              <w:pStyle w:val="TableParagraph"/>
              <w:spacing w:before="50"/>
              <w:ind w:left="16"/>
              <w:rPr>
                <w:b/>
                <w:sz w:val="10"/>
              </w:rPr>
            </w:pPr>
            <w:r>
              <w:rPr>
                <w:b/>
                <w:color w:val="F9423A"/>
                <w:w w:val="105"/>
                <w:sz w:val="10"/>
              </w:rPr>
              <w:t>ID</w:t>
            </w:r>
          </w:p>
        </w:tc>
        <w:tc>
          <w:tcPr>
            <w:tcW w:w="494" w:type="dxa"/>
          </w:tcPr>
          <w:p>
            <w:pPr>
              <w:pStyle w:val="TableParagraph"/>
              <w:spacing w:before="50"/>
              <w:ind w:right="103"/>
              <w:jc w:val="right"/>
              <w:rPr>
                <w:b/>
                <w:sz w:val="10"/>
              </w:rPr>
            </w:pPr>
            <w:r>
              <w:rPr>
                <w:b/>
                <w:color w:val="F9423A"/>
                <w:sz w:val="10"/>
              </w:rPr>
              <w:t>Priority</w:t>
            </w:r>
          </w:p>
        </w:tc>
        <w:tc>
          <w:tcPr>
            <w:tcW w:w="979" w:type="dxa"/>
          </w:tcPr>
          <w:p>
            <w:pPr>
              <w:pStyle w:val="TableParagraph"/>
              <w:spacing w:before="50"/>
              <w:ind w:left="17"/>
              <w:rPr>
                <w:b/>
                <w:sz w:val="10"/>
              </w:rPr>
            </w:pPr>
            <w:r>
              <w:rPr>
                <w:b/>
                <w:color w:val="F9423A"/>
                <w:w w:val="105"/>
                <w:sz w:val="10"/>
              </w:rPr>
              <w:t>Current phase</w:t>
            </w:r>
          </w:p>
        </w:tc>
        <w:tc>
          <w:tcPr>
            <w:tcW w:w="1106" w:type="dxa"/>
          </w:tcPr>
          <w:p>
            <w:pPr>
              <w:pStyle w:val="TableParagraph"/>
              <w:spacing w:line="101" w:lineRule="exact"/>
              <w:ind w:left="17"/>
              <w:rPr>
                <w:b/>
                <w:sz w:val="10"/>
              </w:rPr>
            </w:pPr>
            <w:r>
              <w:rPr>
                <w:b/>
                <w:color w:val="F9423A"/>
                <w:w w:val="105"/>
                <w:sz w:val="10"/>
              </w:rPr>
              <w:t>Scheduled</w:t>
            </w:r>
            <w:r>
              <w:rPr>
                <w:b/>
                <w:color w:val="F9423A"/>
                <w:spacing w:val="-16"/>
                <w:w w:val="105"/>
                <w:sz w:val="10"/>
              </w:rPr>
              <w:t> </w:t>
            </w:r>
            <w:r>
              <w:rPr>
                <w:b/>
                <w:color w:val="F9423A"/>
                <w:w w:val="105"/>
                <w:sz w:val="10"/>
              </w:rPr>
              <w:t>Phase</w:t>
            </w:r>
          </w:p>
          <w:p>
            <w:pPr>
              <w:pStyle w:val="TableParagraph"/>
              <w:spacing w:line="97" w:lineRule="exact" w:before="17"/>
              <w:ind w:left="17"/>
              <w:rPr>
                <w:b/>
                <w:sz w:val="10"/>
              </w:rPr>
            </w:pPr>
            <w:r>
              <w:rPr>
                <w:b/>
                <w:color w:val="F9423A"/>
                <w:sz w:val="10"/>
              </w:rPr>
              <w:t>Completion</w:t>
            </w:r>
            <w:r>
              <w:rPr>
                <w:b/>
                <w:color w:val="F9423A"/>
                <w:spacing w:val="19"/>
                <w:sz w:val="10"/>
              </w:rPr>
              <w:t> </w:t>
            </w:r>
            <w:r>
              <w:rPr>
                <w:b/>
                <w:color w:val="F9423A"/>
                <w:sz w:val="10"/>
              </w:rPr>
              <w:t>Date</w:t>
            </w:r>
          </w:p>
        </w:tc>
        <w:tc>
          <w:tcPr>
            <w:tcW w:w="3040" w:type="dxa"/>
          </w:tcPr>
          <w:p>
            <w:pPr>
              <w:pStyle w:val="TableParagraph"/>
              <w:spacing w:before="50"/>
              <w:ind w:left="17"/>
              <w:rPr>
                <w:b/>
                <w:sz w:val="10"/>
              </w:rPr>
            </w:pPr>
            <w:r>
              <w:rPr>
                <w:b/>
                <w:color w:val="F9423A"/>
                <w:w w:val="105"/>
                <w:sz w:val="10"/>
              </w:rPr>
              <w:t>Measure</w:t>
            </w:r>
          </w:p>
        </w:tc>
        <w:tc>
          <w:tcPr>
            <w:tcW w:w="530" w:type="dxa"/>
          </w:tcPr>
          <w:p>
            <w:pPr>
              <w:pStyle w:val="TableParagraph"/>
              <w:spacing w:line="101" w:lineRule="exact"/>
              <w:ind w:left="18"/>
              <w:rPr>
                <w:b/>
                <w:sz w:val="10"/>
              </w:rPr>
            </w:pPr>
            <w:r>
              <w:rPr>
                <w:b/>
                <w:color w:val="F9423A"/>
                <w:w w:val="105"/>
                <w:sz w:val="10"/>
              </w:rPr>
              <w:t>PF</w:t>
            </w:r>
            <w:r>
              <w:rPr>
                <w:b/>
                <w:color w:val="F9423A"/>
                <w:spacing w:val="-6"/>
                <w:w w:val="105"/>
                <w:sz w:val="10"/>
              </w:rPr>
              <w:t> </w:t>
            </w:r>
            <w:r>
              <w:rPr>
                <w:b/>
                <w:color w:val="F9423A"/>
                <w:w w:val="105"/>
                <w:sz w:val="10"/>
              </w:rPr>
              <w:t>%</w:t>
            </w:r>
          </w:p>
          <w:p>
            <w:pPr>
              <w:pStyle w:val="TableParagraph"/>
              <w:spacing w:line="97" w:lineRule="exact" w:before="17"/>
              <w:ind w:left="18"/>
              <w:rPr>
                <w:b/>
                <w:sz w:val="10"/>
              </w:rPr>
            </w:pPr>
            <w:r>
              <w:rPr>
                <w:b/>
                <w:color w:val="F9423A"/>
                <w:w w:val="105"/>
                <w:sz w:val="10"/>
              </w:rPr>
              <w:t>Score</w:t>
            </w:r>
          </w:p>
        </w:tc>
        <w:tc>
          <w:tcPr>
            <w:tcW w:w="993" w:type="dxa"/>
          </w:tcPr>
          <w:p>
            <w:pPr>
              <w:pStyle w:val="TableParagraph"/>
              <w:spacing w:line="101" w:lineRule="exact"/>
              <w:ind w:left="18"/>
              <w:rPr>
                <w:b/>
                <w:sz w:val="10"/>
              </w:rPr>
            </w:pPr>
            <w:r>
              <w:rPr>
                <w:b/>
                <w:color w:val="F9423A"/>
                <w:w w:val="105"/>
                <w:sz w:val="10"/>
              </w:rPr>
              <w:t>Whole</w:t>
            </w:r>
            <w:r>
              <w:rPr>
                <w:b/>
                <w:color w:val="F9423A"/>
                <w:spacing w:val="-14"/>
                <w:w w:val="105"/>
                <w:sz w:val="10"/>
              </w:rPr>
              <w:t> </w:t>
            </w:r>
            <w:r>
              <w:rPr>
                <w:b/>
                <w:color w:val="F9423A"/>
                <w:w w:val="105"/>
                <w:sz w:val="10"/>
              </w:rPr>
              <w:t>Scheme</w:t>
            </w:r>
          </w:p>
          <w:p>
            <w:pPr>
              <w:pStyle w:val="TableParagraph"/>
              <w:spacing w:line="97" w:lineRule="exact" w:before="17"/>
              <w:ind w:left="18"/>
              <w:rPr>
                <w:b/>
                <w:sz w:val="10"/>
              </w:rPr>
            </w:pPr>
            <w:r>
              <w:rPr>
                <w:b/>
                <w:color w:val="F9423A"/>
                <w:w w:val="105"/>
                <w:sz w:val="10"/>
              </w:rPr>
              <w:t>Estimated</w:t>
            </w:r>
            <w:r>
              <w:rPr>
                <w:b/>
                <w:color w:val="F9423A"/>
                <w:spacing w:val="-16"/>
                <w:w w:val="105"/>
                <w:sz w:val="10"/>
              </w:rPr>
              <w:t> </w:t>
            </w:r>
            <w:r>
              <w:rPr>
                <w:b/>
                <w:color w:val="F9423A"/>
                <w:w w:val="105"/>
                <w:sz w:val="10"/>
              </w:rPr>
              <w:t>Cost</w:t>
            </w:r>
          </w:p>
        </w:tc>
        <w:tc>
          <w:tcPr>
            <w:tcW w:w="1243" w:type="dxa"/>
          </w:tcPr>
          <w:p>
            <w:pPr>
              <w:pStyle w:val="TableParagraph"/>
              <w:spacing w:before="50"/>
              <w:ind w:left="19"/>
              <w:rPr>
                <w:b/>
                <w:sz w:val="10"/>
              </w:rPr>
            </w:pPr>
            <w:r>
              <w:rPr>
                <w:b/>
                <w:color w:val="F9423A"/>
                <w:w w:val="105"/>
                <w:sz w:val="10"/>
              </w:rPr>
              <w:t>Location (if applicable)</w:t>
            </w:r>
          </w:p>
        </w:tc>
        <w:tc>
          <w:tcPr>
            <w:tcW w:w="1505" w:type="dxa"/>
          </w:tcPr>
          <w:p>
            <w:pPr>
              <w:pStyle w:val="TableParagraph"/>
              <w:spacing w:before="50"/>
              <w:ind w:left="19"/>
              <w:rPr>
                <w:b/>
                <w:sz w:val="10"/>
              </w:rPr>
            </w:pPr>
            <w:r>
              <w:rPr>
                <w:b/>
                <w:color w:val="F9423A"/>
                <w:w w:val="105"/>
                <w:sz w:val="10"/>
              </w:rPr>
              <w:t>Category</w:t>
            </w:r>
          </w:p>
        </w:tc>
        <w:tc>
          <w:tcPr>
            <w:tcW w:w="3768" w:type="dxa"/>
          </w:tcPr>
          <w:p>
            <w:pPr>
              <w:pStyle w:val="TableParagraph"/>
              <w:spacing w:before="50"/>
              <w:ind w:left="19"/>
              <w:rPr>
                <w:b/>
                <w:sz w:val="10"/>
              </w:rPr>
            </w:pPr>
            <w:r>
              <w:rPr>
                <w:b/>
                <w:color w:val="F9423A"/>
                <w:w w:val="105"/>
                <w:sz w:val="10"/>
              </w:rPr>
              <w:t>Relevant Objective from LFRMS</w:t>
            </w:r>
          </w:p>
        </w:tc>
        <w:tc>
          <w:tcPr>
            <w:tcW w:w="4678" w:type="dxa"/>
          </w:tcPr>
          <w:p>
            <w:pPr>
              <w:pStyle w:val="TableParagraph"/>
              <w:spacing w:before="50"/>
              <w:ind w:left="19"/>
              <w:rPr>
                <w:b/>
                <w:sz w:val="10"/>
              </w:rPr>
            </w:pPr>
            <w:r>
              <w:rPr>
                <w:b/>
                <w:color w:val="F9423A"/>
                <w:w w:val="105"/>
                <w:sz w:val="10"/>
              </w:rPr>
              <w:t>Progress/Comments (reference other sources of information)</w:t>
            </w:r>
          </w:p>
        </w:tc>
        <w:tc>
          <w:tcPr>
            <w:tcW w:w="2096" w:type="dxa"/>
          </w:tcPr>
          <w:p>
            <w:pPr>
              <w:pStyle w:val="TableParagraph"/>
              <w:spacing w:before="50"/>
              <w:ind w:left="19"/>
              <w:rPr>
                <w:b/>
                <w:sz w:val="10"/>
              </w:rPr>
            </w:pPr>
            <w:r>
              <w:rPr>
                <w:b/>
                <w:color w:val="F9423A"/>
                <w:w w:val="105"/>
                <w:sz w:val="10"/>
              </w:rPr>
              <w:t>Benefits/ Outcome</w:t>
            </w:r>
          </w:p>
        </w:tc>
        <w:tc>
          <w:tcPr>
            <w:tcW w:w="822" w:type="dxa"/>
          </w:tcPr>
          <w:p>
            <w:pPr>
              <w:pStyle w:val="TableParagraph"/>
              <w:spacing w:line="101" w:lineRule="exact"/>
              <w:ind w:left="18"/>
              <w:rPr>
                <w:b/>
                <w:sz w:val="10"/>
              </w:rPr>
            </w:pPr>
            <w:r>
              <w:rPr>
                <w:b/>
                <w:color w:val="F9423A"/>
                <w:w w:val="105"/>
                <w:sz w:val="10"/>
              </w:rPr>
              <w:t>Lead</w:t>
            </w:r>
          </w:p>
          <w:p>
            <w:pPr>
              <w:pStyle w:val="TableParagraph"/>
              <w:spacing w:line="97" w:lineRule="exact" w:before="17"/>
              <w:ind w:left="18"/>
              <w:rPr>
                <w:b/>
                <w:sz w:val="10"/>
              </w:rPr>
            </w:pPr>
            <w:r>
              <w:rPr>
                <w:b/>
                <w:color w:val="F9423A"/>
                <w:w w:val="105"/>
                <w:sz w:val="10"/>
              </w:rPr>
              <w:t>Organisation</w:t>
            </w:r>
          </w:p>
        </w:tc>
        <w:tc>
          <w:tcPr>
            <w:tcW w:w="1000" w:type="dxa"/>
          </w:tcPr>
          <w:p>
            <w:pPr>
              <w:pStyle w:val="TableParagraph"/>
              <w:spacing w:line="101" w:lineRule="exact"/>
              <w:ind w:left="17"/>
              <w:rPr>
                <w:b/>
                <w:sz w:val="10"/>
              </w:rPr>
            </w:pPr>
            <w:r>
              <w:rPr>
                <w:b/>
                <w:color w:val="F9423A"/>
                <w:w w:val="105"/>
                <w:sz w:val="10"/>
              </w:rPr>
              <w:t>Support</w:t>
            </w:r>
          </w:p>
          <w:p>
            <w:pPr>
              <w:pStyle w:val="TableParagraph"/>
              <w:spacing w:line="97" w:lineRule="exact" w:before="17"/>
              <w:ind w:left="17"/>
              <w:rPr>
                <w:b/>
                <w:sz w:val="10"/>
              </w:rPr>
            </w:pPr>
            <w:r>
              <w:rPr>
                <w:b/>
                <w:color w:val="F9423A"/>
                <w:w w:val="105"/>
                <w:sz w:val="10"/>
              </w:rPr>
              <w:t>Organisation</w:t>
            </w:r>
          </w:p>
        </w:tc>
        <w:tc>
          <w:tcPr>
            <w:tcW w:w="599" w:type="dxa"/>
          </w:tcPr>
          <w:p>
            <w:pPr>
              <w:pStyle w:val="TableParagraph"/>
              <w:spacing w:line="101" w:lineRule="exact"/>
              <w:ind w:left="15"/>
              <w:rPr>
                <w:b/>
                <w:sz w:val="10"/>
              </w:rPr>
            </w:pPr>
            <w:r>
              <w:rPr>
                <w:b/>
                <w:color w:val="F9423A"/>
                <w:w w:val="105"/>
                <w:sz w:val="10"/>
              </w:rPr>
              <w:t>Last</w:t>
            </w:r>
          </w:p>
          <w:p>
            <w:pPr>
              <w:pStyle w:val="TableParagraph"/>
              <w:spacing w:line="97" w:lineRule="exact" w:before="17"/>
              <w:ind w:left="15"/>
              <w:rPr>
                <w:b/>
                <w:sz w:val="10"/>
              </w:rPr>
            </w:pPr>
            <w:r>
              <w:rPr>
                <w:b/>
                <w:color w:val="F9423A"/>
                <w:w w:val="105"/>
                <w:sz w:val="10"/>
              </w:rPr>
              <w:t>Reviewed</w:t>
            </w:r>
          </w:p>
        </w:tc>
      </w:tr>
      <w:tr>
        <w:trPr>
          <w:trHeight w:val="201" w:hRule="atLeast"/>
        </w:trPr>
        <w:tc>
          <w:tcPr>
            <w:tcW w:w="23124" w:type="dxa"/>
            <w:gridSpan w:val="15"/>
            <w:shd w:val="clear" w:color="auto" w:fill="F9423A"/>
          </w:tcPr>
          <w:p>
            <w:pPr>
              <w:pStyle w:val="TableParagraph"/>
              <w:spacing w:before="31"/>
              <w:ind w:left="16"/>
              <w:rPr>
                <w:sz w:val="10"/>
              </w:rPr>
            </w:pPr>
            <w:r>
              <w:rPr>
                <w:color w:val="FFFFFF"/>
                <w:w w:val="105"/>
                <w:sz w:val="10"/>
              </w:rPr>
              <w:t>CURRENT SCHEMES AND FEASIBILITY STUDIES</w:t>
            </w:r>
          </w:p>
        </w:tc>
      </w:tr>
      <w:tr>
        <w:trPr>
          <w:trHeight w:val="520" w:hRule="atLeast"/>
        </w:trPr>
        <w:tc>
          <w:tcPr>
            <w:tcW w:w="271" w:type="dxa"/>
          </w:tcPr>
          <w:p>
            <w:pPr>
              <w:pStyle w:val="TableParagraph"/>
              <w:spacing w:before="11"/>
              <w:rPr>
                <w:rFonts w:ascii="Calibri"/>
                <w:sz w:val="15"/>
              </w:rPr>
            </w:pPr>
          </w:p>
          <w:p>
            <w:pPr>
              <w:pStyle w:val="TableParagraph"/>
              <w:ind w:left="16"/>
              <w:rPr>
                <w:sz w:val="10"/>
              </w:rPr>
            </w:pPr>
            <w:r>
              <w:rPr>
                <w:w w:val="105"/>
                <w:sz w:val="10"/>
              </w:rPr>
              <w:t>S37</w:t>
            </w:r>
          </w:p>
        </w:tc>
        <w:tc>
          <w:tcPr>
            <w:tcW w:w="494" w:type="dxa"/>
            <w:shd w:val="clear" w:color="auto" w:fill="FCD5B4"/>
          </w:tcPr>
          <w:p>
            <w:pPr>
              <w:pStyle w:val="TableParagraph"/>
              <w:rPr>
                <w:rFonts w:ascii="Calibri"/>
                <w:sz w:val="10"/>
              </w:rPr>
            </w:pPr>
          </w:p>
          <w:p>
            <w:pPr>
              <w:pStyle w:val="TableParagraph"/>
              <w:spacing w:before="77"/>
              <w:ind w:right="138"/>
              <w:jc w:val="right"/>
              <w:rPr>
                <w:b/>
                <w:sz w:val="9"/>
              </w:rPr>
            </w:pPr>
            <w:r>
              <w:rPr>
                <w:b/>
                <w:w w:val="95"/>
                <w:sz w:val="9"/>
              </w:rPr>
              <w:t>High</w:t>
            </w:r>
          </w:p>
        </w:tc>
        <w:tc>
          <w:tcPr>
            <w:tcW w:w="979" w:type="dxa"/>
            <w:shd w:val="clear" w:color="auto" w:fill="FCD5B4"/>
          </w:tcPr>
          <w:p>
            <w:pPr>
              <w:pStyle w:val="TableParagraph"/>
              <w:rPr>
                <w:rFonts w:ascii="Calibri"/>
                <w:sz w:val="10"/>
              </w:rPr>
            </w:pPr>
          </w:p>
          <w:p>
            <w:pPr>
              <w:pStyle w:val="TableParagraph"/>
              <w:spacing w:before="77"/>
              <w:ind w:left="271"/>
              <w:rPr>
                <w:b/>
                <w:sz w:val="9"/>
              </w:rPr>
            </w:pPr>
            <w:r>
              <w:rPr>
                <w:b/>
                <w:sz w:val="9"/>
              </w:rPr>
              <w:t>Feasibility</w:t>
            </w:r>
          </w:p>
        </w:tc>
        <w:tc>
          <w:tcPr>
            <w:tcW w:w="1106" w:type="dxa"/>
            <w:shd w:val="clear" w:color="auto" w:fill="FCD5B4"/>
          </w:tcPr>
          <w:p>
            <w:pPr>
              <w:pStyle w:val="TableParagraph"/>
              <w:rPr>
                <w:rFonts w:ascii="Calibri"/>
                <w:sz w:val="10"/>
              </w:rPr>
            </w:pPr>
          </w:p>
          <w:p>
            <w:pPr>
              <w:pStyle w:val="TableParagraph"/>
              <w:spacing w:before="77"/>
              <w:ind w:left="429" w:right="424"/>
              <w:jc w:val="center"/>
              <w:rPr>
                <w:b/>
                <w:sz w:val="9"/>
              </w:rPr>
            </w:pPr>
            <w:r>
              <w:rPr>
                <w:b/>
                <w:sz w:val="9"/>
              </w:rPr>
              <w:t>2018</w:t>
            </w:r>
          </w:p>
        </w:tc>
        <w:tc>
          <w:tcPr>
            <w:tcW w:w="3040" w:type="dxa"/>
            <w:shd w:val="clear" w:color="auto" w:fill="FCD5B4"/>
          </w:tcPr>
          <w:p>
            <w:pPr>
              <w:pStyle w:val="TableParagraph"/>
              <w:spacing w:before="9"/>
              <w:rPr>
                <w:rFonts w:ascii="Calibri"/>
                <w:sz w:val="11"/>
              </w:rPr>
            </w:pPr>
          </w:p>
          <w:p>
            <w:pPr>
              <w:pStyle w:val="TableParagraph"/>
              <w:spacing w:line="256" w:lineRule="auto"/>
              <w:ind w:left="17"/>
              <w:rPr>
                <w:sz w:val="9"/>
              </w:rPr>
            </w:pPr>
            <w:r>
              <w:rPr>
                <w:sz w:val="9"/>
              </w:rPr>
              <w:t>Leeds Flood Alleviation Scheme Phase 2, River Aire City Centre to Upper Catchment</w:t>
            </w:r>
          </w:p>
        </w:tc>
        <w:tc>
          <w:tcPr>
            <w:tcW w:w="530" w:type="dxa"/>
            <w:shd w:val="clear" w:color="auto" w:fill="FCD5B4"/>
          </w:tcPr>
          <w:p>
            <w:pPr>
              <w:pStyle w:val="TableParagraph"/>
              <w:rPr>
                <w:rFonts w:ascii="Calibri"/>
                <w:sz w:val="10"/>
              </w:rPr>
            </w:pPr>
          </w:p>
          <w:p>
            <w:pPr>
              <w:pStyle w:val="TableParagraph"/>
              <w:spacing w:before="77"/>
              <w:ind w:left="18"/>
              <w:rPr>
                <w:sz w:val="9"/>
              </w:rPr>
            </w:pPr>
            <w:r>
              <w:rPr>
                <w:sz w:val="9"/>
              </w:rPr>
              <w:t>TBC</w:t>
            </w:r>
          </w:p>
        </w:tc>
        <w:tc>
          <w:tcPr>
            <w:tcW w:w="993" w:type="dxa"/>
            <w:shd w:val="clear" w:color="auto" w:fill="FCD5B4"/>
          </w:tcPr>
          <w:p>
            <w:pPr>
              <w:pStyle w:val="TableParagraph"/>
              <w:rPr>
                <w:rFonts w:ascii="Calibri"/>
                <w:sz w:val="10"/>
              </w:rPr>
            </w:pPr>
          </w:p>
          <w:p>
            <w:pPr>
              <w:pStyle w:val="TableParagraph"/>
              <w:spacing w:before="77"/>
              <w:ind w:left="19"/>
              <w:rPr>
                <w:sz w:val="9"/>
              </w:rPr>
            </w:pPr>
            <w:r>
              <w:rPr>
                <w:sz w:val="9"/>
              </w:rPr>
              <w:t>£112m</w:t>
            </w:r>
          </w:p>
        </w:tc>
        <w:tc>
          <w:tcPr>
            <w:tcW w:w="1243" w:type="dxa"/>
            <w:shd w:val="clear" w:color="auto" w:fill="FCD5B4"/>
          </w:tcPr>
          <w:p>
            <w:pPr>
              <w:pStyle w:val="TableParagraph"/>
              <w:spacing w:before="9"/>
              <w:rPr>
                <w:rFonts w:ascii="Calibri"/>
                <w:sz w:val="11"/>
              </w:rPr>
            </w:pPr>
          </w:p>
          <w:p>
            <w:pPr>
              <w:pStyle w:val="TableParagraph"/>
              <w:spacing w:line="256" w:lineRule="auto"/>
              <w:ind w:left="19"/>
              <w:rPr>
                <w:sz w:val="9"/>
              </w:rPr>
            </w:pPr>
            <w:r>
              <w:rPr>
                <w:sz w:val="9"/>
              </w:rPr>
              <w:t>River Aire - City Centre to Upper Catchment</w:t>
            </w:r>
          </w:p>
        </w:tc>
        <w:tc>
          <w:tcPr>
            <w:tcW w:w="1505" w:type="dxa"/>
            <w:shd w:val="clear" w:color="auto" w:fill="FCD5B4"/>
          </w:tcPr>
          <w:p>
            <w:pPr>
              <w:pStyle w:val="TableParagraph"/>
              <w:spacing w:before="9"/>
              <w:rPr>
                <w:rFonts w:ascii="Calibri"/>
                <w:sz w:val="11"/>
              </w:rPr>
            </w:pPr>
          </w:p>
          <w:p>
            <w:pPr>
              <w:pStyle w:val="TableParagraph"/>
              <w:spacing w:line="256" w:lineRule="auto"/>
              <w:ind w:left="19"/>
              <w:rPr>
                <w:sz w:val="9"/>
              </w:rPr>
            </w:pPr>
            <w:r>
              <w:rPr>
                <w:sz w:val="9"/>
              </w:rPr>
              <w:t>3. Studies, schemes, assessments and plans</w:t>
            </w:r>
          </w:p>
        </w:tc>
        <w:tc>
          <w:tcPr>
            <w:tcW w:w="3768" w:type="dxa"/>
            <w:shd w:val="clear" w:color="auto" w:fill="FCD5B4"/>
          </w:tcPr>
          <w:p>
            <w:pPr>
              <w:pStyle w:val="TableParagraph"/>
              <w:rPr>
                <w:rFonts w:ascii="Calibri"/>
                <w:sz w:val="10"/>
              </w:rPr>
            </w:pPr>
          </w:p>
          <w:p>
            <w:pPr>
              <w:pStyle w:val="TableParagraph"/>
              <w:spacing w:before="77"/>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84" w:lineRule="exact"/>
              <w:ind w:left="19"/>
              <w:rPr>
                <w:sz w:val="9"/>
              </w:rPr>
            </w:pPr>
            <w:r>
              <w:rPr>
                <w:sz w:val="9"/>
              </w:rPr>
              <w:t>Phase 2 of the Leeds FAS, looking at solutions across the whole catchment upstream of Leeds that will reduce flood</w:t>
            </w:r>
          </w:p>
          <w:p>
            <w:pPr>
              <w:pStyle w:val="TableParagraph"/>
              <w:spacing w:line="110" w:lineRule="atLeast"/>
              <w:ind w:left="19"/>
              <w:rPr>
                <w:sz w:val="9"/>
              </w:rPr>
            </w:pPr>
            <w:r>
              <w:rPr>
                <w:sz w:val="9"/>
              </w:rPr>
              <w:t>risk</w:t>
            </w:r>
            <w:r>
              <w:rPr>
                <w:spacing w:val="-5"/>
                <w:sz w:val="9"/>
              </w:rPr>
              <w:t> </w:t>
            </w:r>
            <w:r>
              <w:rPr>
                <w:sz w:val="9"/>
              </w:rPr>
              <w:t>to</w:t>
            </w:r>
            <w:r>
              <w:rPr>
                <w:spacing w:val="-4"/>
                <w:sz w:val="9"/>
              </w:rPr>
              <w:t> </w:t>
            </w:r>
            <w:r>
              <w:rPr>
                <w:sz w:val="9"/>
              </w:rPr>
              <w:t>the</w:t>
            </w:r>
            <w:r>
              <w:rPr>
                <w:spacing w:val="-5"/>
                <w:sz w:val="9"/>
              </w:rPr>
              <w:t> </w:t>
            </w:r>
            <w:r>
              <w:rPr>
                <w:sz w:val="9"/>
              </w:rPr>
              <w:t>city</w:t>
            </w:r>
            <w:r>
              <w:rPr>
                <w:spacing w:val="-4"/>
                <w:sz w:val="9"/>
              </w:rPr>
              <w:t> </w:t>
            </w:r>
            <w:r>
              <w:rPr>
                <w:sz w:val="9"/>
              </w:rPr>
              <w:t>along</w:t>
            </w:r>
            <w:r>
              <w:rPr>
                <w:spacing w:val="-5"/>
                <w:sz w:val="9"/>
              </w:rPr>
              <w:t> </w:t>
            </w:r>
            <w:r>
              <w:rPr>
                <w:sz w:val="9"/>
              </w:rPr>
              <w:t>the</w:t>
            </w:r>
            <w:r>
              <w:rPr>
                <w:spacing w:val="-4"/>
                <w:sz w:val="9"/>
              </w:rPr>
              <w:t> </w:t>
            </w:r>
            <w:r>
              <w:rPr>
                <w:sz w:val="9"/>
              </w:rPr>
              <w:t>river</w:t>
            </w:r>
            <w:r>
              <w:rPr>
                <w:spacing w:val="-5"/>
                <w:sz w:val="9"/>
              </w:rPr>
              <w:t> </w:t>
            </w:r>
            <w:r>
              <w:rPr>
                <w:sz w:val="9"/>
              </w:rPr>
              <w:t>Aire.</w:t>
            </w:r>
            <w:r>
              <w:rPr>
                <w:spacing w:val="-4"/>
                <w:sz w:val="9"/>
              </w:rPr>
              <w:t> </w:t>
            </w:r>
            <w:r>
              <w:rPr>
                <w:sz w:val="9"/>
              </w:rPr>
              <w:t>Modelling</w:t>
            </w:r>
            <w:r>
              <w:rPr>
                <w:spacing w:val="-4"/>
                <w:sz w:val="9"/>
              </w:rPr>
              <w:t> </w:t>
            </w:r>
            <w:r>
              <w:rPr>
                <w:sz w:val="9"/>
              </w:rPr>
              <w:t>and</w:t>
            </w:r>
            <w:r>
              <w:rPr>
                <w:spacing w:val="-5"/>
                <w:sz w:val="9"/>
              </w:rPr>
              <w:t> </w:t>
            </w:r>
            <w:r>
              <w:rPr>
                <w:sz w:val="9"/>
              </w:rPr>
              <w:t>feasibility</w:t>
            </w:r>
            <w:r>
              <w:rPr>
                <w:spacing w:val="-4"/>
                <w:sz w:val="9"/>
              </w:rPr>
              <w:t> </w:t>
            </w:r>
            <w:r>
              <w:rPr>
                <w:sz w:val="9"/>
              </w:rPr>
              <w:t>work</w:t>
            </w:r>
            <w:r>
              <w:rPr>
                <w:spacing w:val="-5"/>
                <w:sz w:val="9"/>
              </w:rPr>
              <w:t> </w:t>
            </w:r>
            <w:r>
              <w:rPr>
                <w:sz w:val="9"/>
              </w:rPr>
              <w:t>largely</w:t>
            </w:r>
            <w:r>
              <w:rPr>
                <w:spacing w:val="-4"/>
                <w:sz w:val="9"/>
              </w:rPr>
              <w:t> </w:t>
            </w:r>
            <w:r>
              <w:rPr>
                <w:sz w:val="9"/>
              </w:rPr>
              <w:t>complete,</w:t>
            </w:r>
            <w:r>
              <w:rPr>
                <w:spacing w:val="-5"/>
                <w:sz w:val="9"/>
              </w:rPr>
              <w:t> </w:t>
            </w:r>
            <w:r>
              <w:rPr>
                <w:sz w:val="9"/>
              </w:rPr>
              <w:t>Outline</w:t>
            </w:r>
            <w:r>
              <w:rPr>
                <w:spacing w:val="-4"/>
                <w:sz w:val="9"/>
              </w:rPr>
              <w:t> </w:t>
            </w:r>
            <w:r>
              <w:rPr>
                <w:sz w:val="9"/>
              </w:rPr>
              <w:t>Business</w:t>
            </w:r>
            <w:r>
              <w:rPr>
                <w:spacing w:val="-4"/>
                <w:sz w:val="9"/>
              </w:rPr>
              <w:t> </w:t>
            </w:r>
            <w:r>
              <w:rPr>
                <w:sz w:val="9"/>
              </w:rPr>
              <w:t>Case</w:t>
            </w:r>
            <w:r>
              <w:rPr>
                <w:spacing w:val="-5"/>
                <w:sz w:val="9"/>
              </w:rPr>
              <w:t> </w:t>
            </w:r>
            <w:r>
              <w:rPr>
                <w:sz w:val="9"/>
              </w:rPr>
              <w:t>submitted</w:t>
            </w:r>
            <w:r>
              <w:rPr>
                <w:spacing w:val="-4"/>
                <w:sz w:val="9"/>
              </w:rPr>
              <w:t> </w:t>
            </w:r>
            <w:r>
              <w:rPr>
                <w:sz w:val="9"/>
              </w:rPr>
              <w:t>to the EA and Treasury Jan 2018. Moving in to more detailed design in 2018 with construction starting late 2018 early </w:t>
            </w:r>
            <w:r>
              <w:rPr>
                <w:spacing w:val="-1"/>
                <w:w w:val="98"/>
                <w:sz w:val="9"/>
              </w:rPr>
              <w:t>2019</w:t>
            </w:r>
            <w:r>
              <w:rPr>
                <w:w w:val="98"/>
                <w:sz w:val="9"/>
              </w:rPr>
              <w:t>,</w:t>
            </w:r>
            <w:r>
              <w:rPr>
                <w:rFonts w:ascii="Times New Roman"/>
                <w:spacing w:val="2"/>
                <w:sz w:val="9"/>
              </w:rPr>
              <w:t> </w:t>
            </w:r>
            <w:r>
              <w:rPr>
                <w:spacing w:val="-1"/>
                <w:w w:val="98"/>
                <w:sz w:val="9"/>
              </w:rPr>
              <w:t>advance</w:t>
            </w:r>
            <w:r>
              <w:rPr>
                <w:w w:val="98"/>
                <w:sz w:val="9"/>
              </w:rPr>
              <w:t>d</w:t>
            </w:r>
            <w:r>
              <w:rPr>
                <w:rFonts w:ascii="Times New Roman"/>
                <w:spacing w:val="2"/>
                <w:sz w:val="9"/>
              </w:rPr>
              <w:t> </w:t>
            </w:r>
            <w:r>
              <w:rPr>
                <w:spacing w:val="-1"/>
                <w:w w:val="98"/>
                <w:sz w:val="9"/>
              </w:rPr>
              <w:t>work</w:t>
            </w:r>
            <w:r>
              <w:rPr>
                <w:w w:val="98"/>
                <w:sz w:val="9"/>
              </w:rPr>
              <w:t>s</w:t>
            </w:r>
            <w:r>
              <w:rPr>
                <w:rFonts w:ascii="Times New Roman"/>
                <w:spacing w:val="2"/>
                <w:sz w:val="9"/>
              </w:rPr>
              <w:t> </w:t>
            </w:r>
            <w:r>
              <w:rPr>
                <w:spacing w:val="-1"/>
                <w:w w:val="98"/>
                <w:sz w:val="9"/>
              </w:rPr>
              <w:t>hav</w:t>
            </w:r>
            <w:r>
              <w:rPr>
                <w:w w:val="98"/>
                <w:sz w:val="9"/>
              </w:rPr>
              <w:t>e</w:t>
            </w:r>
            <w:r>
              <w:rPr>
                <w:rFonts w:ascii="Times New Roman"/>
                <w:spacing w:val="2"/>
                <w:sz w:val="9"/>
              </w:rPr>
              <w:t> </w:t>
            </w:r>
            <w:r>
              <w:rPr>
                <w:w w:val="98"/>
                <w:sz w:val="9"/>
              </w:rPr>
              <w:t>taken</w:t>
            </w:r>
            <w:r>
              <w:rPr>
                <w:rFonts w:ascii="Times New Roman"/>
                <w:spacing w:val="2"/>
                <w:sz w:val="9"/>
              </w:rPr>
              <w:t> </w:t>
            </w:r>
            <w:r>
              <w:rPr>
                <w:spacing w:val="-1"/>
                <w:w w:val="98"/>
                <w:sz w:val="9"/>
              </w:rPr>
              <w:t>plac</w:t>
            </w:r>
            <w:r>
              <w:rPr>
                <w:w w:val="98"/>
                <w:sz w:val="9"/>
              </w:rPr>
              <w:t>e</w:t>
            </w:r>
            <w:r>
              <w:rPr>
                <w:rFonts w:ascii="Times New Roman"/>
                <w:spacing w:val="2"/>
                <w:sz w:val="9"/>
              </w:rPr>
              <w:t> </w:t>
            </w:r>
            <w:r>
              <w:rPr>
                <w:spacing w:val="-1"/>
                <w:w w:val="98"/>
                <w:sz w:val="9"/>
              </w:rPr>
              <w:t>o</w:t>
            </w:r>
            <w:r>
              <w:rPr>
                <w:w w:val="98"/>
                <w:sz w:val="9"/>
              </w:rPr>
              <w:t>n</w:t>
            </w:r>
            <w:r>
              <w:rPr>
                <w:rFonts w:ascii="Times New Roman"/>
                <w:spacing w:val="2"/>
                <w:sz w:val="9"/>
              </w:rPr>
              <w:t> </w:t>
            </w:r>
            <w:r>
              <w:rPr>
                <w:w w:val="98"/>
                <w:sz w:val="9"/>
              </w:rPr>
              <w:t>some</w:t>
            </w:r>
            <w:r>
              <w:rPr>
                <w:rFonts w:ascii="Times New Roman"/>
                <w:spacing w:val="2"/>
                <w:sz w:val="9"/>
              </w:rPr>
              <w:t> </w:t>
            </w:r>
            <w:r>
              <w:rPr>
                <w:spacing w:val="-50"/>
                <w:w w:val="387"/>
                <w:sz w:val="9"/>
              </w:rPr>
              <w:t>'</w:t>
            </w:r>
            <w:r>
              <w:rPr>
                <w:spacing w:val="-1"/>
                <w:w w:val="98"/>
                <w:sz w:val="9"/>
              </w:rPr>
              <w:t>quic</w:t>
            </w:r>
            <w:r>
              <w:rPr>
                <w:w w:val="98"/>
                <w:sz w:val="9"/>
              </w:rPr>
              <w:t>k</w:t>
            </w:r>
            <w:r>
              <w:rPr>
                <w:rFonts w:ascii="Times New Roman"/>
                <w:spacing w:val="2"/>
                <w:sz w:val="9"/>
              </w:rPr>
              <w:t> </w:t>
            </w:r>
            <w:r>
              <w:rPr>
                <w:spacing w:val="-1"/>
                <w:w w:val="98"/>
                <w:sz w:val="9"/>
              </w:rPr>
              <w:t>win</w:t>
            </w:r>
            <w:r>
              <w:rPr>
                <w:spacing w:val="-25"/>
                <w:w w:val="387"/>
                <w:sz w:val="9"/>
              </w:rPr>
              <w:t>'</w:t>
            </w:r>
            <w:r>
              <w:rPr>
                <w:spacing w:val="-1"/>
                <w:w w:val="98"/>
                <w:sz w:val="9"/>
              </w:rPr>
              <w:t>item</w:t>
            </w:r>
            <w:r>
              <w:rPr>
                <w:w w:val="98"/>
                <w:sz w:val="9"/>
              </w:rPr>
              <w:t>s</w:t>
            </w:r>
            <w:r>
              <w:rPr>
                <w:rFonts w:ascii="Times New Roman"/>
                <w:spacing w:val="2"/>
                <w:sz w:val="9"/>
              </w:rPr>
              <w:t> </w:t>
            </w:r>
            <w:r>
              <w:rPr>
                <w:spacing w:val="-1"/>
                <w:w w:val="98"/>
                <w:sz w:val="9"/>
              </w:rPr>
              <w:t>an</w:t>
            </w:r>
            <w:r>
              <w:rPr>
                <w:w w:val="98"/>
                <w:sz w:val="9"/>
              </w:rPr>
              <w:t>d</w:t>
            </w:r>
            <w:r>
              <w:rPr>
                <w:rFonts w:ascii="Times New Roman"/>
                <w:spacing w:val="2"/>
                <w:sz w:val="9"/>
              </w:rPr>
              <w:t> </w:t>
            </w:r>
            <w:r>
              <w:rPr>
                <w:spacing w:val="-1"/>
                <w:w w:val="98"/>
                <w:sz w:val="9"/>
              </w:rPr>
              <w:t>work</w:t>
            </w:r>
            <w:r>
              <w:rPr>
                <w:w w:val="98"/>
                <w:sz w:val="9"/>
              </w:rPr>
              <w:t>s</w:t>
            </w:r>
            <w:r>
              <w:rPr>
                <w:rFonts w:ascii="Times New Roman"/>
                <w:spacing w:val="2"/>
                <w:sz w:val="9"/>
              </w:rPr>
              <w:t> </w:t>
            </w:r>
            <w:r>
              <w:rPr>
                <w:spacing w:val="-1"/>
                <w:w w:val="98"/>
                <w:sz w:val="9"/>
              </w:rPr>
              <w:t>a</w:t>
            </w:r>
            <w:r>
              <w:rPr>
                <w:w w:val="98"/>
                <w:sz w:val="9"/>
              </w:rPr>
              <w:t>t</w:t>
            </w:r>
            <w:r>
              <w:rPr>
                <w:rFonts w:ascii="Times New Roman"/>
                <w:spacing w:val="2"/>
                <w:sz w:val="9"/>
              </w:rPr>
              <w:t> </w:t>
            </w:r>
            <w:r>
              <w:rPr>
                <w:w w:val="98"/>
                <w:sz w:val="9"/>
              </w:rPr>
              <w:t>Stourton</w:t>
            </w:r>
            <w:r>
              <w:rPr>
                <w:rFonts w:ascii="Times New Roman"/>
                <w:spacing w:val="2"/>
                <w:sz w:val="9"/>
              </w:rPr>
              <w:t> </w:t>
            </w:r>
            <w:r>
              <w:rPr>
                <w:spacing w:val="-1"/>
                <w:w w:val="98"/>
                <w:sz w:val="9"/>
              </w:rPr>
              <w:t>abou</w:t>
            </w:r>
            <w:r>
              <w:rPr>
                <w:w w:val="98"/>
                <w:sz w:val="9"/>
              </w:rPr>
              <w:t>t</w:t>
            </w:r>
            <w:r>
              <w:rPr>
                <w:rFonts w:ascii="Times New Roman"/>
                <w:spacing w:val="2"/>
                <w:sz w:val="9"/>
              </w:rPr>
              <w:t> </w:t>
            </w:r>
            <w:r>
              <w:rPr>
                <w:w w:val="98"/>
                <w:sz w:val="9"/>
              </w:rPr>
              <w:t>to</w:t>
            </w:r>
            <w:r>
              <w:rPr>
                <w:rFonts w:ascii="Times New Roman"/>
                <w:spacing w:val="2"/>
                <w:sz w:val="9"/>
              </w:rPr>
              <w:t> </w:t>
            </w:r>
            <w:r>
              <w:rPr>
                <w:w w:val="98"/>
                <w:sz w:val="9"/>
              </w:rPr>
              <w:t>start</w:t>
            </w:r>
            <w:r>
              <w:rPr>
                <w:rFonts w:ascii="Times New Roman"/>
                <w:spacing w:val="2"/>
                <w:sz w:val="9"/>
              </w:rPr>
              <w:t> </w:t>
            </w:r>
            <w:r>
              <w:rPr>
                <w:spacing w:val="-1"/>
                <w:w w:val="98"/>
                <w:sz w:val="9"/>
              </w:rPr>
              <w:t>a</w:t>
            </w:r>
            <w:r>
              <w:rPr>
                <w:w w:val="98"/>
                <w:sz w:val="9"/>
              </w:rPr>
              <w:t>s</w:t>
            </w:r>
            <w:r>
              <w:rPr>
                <w:rFonts w:ascii="Times New Roman"/>
                <w:spacing w:val="2"/>
                <w:sz w:val="9"/>
              </w:rPr>
              <w:t> </w:t>
            </w:r>
            <w:r>
              <w:rPr>
                <w:spacing w:val="-1"/>
                <w:w w:val="98"/>
                <w:sz w:val="9"/>
              </w:rPr>
              <w:t>i</w:t>
            </w:r>
            <w:r>
              <w:rPr>
                <w:w w:val="98"/>
                <w:sz w:val="9"/>
              </w:rPr>
              <w:t>s</w:t>
            </w:r>
            <w:r>
              <w:rPr>
                <w:rFonts w:ascii="Times New Roman"/>
                <w:spacing w:val="2"/>
                <w:sz w:val="9"/>
              </w:rPr>
              <w:t> </w:t>
            </w:r>
            <w:r>
              <w:rPr>
                <w:w w:val="98"/>
                <w:sz w:val="9"/>
              </w:rPr>
              <w:t>a</w:t>
            </w:r>
            <w:r>
              <w:rPr>
                <w:rFonts w:ascii="Times New Roman"/>
                <w:w w:val="98"/>
                <w:sz w:val="9"/>
              </w:rPr>
              <w:t> </w:t>
            </w:r>
            <w:r>
              <w:rPr>
                <w:sz w:val="9"/>
              </w:rPr>
              <w:t>programme of advanced maintenance and</w:t>
            </w:r>
            <w:r>
              <w:rPr>
                <w:spacing w:val="-5"/>
                <w:sz w:val="9"/>
              </w:rPr>
              <w:t> </w:t>
            </w:r>
            <w:r>
              <w:rPr>
                <w:sz w:val="9"/>
              </w:rPr>
              <w:t>stewardship</w:t>
            </w:r>
          </w:p>
        </w:tc>
        <w:tc>
          <w:tcPr>
            <w:tcW w:w="2096" w:type="dxa"/>
            <w:shd w:val="clear" w:color="auto" w:fill="FCD5B4"/>
          </w:tcPr>
          <w:p>
            <w:pPr>
              <w:pStyle w:val="TableParagraph"/>
              <w:rPr>
                <w:rFonts w:ascii="Calibri"/>
                <w:sz w:val="10"/>
              </w:rPr>
            </w:pPr>
          </w:p>
          <w:p>
            <w:pPr>
              <w:pStyle w:val="TableParagraph"/>
              <w:spacing w:before="77"/>
              <w:ind w:left="19"/>
              <w:rPr>
                <w:sz w:val="9"/>
              </w:rPr>
            </w:pPr>
            <w:r>
              <w:rPr>
                <w:sz w:val="9"/>
              </w:rPr>
              <w:t>Reduce flood risk from River Aire</w:t>
            </w:r>
          </w:p>
        </w:tc>
        <w:tc>
          <w:tcPr>
            <w:tcW w:w="822" w:type="dxa"/>
            <w:shd w:val="clear" w:color="auto" w:fill="FCD5B4"/>
          </w:tcPr>
          <w:p>
            <w:pPr>
              <w:pStyle w:val="TableParagraph"/>
              <w:spacing w:before="9"/>
              <w:rPr>
                <w:rFonts w:ascii="Calibri"/>
                <w:sz w:val="11"/>
              </w:rPr>
            </w:pPr>
          </w:p>
          <w:p>
            <w:pPr>
              <w:pStyle w:val="TableParagraph"/>
              <w:spacing w:line="256" w:lineRule="auto"/>
              <w:ind w:left="18"/>
              <w:rPr>
                <w:sz w:val="9"/>
              </w:rPr>
            </w:pPr>
            <w:r>
              <w:rPr>
                <w:sz w:val="9"/>
              </w:rPr>
              <w:t>LCC Flood Risk Management</w:t>
            </w:r>
          </w:p>
        </w:tc>
        <w:tc>
          <w:tcPr>
            <w:tcW w:w="1000" w:type="dxa"/>
            <w:shd w:val="clear" w:color="auto" w:fill="FCD5B4"/>
          </w:tcPr>
          <w:p>
            <w:pPr>
              <w:pStyle w:val="TableParagraph"/>
              <w:rPr>
                <w:rFonts w:ascii="Calibri"/>
                <w:sz w:val="10"/>
              </w:rPr>
            </w:pPr>
          </w:p>
          <w:p>
            <w:pPr>
              <w:pStyle w:val="TableParagraph"/>
              <w:spacing w:before="77"/>
              <w:ind w:left="17"/>
              <w:rPr>
                <w:sz w:val="9"/>
              </w:rPr>
            </w:pPr>
            <w:r>
              <w:rPr>
                <w:sz w:val="9"/>
              </w:rPr>
              <w:t>Environment Agency</w:t>
            </w:r>
          </w:p>
        </w:tc>
        <w:tc>
          <w:tcPr>
            <w:tcW w:w="599" w:type="dxa"/>
            <w:shd w:val="clear" w:color="auto" w:fill="FCD5B4"/>
          </w:tcPr>
          <w:p>
            <w:pPr>
              <w:pStyle w:val="TableParagraph"/>
              <w:rPr>
                <w:rFonts w:ascii="Calibri"/>
                <w:sz w:val="10"/>
              </w:rPr>
            </w:pPr>
          </w:p>
          <w:p>
            <w:pPr>
              <w:pStyle w:val="TableParagraph"/>
              <w:spacing w:before="77"/>
              <w:ind w:left="15"/>
              <w:rPr>
                <w:sz w:val="9"/>
              </w:rPr>
            </w:pPr>
            <w:r>
              <w:rPr>
                <w:sz w:val="9"/>
              </w:rPr>
              <w:t>17/10/2018</w:t>
            </w:r>
          </w:p>
        </w:tc>
      </w:tr>
      <w:tr>
        <w:trPr>
          <w:trHeight w:val="317" w:hRule="atLeast"/>
        </w:trPr>
        <w:tc>
          <w:tcPr>
            <w:tcW w:w="271" w:type="dxa"/>
          </w:tcPr>
          <w:p>
            <w:pPr>
              <w:pStyle w:val="TableParagraph"/>
              <w:spacing w:before="90"/>
              <w:ind w:left="16"/>
              <w:rPr>
                <w:sz w:val="10"/>
              </w:rPr>
            </w:pPr>
            <w:r>
              <w:rPr>
                <w:w w:val="105"/>
                <w:sz w:val="10"/>
              </w:rPr>
              <w:t>S29</w:t>
            </w:r>
          </w:p>
        </w:tc>
        <w:tc>
          <w:tcPr>
            <w:tcW w:w="494" w:type="dxa"/>
            <w:shd w:val="clear" w:color="auto" w:fill="FCD5B4"/>
          </w:tcPr>
          <w:p>
            <w:pPr>
              <w:pStyle w:val="TableParagraph"/>
              <w:spacing w:before="11"/>
              <w:rPr>
                <w:rFonts w:ascii="Calibri"/>
                <w:sz w:val="7"/>
              </w:rPr>
            </w:pPr>
          </w:p>
          <w:p>
            <w:pPr>
              <w:pStyle w:val="TableParagraph"/>
              <w:ind w:right="138"/>
              <w:jc w:val="right"/>
              <w:rPr>
                <w:b/>
                <w:sz w:val="9"/>
              </w:rPr>
            </w:pPr>
            <w:r>
              <w:rPr>
                <w:b/>
                <w:w w:val="95"/>
                <w:sz w:val="9"/>
              </w:rPr>
              <w:t>High</w:t>
            </w:r>
          </w:p>
        </w:tc>
        <w:tc>
          <w:tcPr>
            <w:tcW w:w="979" w:type="dxa"/>
            <w:shd w:val="clear" w:color="auto" w:fill="FCD5B4"/>
          </w:tcPr>
          <w:p>
            <w:pPr>
              <w:pStyle w:val="TableParagraph"/>
              <w:spacing w:line="266" w:lineRule="auto" w:before="39"/>
              <w:ind w:left="298" w:right="-11" w:hanging="274"/>
              <w:rPr>
                <w:b/>
                <w:sz w:val="9"/>
              </w:rPr>
            </w:pPr>
            <w:r>
              <w:rPr>
                <w:b/>
                <w:sz w:val="9"/>
              </w:rPr>
              <w:t>Design / Construction (on hold)</w:t>
            </w:r>
          </w:p>
        </w:tc>
        <w:tc>
          <w:tcPr>
            <w:tcW w:w="1106" w:type="dxa"/>
            <w:shd w:val="clear" w:color="auto" w:fill="FCD5B4"/>
          </w:tcPr>
          <w:p>
            <w:pPr>
              <w:pStyle w:val="TableParagraph"/>
              <w:spacing w:before="11"/>
              <w:rPr>
                <w:rFonts w:ascii="Calibri"/>
                <w:sz w:val="7"/>
              </w:rPr>
            </w:pPr>
          </w:p>
          <w:p>
            <w:pPr>
              <w:pStyle w:val="TableParagraph"/>
              <w:ind w:left="429" w:right="424"/>
              <w:jc w:val="center"/>
              <w:rPr>
                <w:b/>
                <w:sz w:val="9"/>
              </w:rPr>
            </w:pPr>
            <w:r>
              <w:rPr>
                <w:b/>
                <w:sz w:val="9"/>
              </w:rPr>
              <w:t>2018</w:t>
            </w:r>
          </w:p>
        </w:tc>
        <w:tc>
          <w:tcPr>
            <w:tcW w:w="3040" w:type="dxa"/>
            <w:shd w:val="clear" w:color="auto" w:fill="FCD5B4"/>
          </w:tcPr>
          <w:p>
            <w:pPr>
              <w:pStyle w:val="TableParagraph"/>
              <w:spacing w:before="11"/>
              <w:rPr>
                <w:rFonts w:ascii="Calibri"/>
                <w:sz w:val="7"/>
              </w:rPr>
            </w:pPr>
          </w:p>
          <w:p>
            <w:pPr>
              <w:pStyle w:val="TableParagraph"/>
              <w:ind w:left="17"/>
              <w:rPr>
                <w:sz w:val="9"/>
              </w:rPr>
            </w:pPr>
            <w:r>
              <w:rPr>
                <w:sz w:val="9"/>
              </w:rPr>
              <w:t>Queen Street Culvert</w:t>
            </w:r>
          </w:p>
        </w:tc>
        <w:tc>
          <w:tcPr>
            <w:tcW w:w="530" w:type="dxa"/>
            <w:shd w:val="clear" w:color="auto" w:fill="FCD5B4"/>
          </w:tcPr>
          <w:p>
            <w:pPr>
              <w:pStyle w:val="TableParagraph"/>
              <w:spacing w:before="11"/>
              <w:rPr>
                <w:rFonts w:ascii="Calibri"/>
                <w:sz w:val="7"/>
              </w:rPr>
            </w:pPr>
          </w:p>
          <w:p>
            <w:pPr>
              <w:pStyle w:val="TableParagraph"/>
              <w:ind w:left="18"/>
              <w:rPr>
                <w:sz w:val="9"/>
              </w:rPr>
            </w:pPr>
            <w:r>
              <w:rPr>
                <w:sz w:val="9"/>
              </w:rPr>
              <w:t>NA</w:t>
            </w:r>
          </w:p>
        </w:tc>
        <w:tc>
          <w:tcPr>
            <w:tcW w:w="993" w:type="dxa"/>
            <w:shd w:val="clear" w:color="auto" w:fill="FCD5B4"/>
          </w:tcPr>
          <w:p>
            <w:pPr>
              <w:pStyle w:val="TableParagraph"/>
              <w:spacing w:before="11"/>
              <w:rPr>
                <w:rFonts w:ascii="Calibri"/>
                <w:sz w:val="7"/>
              </w:rPr>
            </w:pPr>
          </w:p>
          <w:p>
            <w:pPr>
              <w:pStyle w:val="TableParagraph"/>
              <w:ind w:left="18"/>
              <w:rPr>
                <w:sz w:val="9"/>
              </w:rPr>
            </w:pPr>
            <w:r>
              <w:rPr>
                <w:sz w:val="9"/>
              </w:rPr>
              <w:t>TBC</w:t>
            </w:r>
          </w:p>
        </w:tc>
        <w:tc>
          <w:tcPr>
            <w:tcW w:w="1243" w:type="dxa"/>
            <w:shd w:val="clear" w:color="auto" w:fill="FCD5B4"/>
          </w:tcPr>
          <w:p>
            <w:pPr>
              <w:pStyle w:val="TableParagraph"/>
              <w:spacing w:before="11"/>
              <w:rPr>
                <w:rFonts w:ascii="Calibri"/>
                <w:sz w:val="7"/>
              </w:rPr>
            </w:pPr>
          </w:p>
          <w:p>
            <w:pPr>
              <w:pStyle w:val="TableParagraph"/>
              <w:ind w:left="19"/>
              <w:rPr>
                <w:sz w:val="9"/>
              </w:rPr>
            </w:pPr>
            <w:r>
              <w:rPr>
                <w:sz w:val="9"/>
              </w:rPr>
              <w:t>Allerton Bywater</w:t>
            </w:r>
          </w:p>
        </w:tc>
        <w:tc>
          <w:tcPr>
            <w:tcW w:w="1505" w:type="dxa"/>
            <w:shd w:val="clear" w:color="auto" w:fill="FCD5B4"/>
          </w:tcPr>
          <w:p>
            <w:pPr>
              <w:pStyle w:val="TableParagraph"/>
              <w:spacing w:line="256" w:lineRule="auto" w:before="41"/>
              <w:ind w:left="19"/>
              <w:rPr>
                <w:sz w:val="9"/>
              </w:rPr>
            </w:pPr>
            <w:r>
              <w:rPr>
                <w:sz w:val="9"/>
              </w:rPr>
              <w:t>3. Studies, schemes, assessments and plans</w:t>
            </w:r>
          </w:p>
        </w:tc>
        <w:tc>
          <w:tcPr>
            <w:tcW w:w="3768" w:type="dxa"/>
            <w:shd w:val="clear" w:color="auto" w:fill="FCD5B4"/>
          </w:tcPr>
          <w:p>
            <w:pPr>
              <w:pStyle w:val="TableParagraph"/>
              <w:spacing w:before="11"/>
              <w:rPr>
                <w:rFonts w:ascii="Calibri"/>
                <w:sz w:val="7"/>
              </w:rPr>
            </w:pPr>
          </w:p>
          <w:p>
            <w:pPr>
              <w:pStyle w:val="TableParagraph"/>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256" w:lineRule="auto" w:before="41"/>
              <w:ind w:left="19" w:right="1"/>
              <w:rPr>
                <w:sz w:val="9"/>
              </w:rPr>
            </w:pPr>
            <w:r>
              <w:rPr>
                <w:sz w:val="9"/>
              </w:rPr>
              <w:t>Outline design completed. Japanese knotweed treatment taking place this is a 3 year programme due to complete in 2018</w:t>
            </w:r>
          </w:p>
        </w:tc>
        <w:tc>
          <w:tcPr>
            <w:tcW w:w="2096" w:type="dxa"/>
            <w:shd w:val="clear" w:color="auto" w:fill="FCD5B4"/>
          </w:tcPr>
          <w:p>
            <w:pPr>
              <w:pStyle w:val="TableParagraph"/>
              <w:spacing w:before="11"/>
              <w:rPr>
                <w:rFonts w:ascii="Calibri"/>
                <w:sz w:val="7"/>
              </w:rPr>
            </w:pPr>
          </w:p>
          <w:p>
            <w:pPr>
              <w:pStyle w:val="TableParagraph"/>
              <w:ind w:left="19"/>
              <w:rPr>
                <w:sz w:val="9"/>
              </w:rPr>
            </w:pPr>
            <w:r>
              <w:rPr>
                <w:sz w:val="9"/>
              </w:rPr>
              <w:t>Reduce risk of flooding</w:t>
            </w:r>
          </w:p>
        </w:tc>
        <w:tc>
          <w:tcPr>
            <w:tcW w:w="822" w:type="dxa"/>
            <w:shd w:val="clear" w:color="auto" w:fill="FCD5B4"/>
          </w:tcPr>
          <w:p>
            <w:pPr>
              <w:pStyle w:val="TableParagraph"/>
              <w:spacing w:line="256" w:lineRule="auto" w:before="41"/>
              <w:ind w:left="18"/>
              <w:rPr>
                <w:sz w:val="9"/>
              </w:rPr>
            </w:pPr>
            <w:r>
              <w:rPr>
                <w:sz w:val="9"/>
              </w:rPr>
              <w:t>LCC Flood Risk Management</w:t>
            </w:r>
          </w:p>
        </w:tc>
        <w:tc>
          <w:tcPr>
            <w:tcW w:w="1000" w:type="dxa"/>
            <w:shd w:val="clear" w:color="auto" w:fill="FCD5B4"/>
          </w:tcPr>
          <w:p>
            <w:pPr>
              <w:pStyle w:val="TableParagraph"/>
              <w:spacing w:before="11"/>
              <w:rPr>
                <w:rFonts w:ascii="Calibri"/>
                <w:sz w:val="7"/>
              </w:rPr>
            </w:pPr>
          </w:p>
          <w:p>
            <w:pPr>
              <w:pStyle w:val="TableParagraph"/>
              <w:ind w:left="17"/>
              <w:rPr>
                <w:sz w:val="9"/>
              </w:rPr>
            </w:pPr>
            <w:r>
              <w:rPr>
                <w:sz w:val="9"/>
              </w:rPr>
              <w:t>Environment Agency</w:t>
            </w:r>
          </w:p>
        </w:tc>
        <w:tc>
          <w:tcPr>
            <w:tcW w:w="599" w:type="dxa"/>
            <w:shd w:val="clear" w:color="auto" w:fill="FCD5B4"/>
          </w:tcPr>
          <w:p>
            <w:pPr>
              <w:pStyle w:val="TableParagraph"/>
              <w:spacing w:before="11"/>
              <w:rPr>
                <w:rFonts w:ascii="Calibri"/>
                <w:sz w:val="7"/>
              </w:rPr>
            </w:pPr>
          </w:p>
          <w:p>
            <w:pPr>
              <w:pStyle w:val="TableParagraph"/>
              <w:ind w:left="15"/>
              <w:rPr>
                <w:sz w:val="9"/>
              </w:rPr>
            </w:pPr>
            <w:r>
              <w:rPr>
                <w:sz w:val="9"/>
              </w:rPr>
              <w:t>17/10/2018</w:t>
            </w:r>
          </w:p>
        </w:tc>
      </w:tr>
      <w:tr>
        <w:trPr>
          <w:trHeight w:val="210" w:hRule="atLeast"/>
        </w:trPr>
        <w:tc>
          <w:tcPr>
            <w:tcW w:w="271" w:type="dxa"/>
          </w:tcPr>
          <w:p>
            <w:pPr>
              <w:pStyle w:val="TableParagraph"/>
              <w:spacing w:before="38"/>
              <w:ind w:left="16"/>
              <w:rPr>
                <w:sz w:val="10"/>
              </w:rPr>
            </w:pPr>
            <w:r>
              <w:rPr>
                <w:w w:val="105"/>
                <w:sz w:val="10"/>
              </w:rPr>
              <w:t>S40</w:t>
            </w:r>
          </w:p>
        </w:tc>
        <w:tc>
          <w:tcPr>
            <w:tcW w:w="494" w:type="dxa"/>
            <w:shd w:val="clear" w:color="auto" w:fill="FCD5B4"/>
          </w:tcPr>
          <w:p>
            <w:pPr>
              <w:pStyle w:val="TableParagraph"/>
              <w:spacing w:before="45"/>
              <w:ind w:right="138"/>
              <w:jc w:val="right"/>
              <w:rPr>
                <w:b/>
                <w:sz w:val="9"/>
              </w:rPr>
            </w:pPr>
            <w:r>
              <w:rPr>
                <w:b/>
                <w:w w:val="95"/>
                <w:sz w:val="9"/>
              </w:rPr>
              <w:t>High</w:t>
            </w:r>
          </w:p>
        </w:tc>
        <w:tc>
          <w:tcPr>
            <w:tcW w:w="979" w:type="dxa"/>
            <w:shd w:val="clear" w:color="auto" w:fill="FCD5B4"/>
          </w:tcPr>
          <w:p>
            <w:pPr>
              <w:pStyle w:val="TableParagraph"/>
              <w:spacing w:before="45"/>
              <w:ind w:left="24"/>
              <w:rPr>
                <w:b/>
                <w:sz w:val="9"/>
              </w:rPr>
            </w:pPr>
            <w:r>
              <w:rPr>
                <w:b/>
                <w:sz w:val="9"/>
              </w:rPr>
              <w:t>Design / Construction</w:t>
            </w:r>
          </w:p>
        </w:tc>
        <w:tc>
          <w:tcPr>
            <w:tcW w:w="1106" w:type="dxa"/>
            <w:shd w:val="clear" w:color="auto" w:fill="FCD5B4"/>
          </w:tcPr>
          <w:p>
            <w:pPr>
              <w:pStyle w:val="TableParagraph"/>
              <w:spacing w:before="45"/>
              <w:ind w:left="429" w:right="425"/>
              <w:jc w:val="center"/>
              <w:rPr>
                <w:b/>
                <w:sz w:val="9"/>
              </w:rPr>
            </w:pPr>
            <w:r>
              <w:rPr>
                <w:b/>
                <w:sz w:val="9"/>
              </w:rPr>
              <w:t>2019</w:t>
            </w:r>
          </w:p>
        </w:tc>
        <w:tc>
          <w:tcPr>
            <w:tcW w:w="3040" w:type="dxa"/>
            <w:shd w:val="clear" w:color="auto" w:fill="FCD5B4"/>
          </w:tcPr>
          <w:p>
            <w:pPr>
              <w:pStyle w:val="TableParagraph"/>
              <w:spacing w:before="45"/>
              <w:ind w:left="17"/>
              <w:rPr>
                <w:sz w:val="9"/>
              </w:rPr>
            </w:pPr>
            <w:r>
              <w:rPr>
                <w:sz w:val="9"/>
              </w:rPr>
              <w:t>Hawthorn Terrace Flood Alleviation Scheme Phase 2</w:t>
            </w:r>
          </w:p>
        </w:tc>
        <w:tc>
          <w:tcPr>
            <w:tcW w:w="530" w:type="dxa"/>
            <w:shd w:val="clear" w:color="auto" w:fill="FCD5B4"/>
          </w:tcPr>
          <w:p>
            <w:pPr>
              <w:pStyle w:val="TableParagraph"/>
              <w:spacing w:before="45"/>
              <w:ind w:left="18"/>
              <w:rPr>
                <w:sz w:val="9"/>
              </w:rPr>
            </w:pPr>
            <w:r>
              <w:rPr>
                <w:sz w:val="9"/>
              </w:rPr>
              <w:t>TBC</w:t>
            </w:r>
          </w:p>
        </w:tc>
        <w:tc>
          <w:tcPr>
            <w:tcW w:w="993" w:type="dxa"/>
            <w:shd w:val="clear" w:color="auto" w:fill="FCD5B4"/>
          </w:tcPr>
          <w:p>
            <w:pPr>
              <w:pStyle w:val="TableParagraph"/>
              <w:spacing w:before="45"/>
              <w:ind w:left="19"/>
              <w:rPr>
                <w:sz w:val="9"/>
              </w:rPr>
            </w:pPr>
            <w:r>
              <w:rPr>
                <w:sz w:val="9"/>
              </w:rPr>
              <w:t>TBC</w:t>
            </w:r>
          </w:p>
        </w:tc>
        <w:tc>
          <w:tcPr>
            <w:tcW w:w="1243" w:type="dxa"/>
            <w:shd w:val="clear" w:color="auto" w:fill="FCD5B4"/>
          </w:tcPr>
          <w:p>
            <w:pPr>
              <w:pStyle w:val="TableParagraph"/>
              <w:spacing w:before="45"/>
              <w:ind w:left="19"/>
              <w:rPr>
                <w:sz w:val="9"/>
              </w:rPr>
            </w:pPr>
            <w:r>
              <w:rPr>
                <w:sz w:val="9"/>
              </w:rPr>
              <w:t>West Garforth</w:t>
            </w:r>
          </w:p>
        </w:tc>
        <w:tc>
          <w:tcPr>
            <w:tcW w:w="1505" w:type="dxa"/>
            <w:shd w:val="clear" w:color="auto" w:fill="FCD5B4"/>
          </w:tcPr>
          <w:p>
            <w:pPr>
              <w:pStyle w:val="TableParagraph"/>
              <w:spacing w:line="94" w:lineRule="exact"/>
              <w:ind w:left="19"/>
              <w:rPr>
                <w:sz w:val="9"/>
              </w:rPr>
            </w:pPr>
            <w:r>
              <w:rPr>
                <w:sz w:val="9"/>
              </w:rPr>
              <w:t>3. Studies, schemes, assessments</w:t>
            </w:r>
          </w:p>
          <w:p>
            <w:pPr>
              <w:pStyle w:val="TableParagraph"/>
              <w:spacing w:line="90" w:lineRule="exact" w:before="7"/>
              <w:ind w:left="19"/>
              <w:rPr>
                <w:sz w:val="9"/>
              </w:rPr>
            </w:pPr>
            <w:r>
              <w:rPr>
                <w:sz w:val="9"/>
              </w:rPr>
              <w:t>and plans</w:t>
            </w:r>
          </w:p>
        </w:tc>
        <w:tc>
          <w:tcPr>
            <w:tcW w:w="3768" w:type="dxa"/>
            <w:shd w:val="clear" w:color="auto" w:fill="FCD5B4"/>
          </w:tcPr>
          <w:p>
            <w:pPr>
              <w:pStyle w:val="TableParagraph"/>
              <w:spacing w:before="45"/>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94" w:lineRule="exact"/>
              <w:ind w:left="19"/>
              <w:rPr>
                <w:sz w:val="9"/>
              </w:rPr>
            </w:pPr>
            <w:r>
              <w:rPr>
                <w:sz w:val="9"/>
              </w:rPr>
              <w:t>Initial scheme completed, but further defects with existing assets and connected infrastructure identified so further</w:t>
            </w:r>
          </w:p>
          <w:p>
            <w:pPr>
              <w:pStyle w:val="TableParagraph"/>
              <w:spacing w:line="90" w:lineRule="exact" w:before="7"/>
              <w:ind w:left="19"/>
              <w:rPr>
                <w:sz w:val="9"/>
              </w:rPr>
            </w:pPr>
            <w:r>
              <w:rPr>
                <w:sz w:val="9"/>
              </w:rPr>
              <w:t>works needed and being designed</w:t>
            </w:r>
          </w:p>
        </w:tc>
        <w:tc>
          <w:tcPr>
            <w:tcW w:w="2096" w:type="dxa"/>
            <w:shd w:val="clear" w:color="auto" w:fill="FCD5B4"/>
          </w:tcPr>
          <w:p>
            <w:pPr>
              <w:pStyle w:val="TableParagraph"/>
              <w:spacing w:before="45"/>
              <w:ind w:left="19"/>
              <w:rPr>
                <w:sz w:val="9"/>
              </w:rPr>
            </w:pPr>
            <w:r>
              <w:rPr>
                <w:sz w:val="9"/>
              </w:rPr>
              <w:t>Reduced risk of flooding</w:t>
            </w:r>
          </w:p>
        </w:tc>
        <w:tc>
          <w:tcPr>
            <w:tcW w:w="822" w:type="dxa"/>
            <w:shd w:val="clear" w:color="auto" w:fill="FCD5B4"/>
          </w:tcPr>
          <w:p>
            <w:pPr>
              <w:pStyle w:val="TableParagraph"/>
              <w:spacing w:line="94" w:lineRule="exact"/>
              <w:ind w:left="18"/>
              <w:rPr>
                <w:sz w:val="9"/>
              </w:rPr>
            </w:pPr>
            <w:r>
              <w:rPr>
                <w:sz w:val="9"/>
              </w:rPr>
              <w:t>LCC Flood Risk</w:t>
            </w:r>
          </w:p>
          <w:p>
            <w:pPr>
              <w:pStyle w:val="TableParagraph"/>
              <w:spacing w:line="90" w:lineRule="exact" w:before="7"/>
              <w:ind w:left="18"/>
              <w:rPr>
                <w:sz w:val="9"/>
              </w:rPr>
            </w:pPr>
            <w:r>
              <w:rPr>
                <w:sz w:val="9"/>
              </w:rPr>
              <w:t>Management</w:t>
            </w:r>
          </w:p>
        </w:tc>
        <w:tc>
          <w:tcPr>
            <w:tcW w:w="1000" w:type="dxa"/>
            <w:shd w:val="clear" w:color="auto" w:fill="FCD5B4"/>
          </w:tcPr>
          <w:p>
            <w:pPr>
              <w:pStyle w:val="TableParagraph"/>
              <w:spacing w:before="45"/>
              <w:ind w:left="17"/>
              <w:rPr>
                <w:sz w:val="9"/>
              </w:rPr>
            </w:pPr>
            <w:r>
              <w:rPr>
                <w:sz w:val="9"/>
              </w:rPr>
              <w:t>Environment Agency</w:t>
            </w:r>
          </w:p>
        </w:tc>
        <w:tc>
          <w:tcPr>
            <w:tcW w:w="599" w:type="dxa"/>
            <w:shd w:val="clear" w:color="auto" w:fill="FCD5B4"/>
          </w:tcPr>
          <w:p>
            <w:pPr>
              <w:pStyle w:val="TableParagraph"/>
              <w:spacing w:before="45"/>
              <w:ind w:left="15"/>
              <w:rPr>
                <w:sz w:val="9"/>
              </w:rPr>
            </w:pPr>
            <w:r>
              <w:rPr>
                <w:sz w:val="9"/>
              </w:rPr>
              <w:t>17/10/2018</w:t>
            </w:r>
          </w:p>
        </w:tc>
      </w:tr>
      <w:tr>
        <w:trPr>
          <w:trHeight w:val="628" w:hRule="atLeast"/>
        </w:trPr>
        <w:tc>
          <w:tcPr>
            <w:tcW w:w="271" w:type="dxa"/>
          </w:tcPr>
          <w:p>
            <w:pPr>
              <w:pStyle w:val="TableParagraph"/>
              <w:rPr>
                <w:rFonts w:ascii="Calibri"/>
                <w:sz w:val="12"/>
              </w:rPr>
            </w:pPr>
          </w:p>
          <w:p>
            <w:pPr>
              <w:pStyle w:val="TableParagraph"/>
              <w:spacing w:before="100"/>
              <w:ind w:left="16"/>
              <w:rPr>
                <w:sz w:val="10"/>
              </w:rPr>
            </w:pPr>
            <w:r>
              <w:rPr>
                <w:w w:val="105"/>
                <w:sz w:val="10"/>
              </w:rPr>
              <w:t>S15</w:t>
            </w:r>
          </w:p>
        </w:tc>
        <w:tc>
          <w:tcPr>
            <w:tcW w:w="494"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right="138"/>
              <w:jc w:val="right"/>
              <w:rPr>
                <w:b/>
                <w:sz w:val="9"/>
              </w:rPr>
            </w:pPr>
            <w:r>
              <w:rPr>
                <w:b/>
                <w:w w:val="95"/>
                <w:sz w:val="9"/>
              </w:rPr>
              <w:t>High</w:t>
            </w:r>
          </w:p>
        </w:tc>
        <w:tc>
          <w:tcPr>
            <w:tcW w:w="979"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left="211"/>
              <w:rPr>
                <w:b/>
                <w:sz w:val="9"/>
              </w:rPr>
            </w:pPr>
            <w:r>
              <w:rPr>
                <w:b/>
                <w:sz w:val="9"/>
              </w:rPr>
              <w:t>Construction</w:t>
            </w:r>
          </w:p>
        </w:tc>
        <w:tc>
          <w:tcPr>
            <w:tcW w:w="1106"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left="429" w:right="425"/>
              <w:jc w:val="center"/>
              <w:rPr>
                <w:b/>
                <w:sz w:val="9"/>
              </w:rPr>
            </w:pPr>
            <w:r>
              <w:rPr>
                <w:b/>
                <w:sz w:val="9"/>
              </w:rPr>
              <w:t>2019</w:t>
            </w:r>
          </w:p>
        </w:tc>
        <w:tc>
          <w:tcPr>
            <w:tcW w:w="3040"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left="17"/>
              <w:rPr>
                <w:sz w:val="9"/>
              </w:rPr>
            </w:pPr>
            <w:r>
              <w:rPr>
                <w:sz w:val="9"/>
              </w:rPr>
              <w:t>Killingbeck Meadows Flood Alleviation Scheme</w:t>
            </w:r>
          </w:p>
        </w:tc>
        <w:tc>
          <w:tcPr>
            <w:tcW w:w="530"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left="18"/>
              <w:rPr>
                <w:sz w:val="9"/>
              </w:rPr>
            </w:pPr>
            <w:r>
              <w:rPr>
                <w:sz w:val="9"/>
              </w:rPr>
              <w:t>TBC</w:t>
            </w:r>
          </w:p>
        </w:tc>
        <w:tc>
          <w:tcPr>
            <w:tcW w:w="993"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left="19"/>
              <w:rPr>
                <w:sz w:val="9"/>
              </w:rPr>
            </w:pPr>
            <w:r>
              <w:rPr>
                <w:sz w:val="9"/>
              </w:rPr>
              <w:t>£1.6m</w:t>
            </w:r>
          </w:p>
        </w:tc>
        <w:tc>
          <w:tcPr>
            <w:tcW w:w="1243"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left="19"/>
              <w:rPr>
                <w:sz w:val="9"/>
              </w:rPr>
            </w:pPr>
            <w:r>
              <w:rPr>
                <w:sz w:val="9"/>
              </w:rPr>
              <w:t>Halton Moor</w:t>
            </w:r>
          </w:p>
        </w:tc>
        <w:tc>
          <w:tcPr>
            <w:tcW w:w="1505" w:type="dxa"/>
            <w:shd w:val="clear" w:color="auto" w:fill="FCD5B4"/>
          </w:tcPr>
          <w:p>
            <w:pPr>
              <w:pStyle w:val="TableParagraph"/>
              <w:rPr>
                <w:rFonts w:ascii="Calibri"/>
                <w:sz w:val="10"/>
              </w:rPr>
            </w:pPr>
          </w:p>
          <w:p>
            <w:pPr>
              <w:pStyle w:val="TableParagraph"/>
              <w:spacing w:line="256" w:lineRule="auto" w:before="77"/>
              <w:ind w:left="19"/>
              <w:rPr>
                <w:sz w:val="9"/>
              </w:rPr>
            </w:pPr>
            <w:r>
              <w:rPr>
                <w:sz w:val="9"/>
              </w:rPr>
              <w:t>3. Studies, schemes, assessments and plans</w:t>
            </w:r>
          </w:p>
        </w:tc>
        <w:tc>
          <w:tcPr>
            <w:tcW w:w="3768"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82" w:lineRule="exact"/>
              <w:ind w:left="19"/>
              <w:rPr>
                <w:sz w:val="9"/>
              </w:rPr>
            </w:pPr>
            <w:r>
              <w:rPr>
                <w:sz w:val="9"/>
              </w:rPr>
              <w:t>Flooding to residential and commercial areas from Wyke Beck. Accelerated scheme due to combining the benefits o</w:t>
            </w:r>
          </w:p>
          <w:p>
            <w:pPr>
              <w:pStyle w:val="TableParagraph"/>
              <w:spacing w:line="110" w:lineRule="atLeast"/>
              <w:ind w:left="19" w:right="-14"/>
              <w:rPr>
                <w:sz w:val="9"/>
              </w:rPr>
            </w:pPr>
            <w:r>
              <w:rPr>
                <w:sz w:val="9"/>
              </w:rPr>
              <w:t>releasing development sites (11 housing sites and land within the Enterprise Zone and providing green infrastructure improvements</w:t>
            </w:r>
            <w:r>
              <w:rPr>
                <w:spacing w:val="-6"/>
                <w:sz w:val="9"/>
              </w:rPr>
              <w:t> </w:t>
            </w:r>
            <w:r>
              <w:rPr>
                <w:sz w:val="9"/>
              </w:rPr>
              <w:t>to</w:t>
            </w:r>
            <w:r>
              <w:rPr>
                <w:spacing w:val="-6"/>
                <w:sz w:val="9"/>
              </w:rPr>
              <w:t> </w:t>
            </w:r>
            <w:r>
              <w:rPr>
                <w:sz w:val="9"/>
              </w:rPr>
              <w:t>a</w:t>
            </w:r>
            <w:r>
              <w:rPr>
                <w:spacing w:val="-5"/>
                <w:sz w:val="9"/>
              </w:rPr>
              <w:t> </w:t>
            </w:r>
            <w:r>
              <w:rPr>
                <w:sz w:val="9"/>
              </w:rPr>
              <w:t>Local</w:t>
            </w:r>
            <w:r>
              <w:rPr>
                <w:spacing w:val="-6"/>
                <w:sz w:val="9"/>
              </w:rPr>
              <w:t> </w:t>
            </w:r>
            <w:r>
              <w:rPr>
                <w:sz w:val="9"/>
              </w:rPr>
              <w:t>Nature</w:t>
            </w:r>
            <w:r>
              <w:rPr>
                <w:spacing w:val="-5"/>
                <w:sz w:val="9"/>
              </w:rPr>
              <w:t> </w:t>
            </w:r>
            <w:r>
              <w:rPr>
                <w:sz w:val="9"/>
              </w:rPr>
              <w:t>reserve</w:t>
            </w:r>
            <w:r>
              <w:rPr>
                <w:spacing w:val="-6"/>
                <w:sz w:val="9"/>
              </w:rPr>
              <w:t> </w:t>
            </w:r>
            <w:r>
              <w:rPr>
                <w:sz w:val="9"/>
              </w:rPr>
              <w:t>as</w:t>
            </w:r>
            <w:r>
              <w:rPr>
                <w:spacing w:val="-5"/>
                <w:sz w:val="9"/>
              </w:rPr>
              <w:t> </w:t>
            </w:r>
            <w:r>
              <w:rPr>
                <w:sz w:val="9"/>
              </w:rPr>
              <w:t>well</w:t>
            </w:r>
            <w:r>
              <w:rPr>
                <w:spacing w:val="-6"/>
                <w:sz w:val="9"/>
              </w:rPr>
              <w:t> </w:t>
            </w:r>
            <w:r>
              <w:rPr>
                <w:sz w:val="9"/>
              </w:rPr>
              <w:t>as</w:t>
            </w:r>
            <w:r>
              <w:rPr>
                <w:spacing w:val="-5"/>
                <w:sz w:val="9"/>
              </w:rPr>
              <w:t> </w:t>
            </w:r>
            <w:r>
              <w:rPr>
                <w:sz w:val="9"/>
              </w:rPr>
              <w:t>providing</w:t>
            </w:r>
            <w:r>
              <w:rPr>
                <w:spacing w:val="-6"/>
                <w:sz w:val="9"/>
              </w:rPr>
              <w:t> </w:t>
            </w:r>
            <w:r>
              <w:rPr>
                <w:sz w:val="9"/>
              </w:rPr>
              <w:t>flood</w:t>
            </w:r>
            <w:r>
              <w:rPr>
                <w:spacing w:val="-5"/>
                <w:sz w:val="9"/>
              </w:rPr>
              <w:t> </w:t>
            </w:r>
            <w:r>
              <w:rPr>
                <w:sz w:val="9"/>
              </w:rPr>
              <w:t>risk</w:t>
            </w:r>
            <w:r>
              <w:rPr>
                <w:spacing w:val="-6"/>
                <w:sz w:val="9"/>
              </w:rPr>
              <w:t> </w:t>
            </w:r>
            <w:r>
              <w:rPr>
                <w:sz w:val="9"/>
              </w:rPr>
              <w:t>reduction,</w:t>
            </w:r>
            <w:r>
              <w:rPr>
                <w:spacing w:val="-5"/>
                <w:sz w:val="9"/>
              </w:rPr>
              <w:t> </w:t>
            </w:r>
            <w:r>
              <w:rPr>
                <w:sz w:val="9"/>
              </w:rPr>
              <w:t>this</w:t>
            </w:r>
            <w:r>
              <w:rPr>
                <w:spacing w:val="-6"/>
                <w:sz w:val="9"/>
              </w:rPr>
              <w:t> </w:t>
            </w:r>
            <w:r>
              <w:rPr>
                <w:sz w:val="9"/>
              </w:rPr>
              <w:t>scheme</w:t>
            </w:r>
            <w:r>
              <w:rPr>
                <w:spacing w:val="-5"/>
                <w:sz w:val="9"/>
              </w:rPr>
              <w:t> </w:t>
            </w:r>
            <w:r>
              <w:rPr>
                <w:sz w:val="9"/>
              </w:rPr>
              <w:t>should</w:t>
            </w:r>
            <w:r>
              <w:rPr>
                <w:spacing w:val="-6"/>
                <w:sz w:val="9"/>
              </w:rPr>
              <w:t> </w:t>
            </w:r>
            <w:r>
              <w:rPr>
                <w:sz w:val="9"/>
              </w:rPr>
              <w:t>receive</w:t>
            </w:r>
            <w:r>
              <w:rPr>
                <w:spacing w:val="-5"/>
                <w:sz w:val="9"/>
              </w:rPr>
              <w:t> </w:t>
            </w:r>
            <w:r>
              <w:rPr>
                <w:sz w:val="9"/>
              </w:rPr>
              <w:t>planning permission in March 2018 and become a registered flood storage area under the Reservoirs Act. This forms part of a joint</w:t>
            </w:r>
            <w:r>
              <w:rPr>
                <w:spacing w:val="-7"/>
                <w:sz w:val="9"/>
              </w:rPr>
              <w:t> </w:t>
            </w:r>
            <w:r>
              <w:rPr>
                <w:sz w:val="9"/>
              </w:rPr>
              <w:t>Wyke</w:t>
            </w:r>
            <w:r>
              <w:rPr>
                <w:spacing w:val="-6"/>
                <w:sz w:val="9"/>
              </w:rPr>
              <w:t> </w:t>
            </w:r>
            <w:r>
              <w:rPr>
                <w:sz w:val="9"/>
              </w:rPr>
              <w:t>Beck</w:t>
            </w:r>
            <w:r>
              <w:rPr>
                <w:spacing w:val="-6"/>
                <w:sz w:val="9"/>
              </w:rPr>
              <w:t> </w:t>
            </w:r>
            <w:r>
              <w:rPr>
                <w:sz w:val="9"/>
              </w:rPr>
              <w:t>Programme</w:t>
            </w:r>
            <w:r>
              <w:rPr>
                <w:spacing w:val="-6"/>
                <w:sz w:val="9"/>
              </w:rPr>
              <w:t> </w:t>
            </w:r>
            <w:r>
              <w:rPr>
                <w:sz w:val="9"/>
              </w:rPr>
              <w:t>delivering</w:t>
            </w:r>
            <w:r>
              <w:rPr>
                <w:spacing w:val="-6"/>
                <w:sz w:val="9"/>
              </w:rPr>
              <w:t> </w:t>
            </w:r>
            <w:r>
              <w:rPr>
                <w:sz w:val="9"/>
              </w:rPr>
              <w:t>housing</w:t>
            </w:r>
            <w:r>
              <w:rPr>
                <w:spacing w:val="-6"/>
                <w:sz w:val="9"/>
              </w:rPr>
              <w:t> </w:t>
            </w:r>
            <w:r>
              <w:rPr>
                <w:sz w:val="9"/>
              </w:rPr>
              <w:t>growth</w:t>
            </w:r>
            <w:r>
              <w:rPr>
                <w:spacing w:val="-6"/>
                <w:sz w:val="9"/>
              </w:rPr>
              <w:t> </w:t>
            </w:r>
            <w:r>
              <w:rPr>
                <w:sz w:val="9"/>
              </w:rPr>
              <w:t>from</w:t>
            </w:r>
            <w:r>
              <w:rPr>
                <w:spacing w:val="-7"/>
                <w:sz w:val="9"/>
              </w:rPr>
              <w:t> </w:t>
            </w:r>
            <w:r>
              <w:rPr>
                <w:sz w:val="9"/>
              </w:rPr>
              <w:t>Brownfield</w:t>
            </w:r>
            <w:r>
              <w:rPr>
                <w:spacing w:val="-6"/>
                <w:sz w:val="9"/>
              </w:rPr>
              <w:t> </w:t>
            </w:r>
            <w:r>
              <w:rPr>
                <w:sz w:val="9"/>
              </w:rPr>
              <w:t>land</w:t>
            </w:r>
            <w:r>
              <w:rPr>
                <w:spacing w:val="-6"/>
                <w:sz w:val="9"/>
              </w:rPr>
              <w:t> </w:t>
            </w:r>
            <w:r>
              <w:rPr>
                <w:sz w:val="9"/>
              </w:rPr>
              <w:t>and</w:t>
            </w:r>
            <w:r>
              <w:rPr>
                <w:spacing w:val="-6"/>
                <w:sz w:val="9"/>
              </w:rPr>
              <w:t> </w:t>
            </w:r>
            <w:r>
              <w:rPr>
                <w:sz w:val="9"/>
              </w:rPr>
              <w:t>Local</w:t>
            </w:r>
            <w:r>
              <w:rPr>
                <w:spacing w:val="-6"/>
                <w:sz w:val="9"/>
              </w:rPr>
              <w:t> </w:t>
            </w:r>
            <w:r>
              <w:rPr>
                <w:sz w:val="9"/>
              </w:rPr>
              <w:t>Nature</w:t>
            </w:r>
            <w:r>
              <w:rPr>
                <w:spacing w:val="-6"/>
                <w:sz w:val="9"/>
              </w:rPr>
              <w:t> </w:t>
            </w:r>
            <w:r>
              <w:rPr>
                <w:sz w:val="9"/>
              </w:rPr>
              <w:t>resrve</w:t>
            </w:r>
            <w:r>
              <w:rPr>
                <w:spacing w:val="-6"/>
                <w:sz w:val="9"/>
              </w:rPr>
              <w:t> </w:t>
            </w:r>
            <w:r>
              <w:rPr>
                <w:sz w:val="9"/>
              </w:rPr>
              <w:t>and</w:t>
            </w:r>
            <w:r>
              <w:rPr>
                <w:spacing w:val="-7"/>
                <w:sz w:val="9"/>
              </w:rPr>
              <w:t> </w:t>
            </w:r>
            <w:r>
              <w:rPr>
                <w:sz w:val="9"/>
              </w:rPr>
              <w:t>green</w:t>
            </w:r>
            <w:r>
              <w:rPr>
                <w:spacing w:val="-6"/>
                <w:sz w:val="9"/>
              </w:rPr>
              <w:t> </w:t>
            </w:r>
            <w:r>
              <w:rPr>
                <w:sz w:val="9"/>
              </w:rPr>
              <w:t>space improvements.</w:t>
            </w:r>
          </w:p>
        </w:tc>
        <w:tc>
          <w:tcPr>
            <w:tcW w:w="2096"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left="19"/>
              <w:rPr>
                <w:sz w:val="9"/>
              </w:rPr>
            </w:pPr>
            <w:r>
              <w:rPr>
                <w:sz w:val="9"/>
              </w:rPr>
              <w:t>The risk of flooding will be managed</w:t>
            </w:r>
          </w:p>
        </w:tc>
        <w:tc>
          <w:tcPr>
            <w:tcW w:w="822" w:type="dxa"/>
            <w:shd w:val="clear" w:color="auto" w:fill="FCD5B4"/>
          </w:tcPr>
          <w:p>
            <w:pPr>
              <w:pStyle w:val="TableParagraph"/>
              <w:rPr>
                <w:rFonts w:ascii="Calibri"/>
                <w:sz w:val="10"/>
              </w:rPr>
            </w:pPr>
          </w:p>
          <w:p>
            <w:pPr>
              <w:pStyle w:val="TableParagraph"/>
              <w:spacing w:line="256" w:lineRule="auto" w:before="77"/>
              <w:ind w:left="18"/>
              <w:rPr>
                <w:sz w:val="9"/>
              </w:rPr>
            </w:pPr>
            <w:r>
              <w:rPr>
                <w:sz w:val="9"/>
              </w:rPr>
              <w:t>LCC Flood Risk Management</w:t>
            </w:r>
          </w:p>
        </w:tc>
        <w:tc>
          <w:tcPr>
            <w:tcW w:w="1000"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left="17"/>
              <w:rPr>
                <w:sz w:val="9"/>
              </w:rPr>
            </w:pPr>
            <w:r>
              <w:rPr>
                <w:sz w:val="9"/>
              </w:rPr>
              <w:t>Environment Agency</w:t>
            </w:r>
          </w:p>
        </w:tc>
        <w:tc>
          <w:tcPr>
            <w:tcW w:w="599" w:type="dxa"/>
            <w:shd w:val="clear" w:color="auto" w:fill="FCD5B4"/>
          </w:tcPr>
          <w:p>
            <w:pPr>
              <w:pStyle w:val="TableParagraph"/>
              <w:rPr>
                <w:rFonts w:ascii="Calibri"/>
                <w:sz w:val="10"/>
              </w:rPr>
            </w:pPr>
          </w:p>
          <w:p>
            <w:pPr>
              <w:pStyle w:val="TableParagraph"/>
              <w:spacing w:before="10"/>
              <w:rPr>
                <w:rFonts w:ascii="Calibri"/>
                <w:sz w:val="10"/>
              </w:rPr>
            </w:pPr>
          </w:p>
          <w:p>
            <w:pPr>
              <w:pStyle w:val="TableParagraph"/>
              <w:ind w:left="15"/>
              <w:rPr>
                <w:sz w:val="9"/>
              </w:rPr>
            </w:pPr>
            <w:r>
              <w:rPr>
                <w:sz w:val="9"/>
              </w:rPr>
              <w:t>17/10/2018</w:t>
            </w:r>
          </w:p>
        </w:tc>
      </w:tr>
      <w:tr>
        <w:trPr>
          <w:trHeight w:val="198" w:hRule="atLeast"/>
        </w:trPr>
        <w:tc>
          <w:tcPr>
            <w:tcW w:w="271" w:type="dxa"/>
          </w:tcPr>
          <w:p>
            <w:pPr>
              <w:pStyle w:val="TableParagraph"/>
              <w:spacing w:before="30"/>
              <w:ind w:left="16"/>
              <w:rPr>
                <w:sz w:val="10"/>
              </w:rPr>
            </w:pPr>
            <w:r>
              <w:rPr>
                <w:w w:val="105"/>
                <w:sz w:val="10"/>
              </w:rPr>
              <w:t>S16</w:t>
            </w:r>
          </w:p>
        </w:tc>
        <w:tc>
          <w:tcPr>
            <w:tcW w:w="494" w:type="dxa"/>
            <w:shd w:val="clear" w:color="auto" w:fill="FCD5B4"/>
          </w:tcPr>
          <w:p>
            <w:pPr>
              <w:pStyle w:val="TableParagraph"/>
              <w:spacing w:before="37"/>
              <w:ind w:right="138"/>
              <w:jc w:val="right"/>
              <w:rPr>
                <w:b/>
                <w:sz w:val="9"/>
              </w:rPr>
            </w:pPr>
            <w:r>
              <w:rPr>
                <w:b/>
                <w:w w:val="95"/>
                <w:sz w:val="9"/>
              </w:rPr>
              <w:t>High</w:t>
            </w:r>
          </w:p>
        </w:tc>
        <w:tc>
          <w:tcPr>
            <w:tcW w:w="979" w:type="dxa"/>
            <w:shd w:val="clear" w:color="auto" w:fill="FCD5B4"/>
          </w:tcPr>
          <w:p>
            <w:pPr>
              <w:pStyle w:val="TableParagraph"/>
              <w:spacing w:before="37"/>
              <w:ind w:left="271"/>
              <w:rPr>
                <w:b/>
                <w:sz w:val="9"/>
              </w:rPr>
            </w:pPr>
            <w:r>
              <w:rPr>
                <w:b/>
                <w:sz w:val="9"/>
              </w:rPr>
              <w:t>Feasibility</w:t>
            </w:r>
          </w:p>
        </w:tc>
        <w:tc>
          <w:tcPr>
            <w:tcW w:w="1106" w:type="dxa"/>
            <w:shd w:val="clear" w:color="auto" w:fill="FCD5B4"/>
          </w:tcPr>
          <w:p>
            <w:pPr>
              <w:pStyle w:val="TableParagraph"/>
              <w:spacing w:before="37"/>
              <w:ind w:left="429" w:right="424"/>
              <w:jc w:val="center"/>
              <w:rPr>
                <w:b/>
                <w:sz w:val="9"/>
              </w:rPr>
            </w:pPr>
            <w:r>
              <w:rPr>
                <w:b/>
                <w:sz w:val="9"/>
              </w:rPr>
              <w:t>2019</w:t>
            </w:r>
          </w:p>
        </w:tc>
        <w:tc>
          <w:tcPr>
            <w:tcW w:w="3040" w:type="dxa"/>
            <w:shd w:val="clear" w:color="auto" w:fill="FCD5B4"/>
          </w:tcPr>
          <w:p>
            <w:pPr>
              <w:pStyle w:val="TableParagraph"/>
              <w:spacing w:before="37"/>
              <w:ind w:left="17"/>
              <w:rPr>
                <w:sz w:val="9"/>
              </w:rPr>
            </w:pPr>
            <w:r>
              <w:rPr>
                <w:sz w:val="9"/>
              </w:rPr>
              <w:t>Farnley Wood Beck Flood Alleviation Scheme</w:t>
            </w:r>
          </w:p>
        </w:tc>
        <w:tc>
          <w:tcPr>
            <w:tcW w:w="530" w:type="dxa"/>
            <w:shd w:val="clear" w:color="auto" w:fill="FCD5B4"/>
          </w:tcPr>
          <w:p>
            <w:pPr>
              <w:pStyle w:val="TableParagraph"/>
              <w:spacing w:before="37"/>
              <w:ind w:left="19"/>
              <w:rPr>
                <w:sz w:val="9"/>
              </w:rPr>
            </w:pPr>
            <w:r>
              <w:rPr>
                <w:sz w:val="9"/>
              </w:rPr>
              <w:t>104%</w:t>
            </w:r>
          </w:p>
        </w:tc>
        <w:tc>
          <w:tcPr>
            <w:tcW w:w="993" w:type="dxa"/>
            <w:shd w:val="clear" w:color="auto" w:fill="FCD5B4"/>
          </w:tcPr>
          <w:p>
            <w:pPr>
              <w:pStyle w:val="TableParagraph"/>
              <w:spacing w:before="37"/>
              <w:ind w:left="19"/>
              <w:rPr>
                <w:sz w:val="9"/>
              </w:rPr>
            </w:pPr>
            <w:r>
              <w:rPr>
                <w:sz w:val="9"/>
              </w:rPr>
              <w:t>£500k</w:t>
            </w:r>
          </w:p>
        </w:tc>
        <w:tc>
          <w:tcPr>
            <w:tcW w:w="1243" w:type="dxa"/>
            <w:shd w:val="clear" w:color="auto" w:fill="FCD5B4"/>
          </w:tcPr>
          <w:p>
            <w:pPr>
              <w:pStyle w:val="TableParagraph"/>
              <w:spacing w:before="37"/>
              <w:ind w:left="20"/>
              <w:rPr>
                <w:sz w:val="9"/>
              </w:rPr>
            </w:pPr>
            <w:r>
              <w:rPr>
                <w:sz w:val="9"/>
              </w:rPr>
              <w:t>Cottingley</w:t>
            </w:r>
          </w:p>
        </w:tc>
        <w:tc>
          <w:tcPr>
            <w:tcW w:w="1505" w:type="dxa"/>
            <w:shd w:val="clear" w:color="auto" w:fill="FCD5B4"/>
          </w:tcPr>
          <w:p>
            <w:pPr>
              <w:pStyle w:val="TableParagraph"/>
              <w:spacing w:line="86"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FCD5B4"/>
          </w:tcPr>
          <w:p>
            <w:pPr>
              <w:pStyle w:val="TableParagraph"/>
              <w:spacing w:before="37"/>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86" w:lineRule="exact"/>
              <w:ind w:left="19"/>
              <w:rPr>
                <w:sz w:val="9"/>
              </w:rPr>
            </w:pPr>
            <w:r>
              <w:rPr>
                <w:sz w:val="9"/>
              </w:rPr>
              <w:t>Flood risk to residential areas, long term issue - scheme being scoped, developer contribution secured, this scheme i</w:t>
            </w:r>
          </w:p>
          <w:p>
            <w:pPr>
              <w:pStyle w:val="TableParagraph"/>
              <w:spacing w:line="85" w:lineRule="exact" w:before="7"/>
              <w:ind w:left="19"/>
              <w:rPr>
                <w:sz w:val="9"/>
              </w:rPr>
            </w:pPr>
            <w:r>
              <w:rPr>
                <w:sz w:val="9"/>
              </w:rPr>
              <w:t>now been progressed as part of the wider Wortley Beck study</w:t>
            </w:r>
          </w:p>
        </w:tc>
        <w:tc>
          <w:tcPr>
            <w:tcW w:w="2096" w:type="dxa"/>
            <w:shd w:val="clear" w:color="auto" w:fill="FCD5B4"/>
          </w:tcPr>
          <w:p>
            <w:pPr>
              <w:pStyle w:val="TableParagraph"/>
              <w:spacing w:before="37"/>
              <w:ind w:left="19"/>
              <w:rPr>
                <w:sz w:val="9"/>
              </w:rPr>
            </w:pPr>
            <w:r>
              <w:rPr>
                <w:sz w:val="9"/>
              </w:rPr>
              <w:t>Reduce flood risk from Farnley Wood Beck</w:t>
            </w:r>
          </w:p>
        </w:tc>
        <w:tc>
          <w:tcPr>
            <w:tcW w:w="822" w:type="dxa"/>
            <w:shd w:val="clear" w:color="auto" w:fill="FCD5B4"/>
          </w:tcPr>
          <w:p>
            <w:pPr>
              <w:pStyle w:val="TableParagraph"/>
              <w:spacing w:line="86"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FCD5B4"/>
          </w:tcPr>
          <w:p>
            <w:pPr>
              <w:pStyle w:val="TableParagraph"/>
              <w:spacing w:before="37"/>
              <w:ind w:left="17"/>
              <w:rPr>
                <w:sz w:val="9"/>
              </w:rPr>
            </w:pPr>
            <w:r>
              <w:rPr>
                <w:sz w:val="9"/>
              </w:rPr>
              <w:t>Environment Agency</w:t>
            </w:r>
          </w:p>
        </w:tc>
        <w:tc>
          <w:tcPr>
            <w:tcW w:w="599" w:type="dxa"/>
            <w:shd w:val="clear" w:color="auto" w:fill="FCD5B4"/>
          </w:tcPr>
          <w:p>
            <w:pPr>
              <w:pStyle w:val="TableParagraph"/>
              <w:spacing w:before="37"/>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S31</w:t>
            </w:r>
          </w:p>
        </w:tc>
        <w:tc>
          <w:tcPr>
            <w:tcW w:w="494" w:type="dxa"/>
            <w:shd w:val="clear" w:color="auto" w:fill="FCD5B4"/>
          </w:tcPr>
          <w:p>
            <w:pPr>
              <w:pStyle w:val="TableParagraph"/>
              <w:spacing w:before="40"/>
              <w:ind w:right="138"/>
              <w:jc w:val="right"/>
              <w:rPr>
                <w:b/>
                <w:sz w:val="9"/>
              </w:rPr>
            </w:pPr>
            <w:r>
              <w:rPr>
                <w:b/>
                <w:w w:val="95"/>
                <w:sz w:val="9"/>
              </w:rPr>
              <w:t>High</w:t>
            </w:r>
          </w:p>
        </w:tc>
        <w:tc>
          <w:tcPr>
            <w:tcW w:w="979" w:type="dxa"/>
            <w:shd w:val="clear" w:color="auto" w:fill="FCD5B4"/>
          </w:tcPr>
          <w:p>
            <w:pPr>
              <w:pStyle w:val="TableParagraph"/>
              <w:spacing w:before="40"/>
              <w:ind w:left="271"/>
              <w:rPr>
                <w:b/>
                <w:sz w:val="9"/>
              </w:rPr>
            </w:pPr>
            <w:r>
              <w:rPr>
                <w:b/>
                <w:sz w:val="9"/>
              </w:rPr>
              <w:t>Feasibility</w:t>
            </w:r>
          </w:p>
        </w:tc>
        <w:tc>
          <w:tcPr>
            <w:tcW w:w="1106" w:type="dxa"/>
            <w:shd w:val="clear" w:color="auto" w:fill="FCD5B4"/>
          </w:tcPr>
          <w:p>
            <w:pPr>
              <w:pStyle w:val="TableParagraph"/>
              <w:spacing w:before="40"/>
              <w:ind w:left="429" w:right="424"/>
              <w:jc w:val="center"/>
              <w:rPr>
                <w:b/>
                <w:sz w:val="9"/>
              </w:rPr>
            </w:pPr>
            <w:r>
              <w:rPr>
                <w:b/>
                <w:sz w:val="9"/>
              </w:rPr>
              <w:t>2020</w:t>
            </w:r>
          </w:p>
        </w:tc>
        <w:tc>
          <w:tcPr>
            <w:tcW w:w="3040" w:type="dxa"/>
            <w:shd w:val="clear" w:color="auto" w:fill="FCD5B4"/>
          </w:tcPr>
          <w:p>
            <w:pPr>
              <w:pStyle w:val="TableParagraph"/>
              <w:spacing w:before="40"/>
              <w:ind w:left="17"/>
              <w:rPr>
                <w:sz w:val="9"/>
              </w:rPr>
            </w:pPr>
            <w:r>
              <w:rPr>
                <w:sz w:val="9"/>
              </w:rPr>
              <w:t>Lin Dyke Catchment Assessment - Upper and Middle catchments</w:t>
            </w:r>
          </w:p>
        </w:tc>
        <w:tc>
          <w:tcPr>
            <w:tcW w:w="530" w:type="dxa"/>
            <w:shd w:val="clear" w:color="auto" w:fill="FCD5B4"/>
          </w:tcPr>
          <w:p>
            <w:pPr>
              <w:pStyle w:val="TableParagraph"/>
              <w:spacing w:before="40"/>
              <w:ind w:left="18"/>
              <w:rPr>
                <w:sz w:val="9"/>
              </w:rPr>
            </w:pPr>
            <w:r>
              <w:rPr>
                <w:sz w:val="9"/>
              </w:rPr>
              <w:t>TBC</w:t>
            </w:r>
          </w:p>
        </w:tc>
        <w:tc>
          <w:tcPr>
            <w:tcW w:w="993" w:type="dxa"/>
            <w:shd w:val="clear" w:color="auto" w:fill="FCD5B4"/>
          </w:tcPr>
          <w:p>
            <w:pPr>
              <w:pStyle w:val="TableParagraph"/>
              <w:spacing w:before="40"/>
              <w:ind w:left="18"/>
              <w:rPr>
                <w:sz w:val="9"/>
              </w:rPr>
            </w:pPr>
            <w:r>
              <w:rPr>
                <w:sz w:val="9"/>
              </w:rPr>
              <w:t>£1.25m</w:t>
            </w:r>
          </w:p>
        </w:tc>
        <w:tc>
          <w:tcPr>
            <w:tcW w:w="1243" w:type="dxa"/>
            <w:shd w:val="clear" w:color="auto" w:fill="FCD5B4"/>
          </w:tcPr>
          <w:p>
            <w:pPr>
              <w:pStyle w:val="TableParagraph"/>
              <w:spacing w:before="40"/>
              <w:ind w:left="18"/>
              <w:rPr>
                <w:sz w:val="9"/>
              </w:rPr>
            </w:pPr>
            <w:r>
              <w:rPr>
                <w:sz w:val="9"/>
              </w:rPr>
              <w:t>Garforth &amp; Kippax</w:t>
            </w:r>
          </w:p>
        </w:tc>
        <w:tc>
          <w:tcPr>
            <w:tcW w:w="1505" w:type="dxa"/>
            <w:shd w:val="clear" w:color="auto" w:fill="FCD5B4"/>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FCD5B4"/>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89" w:lineRule="exact"/>
              <w:ind w:left="19" w:right="-15"/>
              <w:rPr>
                <w:sz w:val="9"/>
              </w:rPr>
            </w:pPr>
            <w:r>
              <w:rPr>
                <w:sz w:val="9"/>
              </w:rPr>
              <w:t>Continuation</w:t>
            </w:r>
            <w:r>
              <w:rPr>
                <w:spacing w:val="-6"/>
                <w:sz w:val="9"/>
              </w:rPr>
              <w:t> </w:t>
            </w:r>
            <w:r>
              <w:rPr>
                <w:sz w:val="9"/>
              </w:rPr>
              <w:t>of</w:t>
            </w:r>
            <w:r>
              <w:rPr>
                <w:spacing w:val="-5"/>
                <w:sz w:val="9"/>
              </w:rPr>
              <w:t> </w:t>
            </w:r>
            <w:r>
              <w:rPr>
                <w:sz w:val="9"/>
              </w:rPr>
              <w:t>work</w:t>
            </w:r>
            <w:r>
              <w:rPr>
                <w:spacing w:val="-6"/>
                <w:sz w:val="9"/>
              </w:rPr>
              <w:t> </w:t>
            </w:r>
            <w:r>
              <w:rPr>
                <w:sz w:val="9"/>
              </w:rPr>
              <w:t>included</w:t>
            </w:r>
            <w:r>
              <w:rPr>
                <w:spacing w:val="-5"/>
                <w:sz w:val="9"/>
              </w:rPr>
              <w:t> </w:t>
            </w:r>
            <w:r>
              <w:rPr>
                <w:sz w:val="9"/>
              </w:rPr>
              <w:t>in</w:t>
            </w:r>
            <w:r>
              <w:rPr>
                <w:spacing w:val="-5"/>
                <w:sz w:val="9"/>
              </w:rPr>
              <w:t> </w:t>
            </w:r>
            <w:r>
              <w:rPr>
                <w:sz w:val="9"/>
              </w:rPr>
              <w:t>Section</w:t>
            </w:r>
            <w:r>
              <w:rPr>
                <w:spacing w:val="-6"/>
                <w:sz w:val="9"/>
              </w:rPr>
              <w:t> </w:t>
            </w:r>
            <w:r>
              <w:rPr>
                <w:sz w:val="9"/>
              </w:rPr>
              <w:t>19</w:t>
            </w:r>
            <w:r>
              <w:rPr>
                <w:spacing w:val="-5"/>
                <w:sz w:val="9"/>
              </w:rPr>
              <w:t> </w:t>
            </w:r>
            <w:r>
              <w:rPr>
                <w:sz w:val="9"/>
              </w:rPr>
              <w:t>Report,</w:t>
            </w:r>
            <w:r>
              <w:rPr>
                <w:spacing w:val="-5"/>
                <w:sz w:val="9"/>
              </w:rPr>
              <w:t> </w:t>
            </w:r>
            <w:r>
              <w:rPr>
                <w:sz w:val="9"/>
              </w:rPr>
              <w:t>regarding</w:t>
            </w:r>
            <w:r>
              <w:rPr>
                <w:spacing w:val="-6"/>
                <w:sz w:val="9"/>
              </w:rPr>
              <w:t> </w:t>
            </w:r>
            <w:r>
              <w:rPr>
                <w:sz w:val="9"/>
              </w:rPr>
              <w:t>flooding</w:t>
            </w:r>
            <w:r>
              <w:rPr>
                <w:spacing w:val="-5"/>
                <w:sz w:val="9"/>
              </w:rPr>
              <w:t> </w:t>
            </w:r>
            <w:r>
              <w:rPr>
                <w:sz w:val="9"/>
              </w:rPr>
              <w:t>of</w:t>
            </w:r>
            <w:r>
              <w:rPr>
                <w:spacing w:val="-6"/>
                <w:sz w:val="9"/>
              </w:rPr>
              <w:t> </w:t>
            </w:r>
            <w:r>
              <w:rPr>
                <w:sz w:val="9"/>
              </w:rPr>
              <w:t>the</w:t>
            </w:r>
            <w:r>
              <w:rPr>
                <w:spacing w:val="-5"/>
                <w:sz w:val="9"/>
              </w:rPr>
              <w:t> </w:t>
            </w:r>
            <w:r>
              <w:rPr>
                <w:sz w:val="9"/>
              </w:rPr>
              <w:t>SE</w:t>
            </w:r>
            <w:r>
              <w:rPr>
                <w:spacing w:val="-5"/>
                <w:sz w:val="9"/>
              </w:rPr>
              <w:t> </w:t>
            </w:r>
            <w:r>
              <w:rPr>
                <w:sz w:val="9"/>
              </w:rPr>
              <w:t>Leeds</w:t>
            </w:r>
            <w:r>
              <w:rPr>
                <w:spacing w:val="-6"/>
                <w:sz w:val="9"/>
              </w:rPr>
              <w:t> </w:t>
            </w:r>
            <w:r>
              <w:rPr>
                <w:sz w:val="9"/>
              </w:rPr>
              <w:t>area</w:t>
            </w:r>
            <w:r>
              <w:rPr>
                <w:spacing w:val="-5"/>
                <w:sz w:val="9"/>
              </w:rPr>
              <w:t> </w:t>
            </w:r>
            <w:r>
              <w:rPr>
                <w:sz w:val="9"/>
              </w:rPr>
              <w:t>in</w:t>
            </w:r>
            <w:r>
              <w:rPr>
                <w:spacing w:val="-5"/>
                <w:sz w:val="9"/>
              </w:rPr>
              <w:t> </w:t>
            </w:r>
            <w:r>
              <w:rPr>
                <w:sz w:val="9"/>
              </w:rPr>
              <w:t>August</w:t>
            </w:r>
            <w:r>
              <w:rPr>
                <w:spacing w:val="-6"/>
                <w:sz w:val="9"/>
              </w:rPr>
              <w:t> </w:t>
            </w:r>
            <w:r>
              <w:rPr>
                <w:sz w:val="9"/>
              </w:rPr>
              <w:t>2014</w:t>
            </w:r>
            <w:r>
              <w:rPr>
                <w:spacing w:val="-5"/>
                <w:sz w:val="9"/>
              </w:rPr>
              <w:t> </w:t>
            </w:r>
            <w:r>
              <w:rPr>
                <w:sz w:val="9"/>
              </w:rPr>
              <w:t>and</w:t>
            </w:r>
            <w:r>
              <w:rPr>
                <w:spacing w:val="-6"/>
                <w:sz w:val="9"/>
              </w:rPr>
              <w:t> </w:t>
            </w:r>
            <w:r>
              <w:rPr>
                <w:sz w:val="9"/>
              </w:rPr>
              <w:t>2015,</w:t>
            </w:r>
          </w:p>
          <w:p>
            <w:pPr>
              <w:pStyle w:val="TableParagraph"/>
              <w:spacing w:line="85" w:lineRule="exact" w:before="7"/>
              <w:ind w:left="19"/>
              <w:rPr>
                <w:sz w:val="9"/>
              </w:rPr>
            </w:pPr>
            <w:r>
              <w:rPr>
                <w:sz w:val="9"/>
              </w:rPr>
              <w:t>design works are contuining to be progressed as schemes are identifie</w:t>
            </w:r>
          </w:p>
        </w:tc>
        <w:tc>
          <w:tcPr>
            <w:tcW w:w="2096" w:type="dxa"/>
            <w:shd w:val="clear" w:color="auto" w:fill="FCD5B4"/>
          </w:tcPr>
          <w:p>
            <w:pPr>
              <w:pStyle w:val="TableParagraph"/>
              <w:spacing w:before="40"/>
              <w:ind w:left="19"/>
              <w:rPr>
                <w:sz w:val="9"/>
              </w:rPr>
            </w:pPr>
            <w:r>
              <w:rPr>
                <w:sz w:val="9"/>
              </w:rPr>
              <w:t>Reduced risk of flooding</w:t>
            </w:r>
          </w:p>
        </w:tc>
        <w:tc>
          <w:tcPr>
            <w:tcW w:w="822" w:type="dxa"/>
            <w:shd w:val="clear" w:color="auto" w:fill="FCD5B4"/>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FCD5B4"/>
          </w:tcPr>
          <w:p>
            <w:pPr>
              <w:pStyle w:val="TableParagraph"/>
              <w:spacing w:before="40"/>
              <w:ind w:left="17"/>
              <w:rPr>
                <w:sz w:val="9"/>
              </w:rPr>
            </w:pPr>
            <w:r>
              <w:rPr>
                <w:sz w:val="9"/>
              </w:rPr>
              <w:t>Environment Agency</w:t>
            </w:r>
          </w:p>
        </w:tc>
        <w:tc>
          <w:tcPr>
            <w:tcW w:w="599" w:type="dxa"/>
            <w:shd w:val="clear" w:color="auto" w:fill="FCD5B4"/>
          </w:tcPr>
          <w:p>
            <w:pPr>
              <w:pStyle w:val="TableParagraph"/>
              <w:spacing w:before="40"/>
              <w:ind w:left="15"/>
              <w:rPr>
                <w:sz w:val="9"/>
              </w:rPr>
            </w:pPr>
            <w:r>
              <w:rPr>
                <w:sz w:val="9"/>
              </w:rPr>
              <w:t>17/10/2018</w:t>
            </w:r>
          </w:p>
        </w:tc>
      </w:tr>
      <w:tr>
        <w:trPr>
          <w:trHeight w:val="309" w:hRule="atLeast"/>
        </w:trPr>
        <w:tc>
          <w:tcPr>
            <w:tcW w:w="271" w:type="dxa"/>
          </w:tcPr>
          <w:p>
            <w:pPr>
              <w:pStyle w:val="TableParagraph"/>
              <w:spacing w:before="88"/>
              <w:ind w:left="16"/>
              <w:rPr>
                <w:sz w:val="10"/>
              </w:rPr>
            </w:pPr>
            <w:r>
              <w:rPr>
                <w:w w:val="105"/>
                <w:sz w:val="10"/>
              </w:rPr>
              <w:t>S30</w:t>
            </w:r>
          </w:p>
        </w:tc>
        <w:tc>
          <w:tcPr>
            <w:tcW w:w="494" w:type="dxa"/>
            <w:shd w:val="clear" w:color="auto" w:fill="FCD5B4"/>
          </w:tcPr>
          <w:p>
            <w:pPr>
              <w:pStyle w:val="TableParagraph"/>
              <w:spacing w:before="7"/>
              <w:rPr>
                <w:rFonts w:ascii="Calibri"/>
                <w:sz w:val="7"/>
              </w:rPr>
            </w:pPr>
          </w:p>
          <w:p>
            <w:pPr>
              <w:pStyle w:val="TableParagraph"/>
              <w:spacing w:before="1"/>
              <w:ind w:right="138"/>
              <w:jc w:val="right"/>
              <w:rPr>
                <w:b/>
                <w:sz w:val="9"/>
              </w:rPr>
            </w:pPr>
            <w:r>
              <w:rPr>
                <w:b/>
                <w:w w:val="95"/>
                <w:sz w:val="9"/>
              </w:rPr>
              <w:t>High</w:t>
            </w:r>
          </w:p>
        </w:tc>
        <w:tc>
          <w:tcPr>
            <w:tcW w:w="979" w:type="dxa"/>
            <w:shd w:val="clear" w:color="auto" w:fill="FCD5B4"/>
          </w:tcPr>
          <w:p>
            <w:pPr>
              <w:pStyle w:val="TableParagraph"/>
              <w:spacing w:before="7"/>
              <w:rPr>
                <w:rFonts w:ascii="Calibri"/>
                <w:sz w:val="7"/>
              </w:rPr>
            </w:pPr>
          </w:p>
          <w:p>
            <w:pPr>
              <w:pStyle w:val="TableParagraph"/>
              <w:spacing w:before="1"/>
              <w:ind w:left="271"/>
              <w:rPr>
                <w:b/>
                <w:sz w:val="9"/>
              </w:rPr>
            </w:pPr>
            <w:r>
              <w:rPr>
                <w:b/>
                <w:sz w:val="9"/>
              </w:rPr>
              <w:t>Feasibility</w:t>
            </w:r>
          </w:p>
        </w:tc>
        <w:tc>
          <w:tcPr>
            <w:tcW w:w="1106" w:type="dxa"/>
            <w:shd w:val="clear" w:color="auto" w:fill="FCD5B4"/>
          </w:tcPr>
          <w:p>
            <w:pPr>
              <w:pStyle w:val="TableParagraph"/>
              <w:spacing w:before="7"/>
              <w:rPr>
                <w:rFonts w:ascii="Calibri"/>
                <w:sz w:val="7"/>
              </w:rPr>
            </w:pPr>
          </w:p>
          <w:p>
            <w:pPr>
              <w:pStyle w:val="TableParagraph"/>
              <w:spacing w:before="1"/>
              <w:ind w:left="429" w:right="424"/>
              <w:jc w:val="center"/>
              <w:rPr>
                <w:b/>
                <w:sz w:val="9"/>
              </w:rPr>
            </w:pPr>
            <w:r>
              <w:rPr>
                <w:b/>
                <w:sz w:val="9"/>
              </w:rPr>
              <w:t>2020</w:t>
            </w:r>
          </w:p>
        </w:tc>
        <w:tc>
          <w:tcPr>
            <w:tcW w:w="3040" w:type="dxa"/>
            <w:shd w:val="clear" w:color="auto" w:fill="FCD5B4"/>
          </w:tcPr>
          <w:p>
            <w:pPr>
              <w:pStyle w:val="TableParagraph"/>
              <w:spacing w:before="7"/>
              <w:rPr>
                <w:rFonts w:ascii="Calibri"/>
                <w:sz w:val="7"/>
              </w:rPr>
            </w:pPr>
          </w:p>
          <w:p>
            <w:pPr>
              <w:pStyle w:val="TableParagraph"/>
              <w:spacing w:before="1"/>
              <w:ind w:left="17"/>
              <w:rPr>
                <w:sz w:val="9"/>
              </w:rPr>
            </w:pPr>
            <w:r>
              <w:rPr>
                <w:sz w:val="9"/>
              </w:rPr>
              <w:t>Wyke Beck Catchment Assessment</w:t>
            </w:r>
          </w:p>
        </w:tc>
        <w:tc>
          <w:tcPr>
            <w:tcW w:w="530" w:type="dxa"/>
            <w:shd w:val="clear" w:color="auto" w:fill="FCD5B4"/>
          </w:tcPr>
          <w:p>
            <w:pPr>
              <w:pStyle w:val="TableParagraph"/>
              <w:spacing w:before="7"/>
              <w:rPr>
                <w:rFonts w:ascii="Calibri"/>
                <w:sz w:val="7"/>
              </w:rPr>
            </w:pPr>
          </w:p>
          <w:p>
            <w:pPr>
              <w:pStyle w:val="TableParagraph"/>
              <w:spacing w:before="1"/>
              <w:ind w:left="18"/>
              <w:rPr>
                <w:sz w:val="9"/>
              </w:rPr>
            </w:pPr>
            <w:r>
              <w:rPr>
                <w:sz w:val="9"/>
              </w:rPr>
              <w:t>NA</w:t>
            </w:r>
          </w:p>
        </w:tc>
        <w:tc>
          <w:tcPr>
            <w:tcW w:w="993" w:type="dxa"/>
            <w:shd w:val="clear" w:color="auto" w:fill="FCD5B4"/>
          </w:tcPr>
          <w:p>
            <w:pPr>
              <w:pStyle w:val="TableParagraph"/>
              <w:spacing w:before="7"/>
              <w:rPr>
                <w:rFonts w:ascii="Calibri"/>
                <w:sz w:val="7"/>
              </w:rPr>
            </w:pPr>
          </w:p>
          <w:p>
            <w:pPr>
              <w:pStyle w:val="TableParagraph"/>
              <w:spacing w:before="1"/>
              <w:ind w:left="18"/>
              <w:rPr>
                <w:sz w:val="9"/>
              </w:rPr>
            </w:pPr>
            <w:r>
              <w:rPr>
                <w:sz w:val="9"/>
              </w:rPr>
              <w:t>£50k</w:t>
            </w:r>
          </w:p>
        </w:tc>
        <w:tc>
          <w:tcPr>
            <w:tcW w:w="1243" w:type="dxa"/>
            <w:shd w:val="clear" w:color="auto" w:fill="FCD5B4"/>
          </w:tcPr>
          <w:p>
            <w:pPr>
              <w:pStyle w:val="TableParagraph"/>
              <w:spacing w:line="256" w:lineRule="auto" w:before="38"/>
              <w:ind w:left="19" w:right="13"/>
              <w:rPr>
                <w:sz w:val="9"/>
              </w:rPr>
            </w:pPr>
            <w:r>
              <w:rPr>
                <w:sz w:val="9"/>
              </w:rPr>
              <w:t>Communities along Wyke Beck</w:t>
            </w:r>
          </w:p>
        </w:tc>
        <w:tc>
          <w:tcPr>
            <w:tcW w:w="1505" w:type="dxa"/>
            <w:shd w:val="clear" w:color="auto" w:fill="FCD5B4"/>
          </w:tcPr>
          <w:p>
            <w:pPr>
              <w:pStyle w:val="TableParagraph"/>
              <w:spacing w:line="256" w:lineRule="auto" w:before="38"/>
              <w:ind w:left="19"/>
              <w:rPr>
                <w:sz w:val="9"/>
              </w:rPr>
            </w:pPr>
            <w:r>
              <w:rPr>
                <w:sz w:val="9"/>
              </w:rPr>
              <w:t>3. Studies, schemes, assessments and plans</w:t>
            </w:r>
          </w:p>
        </w:tc>
        <w:tc>
          <w:tcPr>
            <w:tcW w:w="3768" w:type="dxa"/>
            <w:shd w:val="clear" w:color="auto" w:fill="FCD5B4"/>
          </w:tcPr>
          <w:p>
            <w:pPr>
              <w:pStyle w:val="TableParagraph"/>
              <w:spacing w:before="7"/>
              <w:rPr>
                <w:rFonts w:ascii="Calibri"/>
                <w:sz w:val="7"/>
              </w:rPr>
            </w:pPr>
          </w:p>
          <w:p>
            <w:pPr>
              <w:pStyle w:val="TableParagraph"/>
              <w:spacing w:before="1"/>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89" w:lineRule="exact"/>
              <w:ind w:left="19" w:right="-15"/>
              <w:rPr>
                <w:sz w:val="9"/>
              </w:rPr>
            </w:pPr>
            <w:r>
              <w:rPr>
                <w:sz w:val="9"/>
              </w:rPr>
              <w:t>Continuation</w:t>
            </w:r>
            <w:r>
              <w:rPr>
                <w:spacing w:val="-6"/>
                <w:sz w:val="9"/>
              </w:rPr>
              <w:t> </w:t>
            </w:r>
            <w:r>
              <w:rPr>
                <w:sz w:val="9"/>
              </w:rPr>
              <w:t>of</w:t>
            </w:r>
            <w:r>
              <w:rPr>
                <w:spacing w:val="-5"/>
                <w:sz w:val="9"/>
              </w:rPr>
              <w:t> </w:t>
            </w:r>
            <w:r>
              <w:rPr>
                <w:sz w:val="9"/>
              </w:rPr>
              <w:t>work</w:t>
            </w:r>
            <w:r>
              <w:rPr>
                <w:spacing w:val="-5"/>
                <w:sz w:val="9"/>
              </w:rPr>
              <w:t> </w:t>
            </w:r>
            <w:r>
              <w:rPr>
                <w:sz w:val="9"/>
              </w:rPr>
              <w:t>carried</w:t>
            </w:r>
            <w:r>
              <w:rPr>
                <w:spacing w:val="-5"/>
                <w:sz w:val="9"/>
              </w:rPr>
              <w:t> </w:t>
            </w:r>
            <w:r>
              <w:rPr>
                <w:sz w:val="9"/>
              </w:rPr>
              <w:t>out</w:t>
            </w:r>
            <w:r>
              <w:rPr>
                <w:spacing w:val="-5"/>
                <w:sz w:val="9"/>
              </w:rPr>
              <w:t> </w:t>
            </w:r>
            <w:r>
              <w:rPr>
                <w:sz w:val="9"/>
              </w:rPr>
              <w:t>by</w:t>
            </w:r>
            <w:r>
              <w:rPr>
                <w:spacing w:val="-5"/>
                <w:sz w:val="9"/>
              </w:rPr>
              <w:t> </w:t>
            </w:r>
            <w:r>
              <w:rPr>
                <w:sz w:val="9"/>
              </w:rPr>
              <w:t>both</w:t>
            </w:r>
            <w:r>
              <w:rPr>
                <w:spacing w:val="-5"/>
                <w:sz w:val="9"/>
              </w:rPr>
              <w:t> </w:t>
            </w:r>
            <w:r>
              <w:rPr>
                <w:sz w:val="9"/>
              </w:rPr>
              <w:t>LCC</w:t>
            </w:r>
            <w:r>
              <w:rPr>
                <w:spacing w:val="-5"/>
                <w:sz w:val="9"/>
              </w:rPr>
              <w:t> </w:t>
            </w:r>
            <w:r>
              <w:rPr>
                <w:sz w:val="9"/>
              </w:rPr>
              <w:t>&amp;</w:t>
            </w:r>
            <w:r>
              <w:rPr>
                <w:spacing w:val="-5"/>
                <w:sz w:val="9"/>
              </w:rPr>
              <w:t> </w:t>
            </w:r>
            <w:r>
              <w:rPr>
                <w:sz w:val="9"/>
              </w:rPr>
              <w:t>EA</w:t>
            </w:r>
            <w:r>
              <w:rPr>
                <w:spacing w:val="-5"/>
                <w:sz w:val="9"/>
              </w:rPr>
              <w:t> </w:t>
            </w:r>
            <w:r>
              <w:rPr>
                <w:sz w:val="9"/>
              </w:rPr>
              <w:t>within</w:t>
            </w:r>
            <w:r>
              <w:rPr>
                <w:spacing w:val="-5"/>
                <w:sz w:val="9"/>
              </w:rPr>
              <w:t> </w:t>
            </w:r>
            <w:r>
              <w:rPr>
                <w:sz w:val="9"/>
              </w:rPr>
              <w:t>the</w:t>
            </w:r>
            <w:r>
              <w:rPr>
                <w:spacing w:val="-5"/>
                <w:sz w:val="9"/>
              </w:rPr>
              <w:t> </w:t>
            </w:r>
            <w:r>
              <w:rPr>
                <w:sz w:val="9"/>
              </w:rPr>
              <w:t>Dunhills,</w:t>
            </w:r>
            <w:r>
              <w:rPr>
                <w:spacing w:val="-5"/>
                <w:sz w:val="9"/>
              </w:rPr>
              <w:t> </w:t>
            </w:r>
            <w:r>
              <w:rPr>
                <w:sz w:val="9"/>
              </w:rPr>
              <w:t>this</w:t>
            </w:r>
            <w:r>
              <w:rPr>
                <w:spacing w:val="-6"/>
                <w:sz w:val="9"/>
              </w:rPr>
              <w:t> </w:t>
            </w:r>
            <w:r>
              <w:rPr>
                <w:sz w:val="9"/>
              </w:rPr>
              <w:t>has</w:t>
            </w:r>
            <w:r>
              <w:rPr>
                <w:spacing w:val="-5"/>
                <w:sz w:val="9"/>
              </w:rPr>
              <w:t> </w:t>
            </w:r>
            <w:r>
              <w:rPr>
                <w:sz w:val="9"/>
              </w:rPr>
              <w:t>now</w:t>
            </w:r>
            <w:r>
              <w:rPr>
                <w:spacing w:val="-5"/>
                <w:sz w:val="9"/>
              </w:rPr>
              <w:t> </w:t>
            </w:r>
            <w:r>
              <w:rPr>
                <w:sz w:val="9"/>
              </w:rPr>
              <w:t>progressed</w:t>
            </w:r>
            <w:r>
              <w:rPr>
                <w:spacing w:val="-5"/>
                <w:sz w:val="9"/>
              </w:rPr>
              <w:t> </w:t>
            </w:r>
            <w:r>
              <w:rPr>
                <w:sz w:val="9"/>
              </w:rPr>
              <w:t>in</w:t>
            </w:r>
            <w:r>
              <w:rPr>
                <w:spacing w:val="-5"/>
                <w:sz w:val="9"/>
              </w:rPr>
              <w:t> </w:t>
            </w:r>
            <w:r>
              <w:rPr>
                <w:sz w:val="9"/>
              </w:rPr>
              <w:t>to</w:t>
            </w:r>
            <w:r>
              <w:rPr>
                <w:spacing w:val="-5"/>
                <w:sz w:val="9"/>
              </w:rPr>
              <w:t> </w:t>
            </w:r>
            <w:r>
              <w:rPr>
                <w:sz w:val="9"/>
              </w:rPr>
              <w:t>a</w:t>
            </w:r>
            <w:r>
              <w:rPr>
                <w:spacing w:val="-5"/>
                <w:sz w:val="9"/>
              </w:rPr>
              <w:t> </w:t>
            </w:r>
            <w:r>
              <w:rPr>
                <w:sz w:val="9"/>
              </w:rPr>
              <w:t>catchment</w:t>
            </w:r>
            <w:r>
              <w:rPr>
                <w:spacing w:val="-5"/>
                <w:sz w:val="9"/>
              </w:rPr>
              <w:t> </w:t>
            </w:r>
            <w:r>
              <w:rPr>
                <w:sz w:val="9"/>
              </w:rPr>
              <w:t>wide</w:t>
            </w:r>
          </w:p>
          <w:p>
            <w:pPr>
              <w:pStyle w:val="TableParagraph"/>
              <w:spacing w:line="110" w:lineRule="atLeast"/>
              <w:ind w:left="19" w:right="11"/>
              <w:rPr>
                <w:sz w:val="9"/>
              </w:rPr>
            </w:pPr>
            <w:r>
              <w:rPr>
                <w:sz w:val="9"/>
              </w:rPr>
              <w:t>approach bringing together the EA and many departments across LCC, resulting in an initial stage bid to the LEP for ESIF funding to complete various schemes including Killingbeck meadows</w:t>
            </w:r>
          </w:p>
        </w:tc>
        <w:tc>
          <w:tcPr>
            <w:tcW w:w="2096" w:type="dxa"/>
            <w:shd w:val="clear" w:color="auto" w:fill="FCD5B4"/>
          </w:tcPr>
          <w:p>
            <w:pPr>
              <w:pStyle w:val="TableParagraph"/>
              <w:spacing w:before="7"/>
              <w:rPr>
                <w:rFonts w:ascii="Calibri"/>
                <w:sz w:val="7"/>
              </w:rPr>
            </w:pPr>
          </w:p>
          <w:p>
            <w:pPr>
              <w:pStyle w:val="TableParagraph"/>
              <w:spacing w:before="1"/>
              <w:ind w:left="19"/>
              <w:rPr>
                <w:sz w:val="9"/>
              </w:rPr>
            </w:pPr>
            <w:r>
              <w:rPr>
                <w:sz w:val="9"/>
              </w:rPr>
              <w:t>Reduced risk of flooding</w:t>
            </w:r>
          </w:p>
        </w:tc>
        <w:tc>
          <w:tcPr>
            <w:tcW w:w="822" w:type="dxa"/>
            <w:shd w:val="clear" w:color="auto" w:fill="FCD5B4"/>
          </w:tcPr>
          <w:p>
            <w:pPr>
              <w:pStyle w:val="TableParagraph"/>
              <w:spacing w:line="256" w:lineRule="auto" w:before="38"/>
              <w:ind w:left="18"/>
              <w:rPr>
                <w:sz w:val="9"/>
              </w:rPr>
            </w:pPr>
            <w:r>
              <w:rPr>
                <w:sz w:val="9"/>
              </w:rPr>
              <w:t>LCC Flood Risk Management</w:t>
            </w:r>
          </w:p>
        </w:tc>
        <w:tc>
          <w:tcPr>
            <w:tcW w:w="1000" w:type="dxa"/>
            <w:shd w:val="clear" w:color="auto" w:fill="FCD5B4"/>
          </w:tcPr>
          <w:p>
            <w:pPr>
              <w:pStyle w:val="TableParagraph"/>
              <w:spacing w:before="7"/>
              <w:rPr>
                <w:rFonts w:ascii="Calibri"/>
                <w:sz w:val="7"/>
              </w:rPr>
            </w:pPr>
          </w:p>
          <w:p>
            <w:pPr>
              <w:pStyle w:val="TableParagraph"/>
              <w:spacing w:before="1"/>
              <w:ind w:left="17"/>
              <w:rPr>
                <w:sz w:val="9"/>
              </w:rPr>
            </w:pPr>
            <w:r>
              <w:rPr>
                <w:sz w:val="9"/>
              </w:rPr>
              <w:t>Environment Agency</w:t>
            </w:r>
          </w:p>
        </w:tc>
        <w:tc>
          <w:tcPr>
            <w:tcW w:w="599" w:type="dxa"/>
            <w:shd w:val="clear" w:color="auto" w:fill="FCD5B4"/>
          </w:tcPr>
          <w:p>
            <w:pPr>
              <w:pStyle w:val="TableParagraph"/>
              <w:spacing w:before="7"/>
              <w:rPr>
                <w:rFonts w:ascii="Calibri"/>
                <w:sz w:val="7"/>
              </w:rPr>
            </w:pPr>
          </w:p>
          <w:p>
            <w:pPr>
              <w:pStyle w:val="TableParagraph"/>
              <w:spacing w:before="1"/>
              <w:ind w:left="15"/>
              <w:rPr>
                <w:sz w:val="9"/>
              </w:rPr>
            </w:pPr>
            <w:r>
              <w:rPr>
                <w:sz w:val="9"/>
              </w:rPr>
              <w:t>17/10/2018</w:t>
            </w:r>
          </w:p>
        </w:tc>
      </w:tr>
      <w:tr>
        <w:trPr>
          <w:trHeight w:val="309" w:hRule="atLeast"/>
        </w:trPr>
        <w:tc>
          <w:tcPr>
            <w:tcW w:w="271" w:type="dxa"/>
          </w:tcPr>
          <w:p>
            <w:pPr>
              <w:pStyle w:val="TableParagraph"/>
              <w:spacing w:before="88"/>
              <w:ind w:left="16"/>
              <w:rPr>
                <w:sz w:val="10"/>
              </w:rPr>
            </w:pPr>
            <w:r>
              <w:rPr>
                <w:w w:val="105"/>
                <w:sz w:val="10"/>
              </w:rPr>
              <w:t>S17</w:t>
            </w:r>
          </w:p>
        </w:tc>
        <w:tc>
          <w:tcPr>
            <w:tcW w:w="494" w:type="dxa"/>
            <w:shd w:val="clear" w:color="auto" w:fill="FCD5B4"/>
          </w:tcPr>
          <w:p>
            <w:pPr>
              <w:pStyle w:val="TableParagraph"/>
              <w:spacing w:before="7"/>
              <w:rPr>
                <w:rFonts w:ascii="Calibri"/>
                <w:sz w:val="7"/>
              </w:rPr>
            </w:pPr>
          </w:p>
          <w:p>
            <w:pPr>
              <w:pStyle w:val="TableParagraph"/>
              <w:spacing w:before="1"/>
              <w:ind w:right="138"/>
              <w:jc w:val="right"/>
              <w:rPr>
                <w:b/>
                <w:sz w:val="9"/>
              </w:rPr>
            </w:pPr>
            <w:r>
              <w:rPr>
                <w:b/>
                <w:w w:val="95"/>
                <w:sz w:val="9"/>
              </w:rPr>
              <w:t>High</w:t>
            </w:r>
          </w:p>
        </w:tc>
        <w:tc>
          <w:tcPr>
            <w:tcW w:w="979" w:type="dxa"/>
            <w:shd w:val="clear" w:color="auto" w:fill="FCD5B4"/>
          </w:tcPr>
          <w:p>
            <w:pPr>
              <w:pStyle w:val="TableParagraph"/>
              <w:spacing w:before="7"/>
              <w:rPr>
                <w:rFonts w:ascii="Calibri"/>
                <w:sz w:val="7"/>
              </w:rPr>
            </w:pPr>
          </w:p>
          <w:p>
            <w:pPr>
              <w:pStyle w:val="TableParagraph"/>
              <w:spacing w:before="1"/>
              <w:ind w:left="271"/>
              <w:rPr>
                <w:b/>
                <w:sz w:val="9"/>
              </w:rPr>
            </w:pPr>
            <w:r>
              <w:rPr>
                <w:b/>
                <w:sz w:val="9"/>
              </w:rPr>
              <w:t>Feasibility</w:t>
            </w:r>
          </w:p>
        </w:tc>
        <w:tc>
          <w:tcPr>
            <w:tcW w:w="1106" w:type="dxa"/>
            <w:shd w:val="clear" w:color="auto" w:fill="FCD5B4"/>
          </w:tcPr>
          <w:p>
            <w:pPr>
              <w:pStyle w:val="TableParagraph"/>
              <w:spacing w:before="7"/>
              <w:rPr>
                <w:rFonts w:ascii="Calibri"/>
                <w:sz w:val="7"/>
              </w:rPr>
            </w:pPr>
          </w:p>
          <w:p>
            <w:pPr>
              <w:pStyle w:val="TableParagraph"/>
              <w:spacing w:before="1"/>
              <w:ind w:left="429" w:right="424"/>
              <w:jc w:val="center"/>
              <w:rPr>
                <w:b/>
                <w:sz w:val="9"/>
              </w:rPr>
            </w:pPr>
            <w:r>
              <w:rPr>
                <w:b/>
                <w:sz w:val="9"/>
              </w:rPr>
              <w:t>2020</w:t>
            </w:r>
          </w:p>
        </w:tc>
        <w:tc>
          <w:tcPr>
            <w:tcW w:w="3040" w:type="dxa"/>
            <w:shd w:val="clear" w:color="auto" w:fill="FCD5B4"/>
          </w:tcPr>
          <w:p>
            <w:pPr>
              <w:pStyle w:val="TableParagraph"/>
              <w:spacing w:before="7"/>
              <w:rPr>
                <w:rFonts w:ascii="Calibri"/>
                <w:sz w:val="7"/>
              </w:rPr>
            </w:pPr>
          </w:p>
          <w:p>
            <w:pPr>
              <w:pStyle w:val="TableParagraph"/>
              <w:spacing w:before="1"/>
              <w:ind w:left="17"/>
              <w:rPr>
                <w:sz w:val="9"/>
              </w:rPr>
            </w:pPr>
            <w:r>
              <w:rPr>
                <w:sz w:val="9"/>
              </w:rPr>
              <w:t>Wortley Beck Flood Alleviation Scheme</w:t>
            </w:r>
          </w:p>
        </w:tc>
        <w:tc>
          <w:tcPr>
            <w:tcW w:w="530" w:type="dxa"/>
            <w:shd w:val="clear" w:color="auto" w:fill="FCD5B4"/>
          </w:tcPr>
          <w:p>
            <w:pPr>
              <w:pStyle w:val="TableParagraph"/>
              <w:spacing w:before="7"/>
              <w:rPr>
                <w:rFonts w:ascii="Calibri"/>
                <w:sz w:val="7"/>
              </w:rPr>
            </w:pPr>
          </w:p>
          <w:p>
            <w:pPr>
              <w:pStyle w:val="TableParagraph"/>
              <w:spacing w:before="1"/>
              <w:ind w:left="18"/>
              <w:rPr>
                <w:sz w:val="9"/>
              </w:rPr>
            </w:pPr>
            <w:r>
              <w:rPr>
                <w:sz w:val="9"/>
              </w:rPr>
              <w:t>111%</w:t>
            </w:r>
          </w:p>
        </w:tc>
        <w:tc>
          <w:tcPr>
            <w:tcW w:w="993" w:type="dxa"/>
            <w:shd w:val="clear" w:color="auto" w:fill="FCD5B4"/>
          </w:tcPr>
          <w:p>
            <w:pPr>
              <w:pStyle w:val="TableParagraph"/>
              <w:spacing w:before="7"/>
              <w:rPr>
                <w:rFonts w:ascii="Calibri"/>
                <w:sz w:val="7"/>
              </w:rPr>
            </w:pPr>
          </w:p>
          <w:p>
            <w:pPr>
              <w:pStyle w:val="TableParagraph"/>
              <w:spacing w:before="1"/>
              <w:ind w:left="18"/>
              <w:rPr>
                <w:sz w:val="9"/>
              </w:rPr>
            </w:pPr>
            <w:r>
              <w:rPr>
                <w:sz w:val="9"/>
              </w:rPr>
              <w:t>£1.1m</w:t>
            </w:r>
          </w:p>
        </w:tc>
        <w:tc>
          <w:tcPr>
            <w:tcW w:w="1243" w:type="dxa"/>
            <w:shd w:val="clear" w:color="auto" w:fill="FCD5B4"/>
          </w:tcPr>
          <w:p>
            <w:pPr>
              <w:pStyle w:val="TableParagraph"/>
              <w:spacing w:before="7"/>
              <w:rPr>
                <w:rFonts w:ascii="Calibri"/>
                <w:sz w:val="7"/>
              </w:rPr>
            </w:pPr>
          </w:p>
          <w:p>
            <w:pPr>
              <w:pStyle w:val="TableParagraph"/>
              <w:spacing w:before="1"/>
              <w:ind w:left="19"/>
              <w:rPr>
                <w:sz w:val="9"/>
              </w:rPr>
            </w:pPr>
            <w:r>
              <w:rPr>
                <w:sz w:val="9"/>
              </w:rPr>
              <w:t>Wortley Beck</w:t>
            </w:r>
          </w:p>
        </w:tc>
        <w:tc>
          <w:tcPr>
            <w:tcW w:w="1505" w:type="dxa"/>
            <w:shd w:val="clear" w:color="auto" w:fill="FCD5B4"/>
          </w:tcPr>
          <w:p>
            <w:pPr>
              <w:pStyle w:val="TableParagraph"/>
              <w:spacing w:line="256" w:lineRule="auto" w:before="38"/>
              <w:ind w:left="19"/>
              <w:rPr>
                <w:sz w:val="9"/>
              </w:rPr>
            </w:pPr>
            <w:r>
              <w:rPr>
                <w:sz w:val="9"/>
              </w:rPr>
              <w:t>3. Studies, schemes, assessments and plans</w:t>
            </w:r>
          </w:p>
        </w:tc>
        <w:tc>
          <w:tcPr>
            <w:tcW w:w="3768" w:type="dxa"/>
            <w:shd w:val="clear" w:color="auto" w:fill="FCD5B4"/>
          </w:tcPr>
          <w:p>
            <w:pPr>
              <w:pStyle w:val="TableParagraph"/>
              <w:spacing w:before="7"/>
              <w:rPr>
                <w:rFonts w:ascii="Calibri"/>
                <w:sz w:val="7"/>
              </w:rPr>
            </w:pPr>
          </w:p>
          <w:p>
            <w:pPr>
              <w:pStyle w:val="TableParagraph"/>
              <w:spacing w:before="1"/>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89" w:lineRule="exact"/>
              <w:ind w:left="19"/>
              <w:rPr>
                <w:sz w:val="9"/>
              </w:rPr>
            </w:pPr>
            <w:r>
              <w:rPr>
                <w:sz w:val="9"/>
              </w:rPr>
              <w:t>Flooding</w:t>
            </w:r>
            <w:r>
              <w:rPr>
                <w:spacing w:val="-5"/>
                <w:sz w:val="9"/>
              </w:rPr>
              <w:t> </w:t>
            </w:r>
            <w:r>
              <w:rPr>
                <w:sz w:val="9"/>
              </w:rPr>
              <w:t>to</w:t>
            </w:r>
            <w:r>
              <w:rPr>
                <w:spacing w:val="-4"/>
                <w:sz w:val="9"/>
              </w:rPr>
              <w:t> </w:t>
            </w:r>
            <w:r>
              <w:rPr>
                <w:sz w:val="9"/>
              </w:rPr>
              <w:t>residential</w:t>
            </w:r>
            <w:r>
              <w:rPr>
                <w:spacing w:val="-5"/>
                <w:sz w:val="9"/>
              </w:rPr>
              <w:t> </w:t>
            </w:r>
            <w:r>
              <w:rPr>
                <w:sz w:val="9"/>
              </w:rPr>
              <w:t>area</w:t>
            </w:r>
            <w:r>
              <w:rPr>
                <w:spacing w:val="-4"/>
                <w:sz w:val="9"/>
              </w:rPr>
              <w:t> </w:t>
            </w:r>
            <w:r>
              <w:rPr>
                <w:sz w:val="9"/>
              </w:rPr>
              <w:t>and</w:t>
            </w:r>
            <w:r>
              <w:rPr>
                <w:spacing w:val="-5"/>
                <w:sz w:val="9"/>
              </w:rPr>
              <w:t> </w:t>
            </w:r>
            <w:r>
              <w:rPr>
                <w:sz w:val="9"/>
              </w:rPr>
              <w:t>outer</w:t>
            </w:r>
            <w:r>
              <w:rPr>
                <w:spacing w:val="-4"/>
                <w:sz w:val="9"/>
              </w:rPr>
              <w:t> </w:t>
            </w:r>
            <w:r>
              <w:rPr>
                <w:sz w:val="9"/>
              </w:rPr>
              <w:t>ring</w:t>
            </w:r>
            <w:r>
              <w:rPr>
                <w:spacing w:val="-5"/>
                <w:sz w:val="9"/>
              </w:rPr>
              <w:t> </w:t>
            </w:r>
            <w:r>
              <w:rPr>
                <w:sz w:val="9"/>
              </w:rPr>
              <w:t>road.</w:t>
            </w:r>
            <w:r>
              <w:rPr>
                <w:spacing w:val="-4"/>
                <w:sz w:val="9"/>
              </w:rPr>
              <w:t> </w:t>
            </w:r>
            <w:r>
              <w:rPr>
                <w:sz w:val="9"/>
              </w:rPr>
              <w:t>Work</w:t>
            </w:r>
            <w:r>
              <w:rPr>
                <w:spacing w:val="-5"/>
                <w:sz w:val="9"/>
              </w:rPr>
              <w:t> </w:t>
            </w:r>
            <w:r>
              <w:rPr>
                <w:sz w:val="9"/>
              </w:rPr>
              <w:t>in</w:t>
            </w:r>
            <w:r>
              <w:rPr>
                <w:spacing w:val="-4"/>
                <w:sz w:val="9"/>
              </w:rPr>
              <w:t> </w:t>
            </w:r>
            <w:r>
              <w:rPr>
                <w:sz w:val="9"/>
              </w:rPr>
              <w:t>partnership</w:t>
            </w:r>
            <w:r>
              <w:rPr>
                <w:spacing w:val="-4"/>
                <w:sz w:val="9"/>
              </w:rPr>
              <w:t> </w:t>
            </w:r>
            <w:r>
              <w:rPr>
                <w:sz w:val="9"/>
              </w:rPr>
              <w:t>with</w:t>
            </w:r>
            <w:r>
              <w:rPr>
                <w:spacing w:val="-5"/>
                <w:sz w:val="9"/>
              </w:rPr>
              <w:t> </w:t>
            </w:r>
            <w:r>
              <w:rPr>
                <w:sz w:val="9"/>
              </w:rPr>
              <w:t>the</w:t>
            </w:r>
            <w:r>
              <w:rPr>
                <w:spacing w:val="-4"/>
                <w:sz w:val="9"/>
              </w:rPr>
              <w:t> </w:t>
            </w:r>
            <w:r>
              <w:rPr>
                <w:sz w:val="9"/>
              </w:rPr>
              <w:t>EA</w:t>
            </w:r>
            <w:r>
              <w:rPr>
                <w:spacing w:val="-5"/>
                <w:sz w:val="9"/>
              </w:rPr>
              <w:t> </w:t>
            </w:r>
            <w:r>
              <w:rPr>
                <w:sz w:val="9"/>
              </w:rPr>
              <w:t>and</w:t>
            </w:r>
            <w:r>
              <w:rPr>
                <w:spacing w:val="-4"/>
                <w:sz w:val="9"/>
              </w:rPr>
              <w:t> </w:t>
            </w:r>
            <w:r>
              <w:rPr>
                <w:sz w:val="9"/>
              </w:rPr>
              <w:t>YWS</w:t>
            </w:r>
            <w:r>
              <w:rPr>
                <w:spacing w:val="-5"/>
                <w:sz w:val="9"/>
              </w:rPr>
              <w:t> </w:t>
            </w:r>
            <w:r>
              <w:rPr>
                <w:sz w:val="9"/>
              </w:rPr>
              <w:t>to</w:t>
            </w:r>
            <w:r>
              <w:rPr>
                <w:spacing w:val="-4"/>
                <w:sz w:val="9"/>
              </w:rPr>
              <w:t> </w:t>
            </w:r>
            <w:r>
              <w:rPr>
                <w:sz w:val="9"/>
              </w:rPr>
              <w:t>develop</w:t>
            </w:r>
            <w:r>
              <w:rPr>
                <w:spacing w:val="-5"/>
                <w:sz w:val="9"/>
              </w:rPr>
              <w:t> </w:t>
            </w:r>
            <w:r>
              <w:rPr>
                <w:sz w:val="9"/>
              </w:rPr>
              <w:t>a</w:t>
            </w:r>
            <w:r>
              <w:rPr>
                <w:spacing w:val="-4"/>
                <w:sz w:val="9"/>
              </w:rPr>
              <w:t> </w:t>
            </w:r>
            <w:r>
              <w:rPr>
                <w:sz w:val="9"/>
              </w:rPr>
              <w:t>detailed</w:t>
            </w:r>
            <w:r>
              <w:rPr>
                <w:spacing w:val="-5"/>
                <w:sz w:val="9"/>
              </w:rPr>
              <w:t> </w:t>
            </w:r>
            <w:r>
              <w:rPr>
                <w:sz w:val="9"/>
              </w:rPr>
              <w:t>flood</w:t>
            </w:r>
          </w:p>
          <w:p>
            <w:pPr>
              <w:pStyle w:val="TableParagraph"/>
              <w:spacing w:line="110" w:lineRule="atLeast"/>
              <w:ind w:left="19"/>
              <w:rPr>
                <w:sz w:val="9"/>
              </w:rPr>
            </w:pPr>
            <w:r>
              <w:rPr>
                <w:sz w:val="9"/>
              </w:rPr>
              <w:t>alleviation</w:t>
            </w:r>
            <w:r>
              <w:rPr>
                <w:spacing w:val="-6"/>
                <w:sz w:val="9"/>
              </w:rPr>
              <w:t> </w:t>
            </w:r>
            <w:r>
              <w:rPr>
                <w:sz w:val="9"/>
              </w:rPr>
              <w:t>scheme</w:t>
            </w:r>
            <w:r>
              <w:rPr>
                <w:spacing w:val="-6"/>
                <w:sz w:val="9"/>
              </w:rPr>
              <w:t> </w:t>
            </w:r>
            <w:r>
              <w:rPr>
                <w:sz w:val="9"/>
              </w:rPr>
              <w:t>that</w:t>
            </w:r>
            <w:r>
              <w:rPr>
                <w:spacing w:val="-5"/>
                <w:sz w:val="9"/>
              </w:rPr>
              <w:t> </w:t>
            </w:r>
            <w:r>
              <w:rPr>
                <w:sz w:val="9"/>
              </w:rPr>
              <w:t>integrates</w:t>
            </w:r>
            <w:r>
              <w:rPr>
                <w:spacing w:val="-6"/>
                <w:sz w:val="9"/>
              </w:rPr>
              <w:t> </w:t>
            </w:r>
            <w:r>
              <w:rPr>
                <w:sz w:val="9"/>
              </w:rPr>
              <w:t>with</w:t>
            </w:r>
            <w:r>
              <w:rPr>
                <w:spacing w:val="-5"/>
                <w:sz w:val="9"/>
              </w:rPr>
              <w:t> </w:t>
            </w:r>
            <w:r>
              <w:rPr>
                <w:sz w:val="9"/>
              </w:rPr>
              <w:t>all</w:t>
            </w:r>
            <w:r>
              <w:rPr>
                <w:spacing w:val="-6"/>
                <w:sz w:val="9"/>
              </w:rPr>
              <w:t> </w:t>
            </w:r>
            <w:r>
              <w:rPr>
                <w:sz w:val="9"/>
              </w:rPr>
              <w:t>sources</w:t>
            </w:r>
            <w:r>
              <w:rPr>
                <w:spacing w:val="-5"/>
                <w:sz w:val="9"/>
              </w:rPr>
              <w:t> </w:t>
            </w:r>
            <w:r>
              <w:rPr>
                <w:sz w:val="9"/>
              </w:rPr>
              <w:t>of</w:t>
            </w:r>
            <w:r>
              <w:rPr>
                <w:spacing w:val="-6"/>
                <w:sz w:val="9"/>
              </w:rPr>
              <w:t> </w:t>
            </w:r>
            <w:r>
              <w:rPr>
                <w:sz w:val="9"/>
              </w:rPr>
              <w:t>flooding.</w:t>
            </w:r>
            <w:r>
              <w:rPr>
                <w:spacing w:val="-5"/>
                <w:sz w:val="9"/>
              </w:rPr>
              <w:t> </w:t>
            </w:r>
            <w:r>
              <w:rPr>
                <w:sz w:val="9"/>
              </w:rPr>
              <w:t>This</w:t>
            </w:r>
            <w:r>
              <w:rPr>
                <w:spacing w:val="-6"/>
                <w:sz w:val="9"/>
              </w:rPr>
              <w:t> </w:t>
            </w:r>
            <w:r>
              <w:rPr>
                <w:sz w:val="9"/>
              </w:rPr>
              <w:t>measure</w:t>
            </w:r>
            <w:r>
              <w:rPr>
                <w:spacing w:val="-5"/>
                <w:sz w:val="9"/>
              </w:rPr>
              <w:t> </w:t>
            </w:r>
            <w:r>
              <w:rPr>
                <w:sz w:val="9"/>
              </w:rPr>
              <w:t>is</w:t>
            </w:r>
            <w:r>
              <w:rPr>
                <w:spacing w:val="-6"/>
                <w:sz w:val="9"/>
              </w:rPr>
              <w:t> </w:t>
            </w:r>
            <w:r>
              <w:rPr>
                <w:sz w:val="9"/>
              </w:rPr>
              <w:t>listed</w:t>
            </w:r>
            <w:r>
              <w:rPr>
                <w:spacing w:val="-5"/>
                <w:sz w:val="9"/>
              </w:rPr>
              <w:t> </w:t>
            </w:r>
            <w:r>
              <w:rPr>
                <w:sz w:val="9"/>
              </w:rPr>
              <w:t>in</w:t>
            </w:r>
            <w:r>
              <w:rPr>
                <w:spacing w:val="-6"/>
                <w:sz w:val="9"/>
              </w:rPr>
              <w:t> </w:t>
            </w:r>
            <w:r>
              <w:rPr>
                <w:sz w:val="9"/>
              </w:rPr>
              <w:t>the</w:t>
            </w:r>
            <w:r>
              <w:rPr>
                <w:spacing w:val="-5"/>
                <w:sz w:val="9"/>
              </w:rPr>
              <w:t> </w:t>
            </w:r>
            <w:r>
              <w:rPr>
                <w:sz w:val="9"/>
              </w:rPr>
              <w:t>Aire</w:t>
            </w:r>
            <w:r>
              <w:rPr>
                <w:spacing w:val="-6"/>
                <w:sz w:val="9"/>
              </w:rPr>
              <w:t> </w:t>
            </w:r>
            <w:r>
              <w:rPr>
                <w:sz w:val="9"/>
              </w:rPr>
              <w:t>Catchment</w:t>
            </w:r>
            <w:r>
              <w:rPr>
                <w:spacing w:val="-5"/>
                <w:sz w:val="9"/>
              </w:rPr>
              <w:t> </w:t>
            </w:r>
            <w:r>
              <w:rPr>
                <w:sz w:val="9"/>
              </w:rPr>
              <w:t>Flood</w:t>
            </w:r>
            <w:r>
              <w:rPr>
                <w:spacing w:val="-6"/>
                <w:sz w:val="9"/>
              </w:rPr>
              <w:t> </w:t>
            </w:r>
            <w:r>
              <w:rPr>
                <w:sz w:val="9"/>
              </w:rPr>
              <w:t>Risk Management</w:t>
            </w:r>
            <w:r>
              <w:rPr>
                <w:spacing w:val="-1"/>
                <w:sz w:val="9"/>
              </w:rPr>
              <w:t> </w:t>
            </w:r>
            <w:r>
              <w:rPr>
                <w:sz w:val="9"/>
              </w:rPr>
              <w:t>Plan.</w:t>
            </w:r>
          </w:p>
        </w:tc>
        <w:tc>
          <w:tcPr>
            <w:tcW w:w="2096" w:type="dxa"/>
            <w:shd w:val="clear" w:color="auto" w:fill="FCD5B4"/>
          </w:tcPr>
          <w:p>
            <w:pPr>
              <w:pStyle w:val="TableParagraph"/>
              <w:spacing w:before="7"/>
              <w:rPr>
                <w:rFonts w:ascii="Calibri"/>
                <w:sz w:val="7"/>
              </w:rPr>
            </w:pPr>
          </w:p>
          <w:p>
            <w:pPr>
              <w:pStyle w:val="TableParagraph"/>
              <w:spacing w:before="1"/>
              <w:ind w:left="19"/>
              <w:rPr>
                <w:sz w:val="9"/>
              </w:rPr>
            </w:pPr>
            <w:r>
              <w:rPr>
                <w:sz w:val="9"/>
              </w:rPr>
              <w:t>Reduce risk of flooding</w:t>
            </w:r>
          </w:p>
        </w:tc>
        <w:tc>
          <w:tcPr>
            <w:tcW w:w="822" w:type="dxa"/>
            <w:shd w:val="clear" w:color="auto" w:fill="FCD5B4"/>
          </w:tcPr>
          <w:p>
            <w:pPr>
              <w:pStyle w:val="TableParagraph"/>
              <w:spacing w:line="256" w:lineRule="auto" w:before="38"/>
              <w:ind w:left="18"/>
              <w:rPr>
                <w:sz w:val="9"/>
              </w:rPr>
            </w:pPr>
            <w:r>
              <w:rPr>
                <w:sz w:val="9"/>
              </w:rPr>
              <w:t>LCC Flood Risk Management</w:t>
            </w:r>
          </w:p>
        </w:tc>
        <w:tc>
          <w:tcPr>
            <w:tcW w:w="1000" w:type="dxa"/>
            <w:shd w:val="clear" w:color="auto" w:fill="FCD5B4"/>
          </w:tcPr>
          <w:p>
            <w:pPr>
              <w:pStyle w:val="TableParagraph"/>
              <w:spacing w:before="7"/>
              <w:rPr>
                <w:rFonts w:ascii="Calibri"/>
                <w:sz w:val="7"/>
              </w:rPr>
            </w:pPr>
          </w:p>
          <w:p>
            <w:pPr>
              <w:pStyle w:val="TableParagraph"/>
              <w:spacing w:before="1"/>
              <w:ind w:left="17"/>
              <w:rPr>
                <w:sz w:val="9"/>
              </w:rPr>
            </w:pPr>
            <w:r>
              <w:rPr>
                <w:sz w:val="9"/>
              </w:rPr>
              <w:t>Environment Agency</w:t>
            </w:r>
          </w:p>
        </w:tc>
        <w:tc>
          <w:tcPr>
            <w:tcW w:w="599" w:type="dxa"/>
            <w:shd w:val="clear" w:color="auto" w:fill="FCD5B4"/>
          </w:tcPr>
          <w:p>
            <w:pPr>
              <w:pStyle w:val="TableParagraph"/>
              <w:spacing w:before="7"/>
              <w:rPr>
                <w:rFonts w:ascii="Calibri"/>
                <w:sz w:val="7"/>
              </w:rPr>
            </w:pPr>
          </w:p>
          <w:p>
            <w:pPr>
              <w:pStyle w:val="TableParagraph"/>
              <w:spacing w:before="1"/>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S39</w:t>
            </w:r>
          </w:p>
        </w:tc>
        <w:tc>
          <w:tcPr>
            <w:tcW w:w="494" w:type="dxa"/>
            <w:shd w:val="clear" w:color="auto" w:fill="FCD5B4"/>
          </w:tcPr>
          <w:p>
            <w:pPr>
              <w:pStyle w:val="TableParagraph"/>
              <w:spacing w:before="40"/>
              <w:ind w:right="138"/>
              <w:jc w:val="right"/>
              <w:rPr>
                <w:b/>
                <w:sz w:val="9"/>
              </w:rPr>
            </w:pPr>
            <w:r>
              <w:rPr>
                <w:b/>
                <w:w w:val="95"/>
                <w:sz w:val="9"/>
              </w:rPr>
              <w:t>High</w:t>
            </w:r>
          </w:p>
        </w:tc>
        <w:tc>
          <w:tcPr>
            <w:tcW w:w="979" w:type="dxa"/>
            <w:shd w:val="clear" w:color="auto" w:fill="FCD5B4"/>
          </w:tcPr>
          <w:p>
            <w:pPr>
              <w:pStyle w:val="TableParagraph"/>
              <w:spacing w:before="40"/>
              <w:ind w:left="271"/>
              <w:rPr>
                <w:b/>
                <w:sz w:val="9"/>
              </w:rPr>
            </w:pPr>
            <w:r>
              <w:rPr>
                <w:b/>
                <w:sz w:val="9"/>
              </w:rPr>
              <w:t>Feasibility</w:t>
            </w:r>
          </w:p>
        </w:tc>
        <w:tc>
          <w:tcPr>
            <w:tcW w:w="1106" w:type="dxa"/>
            <w:shd w:val="clear" w:color="auto" w:fill="FCD5B4"/>
          </w:tcPr>
          <w:p>
            <w:pPr>
              <w:pStyle w:val="TableParagraph"/>
              <w:spacing w:before="40"/>
              <w:ind w:left="429" w:right="424"/>
              <w:jc w:val="center"/>
              <w:rPr>
                <w:b/>
                <w:sz w:val="9"/>
              </w:rPr>
            </w:pPr>
            <w:r>
              <w:rPr>
                <w:b/>
                <w:sz w:val="9"/>
              </w:rPr>
              <w:t>2020</w:t>
            </w:r>
          </w:p>
        </w:tc>
        <w:tc>
          <w:tcPr>
            <w:tcW w:w="3040" w:type="dxa"/>
            <w:shd w:val="clear" w:color="auto" w:fill="FCD5B4"/>
          </w:tcPr>
          <w:p>
            <w:pPr>
              <w:pStyle w:val="TableParagraph"/>
              <w:spacing w:before="40"/>
              <w:ind w:left="17"/>
              <w:rPr>
                <w:sz w:val="9"/>
              </w:rPr>
            </w:pPr>
            <w:r>
              <w:rPr>
                <w:sz w:val="9"/>
              </w:rPr>
              <w:t>Wharfedale Flooded Communities Study</w:t>
            </w:r>
          </w:p>
        </w:tc>
        <w:tc>
          <w:tcPr>
            <w:tcW w:w="530" w:type="dxa"/>
            <w:shd w:val="clear" w:color="auto" w:fill="FCD5B4"/>
          </w:tcPr>
          <w:p>
            <w:pPr>
              <w:pStyle w:val="TableParagraph"/>
              <w:spacing w:before="40"/>
              <w:ind w:left="18"/>
              <w:rPr>
                <w:sz w:val="9"/>
              </w:rPr>
            </w:pPr>
            <w:r>
              <w:rPr>
                <w:sz w:val="9"/>
              </w:rPr>
              <w:t>NA</w:t>
            </w:r>
          </w:p>
        </w:tc>
        <w:tc>
          <w:tcPr>
            <w:tcW w:w="993" w:type="dxa"/>
            <w:shd w:val="clear" w:color="auto" w:fill="FCD5B4"/>
          </w:tcPr>
          <w:p>
            <w:pPr>
              <w:pStyle w:val="TableParagraph"/>
              <w:spacing w:before="40"/>
              <w:ind w:left="19"/>
              <w:rPr>
                <w:sz w:val="9"/>
              </w:rPr>
            </w:pPr>
            <w:r>
              <w:rPr>
                <w:sz w:val="9"/>
              </w:rPr>
              <w:t>£90k</w:t>
            </w:r>
          </w:p>
        </w:tc>
        <w:tc>
          <w:tcPr>
            <w:tcW w:w="1243" w:type="dxa"/>
            <w:shd w:val="clear" w:color="auto" w:fill="FCD5B4"/>
          </w:tcPr>
          <w:p>
            <w:pPr>
              <w:pStyle w:val="TableParagraph"/>
              <w:spacing w:line="89" w:lineRule="exact"/>
              <w:ind w:left="19" w:right="-15"/>
              <w:rPr>
                <w:sz w:val="9"/>
              </w:rPr>
            </w:pPr>
            <w:r>
              <w:rPr>
                <w:sz w:val="9"/>
              </w:rPr>
              <w:t>Collingham, Linton,</w:t>
            </w:r>
            <w:r>
              <w:rPr>
                <w:spacing w:val="1"/>
                <w:sz w:val="9"/>
              </w:rPr>
              <w:t> </w:t>
            </w:r>
            <w:r>
              <w:rPr>
                <w:sz w:val="9"/>
              </w:rPr>
              <w:t>Wetherby,</w:t>
            </w:r>
          </w:p>
          <w:p>
            <w:pPr>
              <w:pStyle w:val="TableParagraph"/>
              <w:spacing w:line="85" w:lineRule="exact" w:before="7"/>
              <w:ind w:left="19"/>
              <w:rPr>
                <w:sz w:val="9"/>
              </w:rPr>
            </w:pPr>
            <w:r>
              <w:rPr>
                <w:sz w:val="9"/>
              </w:rPr>
              <w:t>Thorp Arch</w:t>
            </w:r>
          </w:p>
        </w:tc>
        <w:tc>
          <w:tcPr>
            <w:tcW w:w="1505" w:type="dxa"/>
            <w:shd w:val="clear" w:color="auto" w:fill="FCD5B4"/>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FCD5B4"/>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89" w:lineRule="exact"/>
              <w:ind w:left="19"/>
              <w:rPr>
                <w:sz w:val="9"/>
              </w:rPr>
            </w:pPr>
            <w:r>
              <w:rPr>
                <w:sz w:val="9"/>
              </w:rPr>
              <w:t>Llinked to wider catchment partnership work and Otley Flood Allevation Study, initial modelling work currently bein</w:t>
            </w:r>
          </w:p>
          <w:p>
            <w:pPr>
              <w:pStyle w:val="TableParagraph"/>
              <w:spacing w:line="85" w:lineRule="exact" w:before="7"/>
              <w:ind w:left="19"/>
              <w:rPr>
                <w:sz w:val="9"/>
              </w:rPr>
            </w:pPr>
            <w:r>
              <w:rPr>
                <w:sz w:val="9"/>
              </w:rPr>
              <w:t>assessed</w:t>
            </w:r>
          </w:p>
        </w:tc>
        <w:tc>
          <w:tcPr>
            <w:tcW w:w="2096" w:type="dxa"/>
            <w:shd w:val="clear" w:color="auto" w:fill="FCD5B4"/>
          </w:tcPr>
          <w:p>
            <w:pPr>
              <w:pStyle w:val="TableParagraph"/>
              <w:spacing w:before="40"/>
              <w:ind w:left="19"/>
              <w:rPr>
                <w:sz w:val="9"/>
              </w:rPr>
            </w:pPr>
            <w:r>
              <w:rPr>
                <w:sz w:val="9"/>
              </w:rPr>
              <w:t>Reduce risk of flooding</w:t>
            </w:r>
          </w:p>
        </w:tc>
        <w:tc>
          <w:tcPr>
            <w:tcW w:w="822" w:type="dxa"/>
            <w:shd w:val="clear" w:color="auto" w:fill="FCD5B4"/>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FCD5B4"/>
          </w:tcPr>
          <w:p>
            <w:pPr>
              <w:pStyle w:val="TableParagraph"/>
              <w:spacing w:before="40"/>
              <w:ind w:left="17"/>
              <w:rPr>
                <w:sz w:val="9"/>
              </w:rPr>
            </w:pPr>
            <w:r>
              <w:rPr>
                <w:sz w:val="9"/>
              </w:rPr>
              <w:t>Environment Agency</w:t>
            </w:r>
          </w:p>
        </w:tc>
        <w:tc>
          <w:tcPr>
            <w:tcW w:w="599" w:type="dxa"/>
            <w:shd w:val="clear" w:color="auto" w:fill="FCD5B4"/>
          </w:tcPr>
          <w:p>
            <w:pPr>
              <w:pStyle w:val="TableParagraph"/>
              <w:spacing w:before="40"/>
              <w:ind w:left="15"/>
              <w:rPr>
                <w:sz w:val="9"/>
              </w:rPr>
            </w:pPr>
            <w:r>
              <w:rPr>
                <w:sz w:val="9"/>
              </w:rPr>
              <w:t>17/10/2018</w:t>
            </w:r>
          </w:p>
        </w:tc>
      </w:tr>
      <w:tr>
        <w:trPr>
          <w:trHeight w:val="309" w:hRule="atLeast"/>
        </w:trPr>
        <w:tc>
          <w:tcPr>
            <w:tcW w:w="271" w:type="dxa"/>
          </w:tcPr>
          <w:p>
            <w:pPr>
              <w:pStyle w:val="TableParagraph"/>
              <w:spacing w:before="88"/>
              <w:ind w:left="16"/>
              <w:rPr>
                <w:sz w:val="10"/>
              </w:rPr>
            </w:pPr>
            <w:r>
              <w:rPr>
                <w:w w:val="105"/>
                <w:sz w:val="10"/>
              </w:rPr>
              <w:t>S9</w:t>
            </w:r>
          </w:p>
        </w:tc>
        <w:tc>
          <w:tcPr>
            <w:tcW w:w="494" w:type="dxa"/>
            <w:shd w:val="clear" w:color="auto" w:fill="FCD5B4"/>
          </w:tcPr>
          <w:p>
            <w:pPr>
              <w:pStyle w:val="TableParagraph"/>
              <w:spacing w:before="7"/>
              <w:rPr>
                <w:rFonts w:ascii="Calibri"/>
                <w:sz w:val="7"/>
              </w:rPr>
            </w:pPr>
          </w:p>
          <w:p>
            <w:pPr>
              <w:pStyle w:val="TableParagraph"/>
              <w:spacing w:before="1"/>
              <w:ind w:right="138"/>
              <w:jc w:val="right"/>
              <w:rPr>
                <w:b/>
                <w:sz w:val="9"/>
              </w:rPr>
            </w:pPr>
            <w:r>
              <w:rPr>
                <w:b/>
                <w:w w:val="95"/>
                <w:sz w:val="9"/>
              </w:rPr>
              <w:t>High</w:t>
            </w:r>
          </w:p>
        </w:tc>
        <w:tc>
          <w:tcPr>
            <w:tcW w:w="979" w:type="dxa"/>
            <w:shd w:val="clear" w:color="auto" w:fill="FCD5B4"/>
          </w:tcPr>
          <w:p>
            <w:pPr>
              <w:pStyle w:val="TableParagraph"/>
              <w:spacing w:before="7"/>
              <w:rPr>
                <w:rFonts w:ascii="Calibri"/>
                <w:sz w:val="7"/>
              </w:rPr>
            </w:pPr>
          </w:p>
          <w:p>
            <w:pPr>
              <w:pStyle w:val="TableParagraph"/>
              <w:spacing w:before="1"/>
              <w:ind w:left="36"/>
              <w:rPr>
                <w:b/>
                <w:sz w:val="9"/>
              </w:rPr>
            </w:pPr>
            <w:r>
              <w:rPr>
                <w:b/>
                <w:sz w:val="9"/>
              </w:rPr>
              <w:t>Design/ Construction</w:t>
            </w:r>
          </w:p>
        </w:tc>
        <w:tc>
          <w:tcPr>
            <w:tcW w:w="1106" w:type="dxa"/>
            <w:shd w:val="clear" w:color="auto" w:fill="FCD5B4"/>
          </w:tcPr>
          <w:p>
            <w:pPr>
              <w:pStyle w:val="TableParagraph"/>
              <w:spacing w:before="7"/>
              <w:rPr>
                <w:rFonts w:ascii="Calibri"/>
                <w:sz w:val="7"/>
              </w:rPr>
            </w:pPr>
          </w:p>
          <w:p>
            <w:pPr>
              <w:pStyle w:val="TableParagraph"/>
              <w:spacing w:before="1"/>
              <w:ind w:left="429" w:right="425"/>
              <w:jc w:val="center"/>
              <w:rPr>
                <w:b/>
                <w:sz w:val="9"/>
              </w:rPr>
            </w:pPr>
            <w:r>
              <w:rPr>
                <w:b/>
                <w:sz w:val="9"/>
              </w:rPr>
              <w:t>2021</w:t>
            </w:r>
          </w:p>
        </w:tc>
        <w:tc>
          <w:tcPr>
            <w:tcW w:w="3040" w:type="dxa"/>
            <w:shd w:val="clear" w:color="auto" w:fill="FCD5B4"/>
          </w:tcPr>
          <w:p>
            <w:pPr>
              <w:pStyle w:val="TableParagraph"/>
              <w:spacing w:before="7"/>
              <w:rPr>
                <w:rFonts w:ascii="Calibri"/>
                <w:sz w:val="7"/>
              </w:rPr>
            </w:pPr>
          </w:p>
          <w:p>
            <w:pPr>
              <w:pStyle w:val="TableParagraph"/>
              <w:spacing w:before="1"/>
              <w:ind w:left="17"/>
              <w:rPr>
                <w:sz w:val="9"/>
              </w:rPr>
            </w:pPr>
            <w:r>
              <w:rPr>
                <w:sz w:val="9"/>
              </w:rPr>
              <w:t>Lower Mickletown Road Flood Embankment</w:t>
            </w:r>
          </w:p>
        </w:tc>
        <w:tc>
          <w:tcPr>
            <w:tcW w:w="530" w:type="dxa"/>
            <w:shd w:val="clear" w:color="auto" w:fill="FCD5B4"/>
          </w:tcPr>
          <w:p>
            <w:pPr>
              <w:pStyle w:val="TableParagraph"/>
              <w:spacing w:before="7"/>
              <w:rPr>
                <w:rFonts w:ascii="Calibri"/>
                <w:sz w:val="7"/>
              </w:rPr>
            </w:pPr>
          </w:p>
          <w:p>
            <w:pPr>
              <w:pStyle w:val="TableParagraph"/>
              <w:spacing w:before="1"/>
              <w:ind w:left="18"/>
              <w:rPr>
                <w:sz w:val="9"/>
              </w:rPr>
            </w:pPr>
            <w:r>
              <w:rPr>
                <w:sz w:val="9"/>
              </w:rPr>
              <w:t>138%</w:t>
            </w:r>
          </w:p>
        </w:tc>
        <w:tc>
          <w:tcPr>
            <w:tcW w:w="993" w:type="dxa"/>
            <w:shd w:val="clear" w:color="auto" w:fill="FCD5B4"/>
          </w:tcPr>
          <w:p>
            <w:pPr>
              <w:pStyle w:val="TableParagraph"/>
              <w:spacing w:before="7"/>
              <w:rPr>
                <w:rFonts w:ascii="Calibri"/>
                <w:sz w:val="7"/>
              </w:rPr>
            </w:pPr>
          </w:p>
          <w:p>
            <w:pPr>
              <w:pStyle w:val="TableParagraph"/>
              <w:spacing w:before="1"/>
              <w:ind w:left="18"/>
              <w:rPr>
                <w:sz w:val="9"/>
              </w:rPr>
            </w:pPr>
            <w:r>
              <w:rPr>
                <w:sz w:val="9"/>
              </w:rPr>
              <w:t>£1.1m</w:t>
            </w:r>
          </w:p>
        </w:tc>
        <w:tc>
          <w:tcPr>
            <w:tcW w:w="1243" w:type="dxa"/>
            <w:shd w:val="clear" w:color="auto" w:fill="FCD5B4"/>
          </w:tcPr>
          <w:p>
            <w:pPr>
              <w:pStyle w:val="TableParagraph"/>
              <w:spacing w:before="7"/>
              <w:rPr>
                <w:rFonts w:ascii="Calibri"/>
                <w:sz w:val="7"/>
              </w:rPr>
            </w:pPr>
          </w:p>
          <w:p>
            <w:pPr>
              <w:pStyle w:val="TableParagraph"/>
              <w:spacing w:before="1"/>
              <w:ind w:left="19"/>
              <w:rPr>
                <w:sz w:val="9"/>
              </w:rPr>
            </w:pPr>
            <w:r>
              <w:rPr>
                <w:sz w:val="9"/>
              </w:rPr>
              <w:t>Mickletown</w:t>
            </w:r>
          </w:p>
        </w:tc>
        <w:tc>
          <w:tcPr>
            <w:tcW w:w="1505" w:type="dxa"/>
            <w:shd w:val="clear" w:color="auto" w:fill="FCD5B4"/>
          </w:tcPr>
          <w:p>
            <w:pPr>
              <w:pStyle w:val="TableParagraph"/>
              <w:spacing w:line="256" w:lineRule="auto" w:before="38"/>
              <w:ind w:left="19"/>
              <w:rPr>
                <w:sz w:val="9"/>
              </w:rPr>
            </w:pPr>
            <w:r>
              <w:rPr>
                <w:sz w:val="9"/>
              </w:rPr>
              <w:t>3. Studies, schemes, assessments and plans</w:t>
            </w:r>
          </w:p>
        </w:tc>
        <w:tc>
          <w:tcPr>
            <w:tcW w:w="3768" w:type="dxa"/>
            <w:shd w:val="clear" w:color="auto" w:fill="FCD5B4"/>
          </w:tcPr>
          <w:p>
            <w:pPr>
              <w:pStyle w:val="TableParagraph"/>
              <w:spacing w:before="7"/>
              <w:rPr>
                <w:rFonts w:ascii="Calibri"/>
                <w:sz w:val="7"/>
              </w:rPr>
            </w:pPr>
          </w:p>
          <w:p>
            <w:pPr>
              <w:pStyle w:val="TableParagraph"/>
              <w:spacing w:before="1"/>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89" w:lineRule="exact"/>
              <w:ind w:left="19"/>
              <w:rPr>
                <w:sz w:val="9"/>
              </w:rPr>
            </w:pPr>
            <w:r>
              <w:rPr>
                <w:sz w:val="9"/>
              </w:rPr>
              <w:t>Construction of larger flood embankment along Lower Mickletown Road to protect properties from flooding. Being</w:t>
            </w:r>
          </w:p>
          <w:p>
            <w:pPr>
              <w:pStyle w:val="TableParagraph"/>
              <w:spacing w:line="110" w:lineRule="atLeast"/>
              <w:ind w:left="19" w:right="-3"/>
              <w:rPr>
                <w:sz w:val="9"/>
              </w:rPr>
            </w:pPr>
            <w:r>
              <w:rPr>
                <w:sz w:val="9"/>
              </w:rPr>
              <w:t>taken</w:t>
            </w:r>
            <w:r>
              <w:rPr>
                <w:spacing w:val="-5"/>
                <w:sz w:val="9"/>
              </w:rPr>
              <w:t> </w:t>
            </w:r>
            <w:r>
              <w:rPr>
                <w:sz w:val="9"/>
              </w:rPr>
              <w:t>forward</w:t>
            </w:r>
            <w:r>
              <w:rPr>
                <w:spacing w:val="-5"/>
                <w:sz w:val="9"/>
              </w:rPr>
              <w:t> </w:t>
            </w:r>
            <w:r>
              <w:rPr>
                <w:sz w:val="9"/>
              </w:rPr>
              <w:t>separatley</w:t>
            </w:r>
            <w:r>
              <w:rPr>
                <w:spacing w:val="-5"/>
                <w:sz w:val="9"/>
              </w:rPr>
              <w:t> </w:t>
            </w:r>
            <w:r>
              <w:rPr>
                <w:sz w:val="9"/>
              </w:rPr>
              <w:t>from</w:t>
            </w:r>
            <w:r>
              <w:rPr>
                <w:spacing w:val="-5"/>
                <w:sz w:val="9"/>
              </w:rPr>
              <w:t> </w:t>
            </w:r>
            <w:r>
              <w:rPr>
                <w:sz w:val="9"/>
              </w:rPr>
              <w:t>Mickletown</w:t>
            </w:r>
            <w:r>
              <w:rPr>
                <w:spacing w:val="-5"/>
                <w:sz w:val="9"/>
              </w:rPr>
              <w:t> </w:t>
            </w:r>
            <w:r>
              <w:rPr>
                <w:sz w:val="9"/>
              </w:rPr>
              <w:t>(Pit</w:t>
            </w:r>
            <w:r>
              <w:rPr>
                <w:spacing w:val="-5"/>
                <w:sz w:val="9"/>
              </w:rPr>
              <w:t> </w:t>
            </w:r>
            <w:r>
              <w:rPr>
                <w:sz w:val="9"/>
              </w:rPr>
              <w:t>Lane)</w:t>
            </w:r>
            <w:r>
              <w:rPr>
                <w:spacing w:val="-5"/>
                <w:sz w:val="9"/>
              </w:rPr>
              <w:t> </w:t>
            </w:r>
            <w:r>
              <w:rPr>
                <w:sz w:val="9"/>
              </w:rPr>
              <w:t>Flood</w:t>
            </w:r>
            <w:r>
              <w:rPr>
                <w:spacing w:val="-5"/>
                <w:sz w:val="9"/>
              </w:rPr>
              <w:t> </w:t>
            </w:r>
            <w:r>
              <w:rPr>
                <w:sz w:val="9"/>
              </w:rPr>
              <w:t>Embankment</w:t>
            </w:r>
            <w:r>
              <w:rPr>
                <w:spacing w:val="-5"/>
                <w:sz w:val="9"/>
              </w:rPr>
              <w:t> </w:t>
            </w:r>
            <w:r>
              <w:rPr>
                <w:sz w:val="9"/>
              </w:rPr>
              <w:t>as</w:t>
            </w:r>
            <w:r>
              <w:rPr>
                <w:spacing w:val="-5"/>
                <w:sz w:val="9"/>
              </w:rPr>
              <w:t> </w:t>
            </w:r>
            <w:r>
              <w:rPr>
                <w:sz w:val="9"/>
              </w:rPr>
              <w:t>is</w:t>
            </w:r>
            <w:r>
              <w:rPr>
                <w:spacing w:val="-5"/>
                <w:sz w:val="9"/>
              </w:rPr>
              <w:t> </w:t>
            </w:r>
            <w:r>
              <w:rPr>
                <w:sz w:val="9"/>
              </w:rPr>
              <w:t>substantially</w:t>
            </w:r>
            <w:r>
              <w:rPr>
                <w:spacing w:val="-5"/>
                <w:sz w:val="9"/>
              </w:rPr>
              <w:t> </w:t>
            </w:r>
            <w:r>
              <w:rPr>
                <w:sz w:val="9"/>
              </w:rPr>
              <w:t>larger</w:t>
            </w:r>
            <w:r>
              <w:rPr>
                <w:spacing w:val="-5"/>
                <w:sz w:val="9"/>
              </w:rPr>
              <w:t> </w:t>
            </w:r>
            <w:r>
              <w:rPr>
                <w:sz w:val="9"/>
              </w:rPr>
              <w:t>scheme.</w:t>
            </w:r>
            <w:r>
              <w:rPr>
                <w:spacing w:val="-5"/>
                <w:sz w:val="9"/>
              </w:rPr>
              <w:t> </w:t>
            </w:r>
            <w:r>
              <w:rPr>
                <w:sz w:val="9"/>
              </w:rPr>
              <w:t>New</w:t>
            </w:r>
            <w:r>
              <w:rPr>
                <w:spacing w:val="-5"/>
                <w:sz w:val="9"/>
              </w:rPr>
              <w:t> </w:t>
            </w:r>
            <w:r>
              <w:rPr>
                <w:sz w:val="9"/>
              </w:rPr>
              <w:t>model information</w:t>
            </w:r>
            <w:r>
              <w:rPr>
                <w:spacing w:val="-2"/>
                <w:sz w:val="9"/>
              </w:rPr>
              <w:t> </w:t>
            </w:r>
            <w:r>
              <w:rPr>
                <w:sz w:val="9"/>
              </w:rPr>
              <w:t>only</w:t>
            </w:r>
            <w:r>
              <w:rPr>
                <w:spacing w:val="-2"/>
                <w:sz w:val="9"/>
              </w:rPr>
              <w:t> </w:t>
            </w:r>
            <w:r>
              <w:rPr>
                <w:sz w:val="9"/>
              </w:rPr>
              <w:t>recently</w:t>
            </w:r>
            <w:r>
              <w:rPr>
                <w:spacing w:val="-1"/>
                <w:sz w:val="9"/>
              </w:rPr>
              <w:t> </w:t>
            </w:r>
            <w:r>
              <w:rPr>
                <w:sz w:val="9"/>
              </w:rPr>
              <w:t>developed</w:t>
            </w:r>
            <w:r>
              <w:rPr>
                <w:spacing w:val="-2"/>
                <w:sz w:val="9"/>
              </w:rPr>
              <w:t> </w:t>
            </w:r>
            <w:r>
              <w:rPr>
                <w:sz w:val="9"/>
              </w:rPr>
              <w:t>scheme</w:t>
            </w:r>
            <w:r>
              <w:rPr>
                <w:spacing w:val="-1"/>
                <w:sz w:val="9"/>
              </w:rPr>
              <w:t> </w:t>
            </w:r>
            <w:r>
              <w:rPr>
                <w:sz w:val="9"/>
              </w:rPr>
              <w:t>propossal</w:t>
            </w:r>
            <w:r>
              <w:rPr>
                <w:spacing w:val="-2"/>
                <w:sz w:val="9"/>
              </w:rPr>
              <w:t> </w:t>
            </w:r>
            <w:r>
              <w:rPr>
                <w:sz w:val="9"/>
              </w:rPr>
              <w:t>to</w:t>
            </w:r>
            <w:r>
              <w:rPr>
                <w:spacing w:val="-2"/>
                <w:sz w:val="9"/>
              </w:rPr>
              <w:t> </w:t>
            </w:r>
            <w:r>
              <w:rPr>
                <w:sz w:val="9"/>
              </w:rPr>
              <w:t>be</w:t>
            </w:r>
            <w:r>
              <w:rPr>
                <w:spacing w:val="-1"/>
                <w:sz w:val="9"/>
              </w:rPr>
              <w:t> </w:t>
            </w:r>
            <w:r>
              <w:rPr>
                <w:sz w:val="9"/>
              </w:rPr>
              <w:t>assesed</w:t>
            </w:r>
            <w:r>
              <w:rPr>
                <w:spacing w:val="-2"/>
                <w:sz w:val="9"/>
              </w:rPr>
              <w:t> </w:t>
            </w:r>
            <w:r>
              <w:rPr>
                <w:sz w:val="9"/>
              </w:rPr>
              <w:t>in</w:t>
            </w:r>
            <w:r>
              <w:rPr>
                <w:spacing w:val="-1"/>
                <w:sz w:val="9"/>
              </w:rPr>
              <w:t> </w:t>
            </w:r>
            <w:r>
              <w:rPr>
                <w:sz w:val="9"/>
              </w:rPr>
              <w:t>line</w:t>
            </w:r>
            <w:r>
              <w:rPr>
                <w:spacing w:val="-2"/>
                <w:sz w:val="9"/>
              </w:rPr>
              <w:t> </w:t>
            </w:r>
            <w:r>
              <w:rPr>
                <w:sz w:val="9"/>
              </w:rPr>
              <w:t>with</w:t>
            </w:r>
            <w:r>
              <w:rPr>
                <w:spacing w:val="-2"/>
                <w:sz w:val="9"/>
              </w:rPr>
              <w:t> </w:t>
            </w:r>
            <w:r>
              <w:rPr>
                <w:sz w:val="9"/>
              </w:rPr>
              <w:t>th</w:t>
            </w:r>
          </w:p>
        </w:tc>
        <w:tc>
          <w:tcPr>
            <w:tcW w:w="2096" w:type="dxa"/>
            <w:shd w:val="clear" w:color="auto" w:fill="FCD5B4"/>
          </w:tcPr>
          <w:p>
            <w:pPr>
              <w:pStyle w:val="TableParagraph"/>
              <w:spacing w:before="7"/>
              <w:rPr>
                <w:rFonts w:ascii="Calibri"/>
                <w:sz w:val="7"/>
              </w:rPr>
            </w:pPr>
          </w:p>
          <w:p>
            <w:pPr>
              <w:pStyle w:val="TableParagraph"/>
              <w:spacing w:before="1"/>
              <w:ind w:left="19"/>
              <w:rPr>
                <w:sz w:val="9"/>
              </w:rPr>
            </w:pPr>
            <w:r>
              <w:rPr>
                <w:sz w:val="9"/>
              </w:rPr>
              <w:t>Reduce risk of flooding</w:t>
            </w:r>
          </w:p>
        </w:tc>
        <w:tc>
          <w:tcPr>
            <w:tcW w:w="822" w:type="dxa"/>
            <w:shd w:val="clear" w:color="auto" w:fill="FCD5B4"/>
          </w:tcPr>
          <w:p>
            <w:pPr>
              <w:pStyle w:val="TableParagraph"/>
              <w:spacing w:line="256" w:lineRule="auto" w:before="38"/>
              <w:ind w:left="18"/>
              <w:rPr>
                <w:sz w:val="9"/>
              </w:rPr>
            </w:pPr>
            <w:r>
              <w:rPr>
                <w:sz w:val="9"/>
              </w:rPr>
              <w:t>LCC Flood Risk Management</w:t>
            </w:r>
          </w:p>
        </w:tc>
        <w:tc>
          <w:tcPr>
            <w:tcW w:w="1000" w:type="dxa"/>
            <w:shd w:val="clear" w:color="auto" w:fill="FCD5B4"/>
          </w:tcPr>
          <w:p>
            <w:pPr>
              <w:pStyle w:val="TableParagraph"/>
              <w:spacing w:before="7"/>
              <w:rPr>
                <w:rFonts w:ascii="Calibri"/>
                <w:sz w:val="7"/>
              </w:rPr>
            </w:pPr>
          </w:p>
          <w:p>
            <w:pPr>
              <w:pStyle w:val="TableParagraph"/>
              <w:spacing w:before="1"/>
              <w:ind w:left="17"/>
              <w:rPr>
                <w:sz w:val="9"/>
              </w:rPr>
            </w:pPr>
            <w:r>
              <w:rPr>
                <w:sz w:val="9"/>
              </w:rPr>
              <w:t>Environment Agency</w:t>
            </w:r>
          </w:p>
        </w:tc>
        <w:tc>
          <w:tcPr>
            <w:tcW w:w="599" w:type="dxa"/>
            <w:shd w:val="clear" w:color="auto" w:fill="FCD5B4"/>
          </w:tcPr>
          <w:p>
            <w:pPr>
              <w:pStyle w:val="TableParagraph"/>
              <w:spacing w:before="7"/>
              <w:rPr>
                <w:rFonts w:ascii="Calibri"/>
                <w:sz w:val="7"/>
              </w:rPr>
            </w:pPr>
          </w:p>
          <w:p>
            <w:pPr>
              <w:pStyle w:val="TableParagraph"/>
              <w:spacing w:before="1"/>
              <w:ind w:left="15"/>
              <w:rPr>
                <w:sz w:val="9"/>
              </w:rPr>
            </w:pPr>
            <w:r>
              <w:rPr>
                <w:sz w:val="9"/>
              </w:rPr>
              <w:t>17/10/2018</w:t>
            </w:r>
          </w:p>
        </w:tc>
      </w:tr>
      <w:tr>
        <w:trPr>
          <w:trHeight w:val="414" w:hRule="atLeast"/>
        </w:trPr>
        <w:tc>
          <w:tcPr>
            <w:tcW w:w="271" w:type="dxa"/>
          </w:tcPr>
          <w:p>
            <w:pPr>
              <w:pStyle w:val="TableParagraph"/>
              <w:spacing w:before="7"/>
              <w:rPr>
                <w:rFonts w:ascii="Calibri"/>
                <w:sz w:val="11"/>
              </w:rPr>
            </w:pPr>
          </w:p>
          <w:p>
            <w:pPr>
              <w:pStyle w:val="TableParagraph"/>
              <w:ind w:left="16"/>
              <w:rPr>
                <w:sz w:val="10"/>
              </w:rPr>
            </w:pPr>
            <w:r>
              <w:rPr>
                <w:w w:val="105"/>
                <w:sz w:val="10"/>
              </w:rPr>
              <w:t>S38</w:t>
            </w:r>
          </w:p>
        </w:tc>
        <w:tc>
          <w:tcPr>
            <w:tcW w:w="494" w:type="dxa"/>
            <w:shd w:val="clear" w:color="auto" w:fill="FCD5B4"/>
          </w:tcPr>
          <w:p>
            <w:pPr>
              <w:pStyle w:val="TableParagraph"/>
              <w:spacing w:before="11"/>
              <w:rPr>
                <w:rFonts w:ascii="Calibri"/>
                <w:sz w:val="11"/>
              </w:rPr>
            </w:pPr>
          </w:p>
          <w:p>
            <w:pPr>
              <w:pStyle w:val="TableParagraph"/>
              <w:spacing w:before="1"/>
              <w:ind w:right="138"/>
              <w:jc w:val="right"/>
              <w:rPr>
                <w:b/>
                <w:sz w:val="9"/>
              </w:rPr>
            </w:pPr>
            <w:r>
              <w:rPr>
                <w:b/>
                <w:w w:val="95"/>
                <w:sz w:val="9"/>
              </w:rPr>
              <w:t>High</w:t>
            </w:r>
          </w:p>
        </w:tc>
        <w:tc>
          <w:tcPr>
            <w:tcW w:w="979" w:type="dxa"/>
            <w:shd w:val="clear" w:color="auto" w:fill="FCD5B4"/>
          </w:tcPr>
          <w:p>
            <w:pPr>
              <w:pStyle w:val="TableParagraph"/>
              <w:spacing w:before="11"/>
              <w:rPr>
                <w:rFonts w:ascii="Calibri"/>
                <w:sz w:val="11"/>
              </w:rPr>
            </w:pPr>
          </w:p>
          <w:p>
            <w:pPr>
              <w:pStyle w:val="TableParagraph"/>
              <w:spacing w:before="1"/>
              <w:ind w:left="271"/>
              <w:rPr>
                <w:b/>
                <w:sz w:val="9"/>
              </w:rPr>
            </w:pPr>
            <w:r>
              <w:rPr>
                <w:b/>
                <w:sz w:val="9"/>
              </w:rPr>
              <w:t>Feasibility</w:t>
            </w:r>
          </w:p>
        </w:tc>
        <w:tc>
          <w:tcPr>
            <w:tcW w:w="1106" w:type="dxa"/>
            <w:shd w:val="clear" w:color="auto" w:fill="FCD5B4"/>
          </w:tcPr>
          <w:p>
            <w:pPr>
              <w:pStyle w:val="TableParagraph"/>
              <w:spacing w:before="11"/>
              <w:rPr>
                <w:rFonts w:ascii="Calibri"/>
                <w:sz w:val="11"/>
              </w:rPr>
            </w:pPr>
          </w:p>
          <w:p>
            <w:pPr>
              <w:pStyle w:val="TableParagraph"/>
              <w:spacing w:before="1"/>
              <w:ind w:left="429" w:right="424"/>
              <w:jc w:val="center"/>
              <w:rPr>
                <w:b/>
                <w:sz w:val="9"/>
              </w:rPr>
            </w:pPr>
            <w:r>
              <w:rPr>
                <w:b/>
                <w:sz w:val="9"/>
              </w:rPr>
              <w:t>2021</w:t>
            </w:r>
          </w:p>
        </w:tc>
        <w:tc>
          <w:tcPr>
            <w:tcW w:w="3040" w:type="dxa"/>
            <w:shd w:val="clear" w:color="auto" w:fill="FCD5B4"/>
          </w:tcPr>
          <w:p>
            <w:pPr>
              <w:pStyle w:val="TableParagraph"/>
              <w:spacing w:before="11"/>
              <w:rPr>
                <w:rFonts w:ascii="Calibri"/>
                <w:sz w:val="11"/>
              </w:rPr>
            </w:pPr>
          </w:p>
          <w:p>
            <w:pPr>
              <w:pStyle w:val="TableParagraph"/>
              <w:spacing w:before="1"/>
              <w:ind w:left="17"/>
              <w:rPr>
                <w:sz w:val="9"/>
              </w:rPr>
            </w:pPr>
            <w:r>
              <w:rPr>
                <w:sz w:val="9"/>
              </w:rPr>
              <w:t>Otley Flood Alleviation Scheme</w:t>
            </w:r>
          </w:p>
        </w:tc>
        <w:tc>
          <w:tcPr>
            <w:tcW w:w="530" w:type="dxa"/>
            <w:shd w:val="clear" w:color="auto" w:fill="FCD5B4"/>
          </w:tcPr>
          <w:p>
            <w:pPr>
              <w:pStyle w:val="TableParagraph"/>
              <w:spacing w:before="11"/>
              <w:rPr>
                <w:rFonts w:ascii="Calibri"/>
                <w:sz w:val="11"/>
              </w:rPr>
            </w:pPr>
          </w:p>
          <w:p>
            <w:pPr>
              <w:pStyle w:val="TableParagraph"/>
              <w:spacing w:before="1"/>
              <w:ind w:left="18"/>
              <w:rPr>
                <w:sz w:val="9"/>
              </w:rPr>
            </w:pPr>
            <w:r>
              <w:rPr>
                <w:sz w:val="9"/>
              </w:rPr>
              <w:t>TBC</w:t>
            </w:r>
          </w:p>
        </w:tc>
        <w:tc>
          <w:tcPr>
            <w:tcW w:w="993" w:type="dxa"/>
            <w:shd w:val="clear" w:color="auto" w:fill="FCD5B4"/>
          </w:tcPr>
          <w:p>
            <w:pPr>
              <w:pStyle w:val="TableParagraph"/>
              <w:spacing w:before="11"/>
              <w:rPr>
                <w:rFonts w:ascii="Calibri"/>
                <w:sz w:val="11"/>
              </w:rPr>
            </w:pPr>
          </w:p>
          <w:p>
            <w:pPr>
              <w:pStyle w:val="TableParagraph"/>
              <w:spacing w:before="1"/>
              <w:ind w:left="18"/>
              <w:rPr>
                <w:sz w:val="9"/>
              </w:rPr>
            </w:pPr>
            <w:r>
              <w:rPr>
                <w:sz w:val="9"/>
              </w:rPr>
              <w:t>£2m</w:t>
            </w:r>
          </w:p>
        </w:tc>
        <w:tc>
          <w:tcPr>
            <w:tcW w:w="1243" w:type="dxa"/>
            <w:shd w:val="clear" w:color="auto" w:fill="FCD5B4"/>
          </w:tcPr>
          <w:p>
            <w:pPr>
              <w:pStyle w:val="TableParagraph"/>
              <w:spacing w:before="11"/>
              <w:rPr>
                <w:rFonts w:ascii="Calibri"/>
                <w:sz w:val="11"/>
              </w:rPr>
            </w:pPr>
          </w:p>
          <w:p>
            <w:pPr>
              <w:pStyle w:val="TableParagraph"/>
              <w:spacing w:before="1"/>
              <w:ind w:left="19"/>
              <w:rPr>
                <w:sz w:val="9"/>
              </w:rPr>
            </w:pPr>
            <w:r>
              <w:rPr>
                <w:sz w:val="9"/>
              </w:rPr>
              <w:t>Otley</w:t>
            </w:r>
          </w:p>
        </w:tc>
        <w:tc>
          <w:tcPr>
            <w:tcW w:w="1505" w:type="dxa"/>
            <w:shd w:val="clear" w:color="auto" w:fill="FCD5B4"/>
          </w:tcPr>
          <w:p>
            <w:pPr>
              <w:pStyle w:val="TableParagraph"/>
              <w:spacing w:before="5"/>
              <w:rPr>
                <w:rFonts w:ascii="Calibri"/>
                <w:sz w:val="7"/>
              </w:rPr>
            </w:pPr>
          </w:p>
          <w:p>
            <w:pPr>
              <w:pStyle w:val="TableParagraph"/>
              <w:spacing w:line="256" w:lineRule="auto"/>
              <w:ind w:left="19"/>
              <w:rPr>
                <w:sz w:val="9"/>
              </w:rPr>
            </w:pPr>
            <w:r>
              <w:rPr>
                <w:sz w:val="9"/>
              </w:rPr>
              <w:t>3. Studies, schemes, assessments and plans</w:t>
            </w:r>
          </w:p>
        </w:tc>
        <w:tc>
          <w:tcPr>
            <w:tcW w:w="3768" w:type="dxa"/>
            <w:shd w:val="clear" w:color="auto" w:fill="FCD5B4"/>
          </w:tcPr>
          <w:p>
            <w:pPr>
              <w:pStyle w:val="TableParagraph"/>
              <w:spacing w:before="11"/>
              <w:rPr>
                <w:rFonts w:ascii="Calibri"/>
                <w:sz w:val="11"/>
              </w:rPr>
            </w:pPr>
          </w:p>
          <w:p>
            <w:pPr>
              <w:pStyle w:val="TableParagraph"/>
              <w:spacing w:before="1"/>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256" w:lineRule="auto" w:before="35"/>
              <w:ind w:left="19" w:right="131"/>
              <w:rPr>
                <w:sz w:val="9"/>
              </w:rPr>
            </w:pPr>
            <w:r>
              <w:rPr>
                <w:sz w:val="9"/>
              </w:rPr>
              <w:t>Initial £90k studied greatly extenbded to develop full Otley FAS to be constructed by December 2020, currently assessing shortlisted options to identify solutions to protect 58 properties from flooding, funding announced in the Autumn Statement 2016 linked to wider catchment partnership work and Wharfedale Flooded communities study</w:t>
            </w:r>
          </w:p>
        </w:tc>
        <w:tc>
          <w:tcPr>
            <w:tcW w:w="2096" w:type="dxa"/>
            <w:shd w:val="clear" w:color="auto" w:fill="FCD5B4"/>
          </w:tcPr>
          <w:p>
            <w:pPr>
              <w:pStyle w:val="TableParagraph"/>
              <w:spacing w:before="11"/>
              <w:rPr>
                <w:rFonts w:ascii="Calibri"/>
                <w:sz w:val="11"/>
              </w:rPr>
            </w:pPr>
          </w:p>
          <w:p>
            <w:pPr>
              <w:pStyle w:val="TableParagraph"/>
              <w:spacing w:before="1"/>
              <w:ind w:left="19"/>
              <w:rPr>
                <w:sz w:val="9"/>
              </w:rPr>
            </w:pPr>
            <w:r>
              <w:rPr>
                <w:sz w:val="9"/>
              </w:rPr>
              <w:t>Reduce risk of flooding</w:t>
            </w:r>
          </w:p>
        </w:tc>
        <w:tc>
          <w:tcPr>
            <w:tcW w:w="822" w:type="dxa"/>
            <w:shd w:val="clear" w:color="auto" w:fill="FCD5B4"/>
          </w:tcPr>
          <w:p>
            <w:pPr>
              <w:pStyle w:val="TableParagraph"/>
              <w:spacing w:before="5"/>
              <w:rPr>
                <w:rFonts w:ascii="Calibri"/>
                <w:sz w:val="7"/>
              </w:rPr>
            </w:pPr>
          </w:p>
          <w:p>
            <w:pPr>
              <w:pStyle w:val="TableParagraph"/>
              <w:spacing w:line="256" w:lineRule="auto"/>
              <w:ind w:left="18"/>
              <w:rPr>
                <w:sz w:val="9"/>
              </w:rPr>
            </w:pPr>
            <w:r>
              <w:rPr>
                <w:sz w:val="9"/>
              </w:rPr>
              <w:t>LCC Flood Risk Management</w:t>
            </w:r>
          </w:p>
        </w:tc>
        <w:tc>
          <w:tcPr>
            <w:tcW w:w="1000" w:type="dxa"/>
            <w:shd w:val="clear" w:color="auto" w:fill="FCD5B4"/>
          </w:tcPr>
          <w:p>
            <w:pPr>
              <w:pStyle w:val="TableParagraph"/>
              <w:spacing w:before="11"/>
              <w:rPr>
                <w:rFonts w:ascii="Calibri"/>
                <w:sz w:val="11"/>
              </w:rPr>
            </w:pPr>
          </w:p>
          <w:p>
            <w:pPr>
              <w:pStyle w:val="TableParagraph"/>
              <w:spacing w:before="1"/>
              <w:ind w:left="17"/>
              <w:rPr>
                <w:sz w:val="9"/>
              </w:rPr>
            </w:pPr>
            <w:r>
              <w:rPr>
                <w:sz w:val="9"/>
              </w:rPr>
              <w:t>Environment Agency</w:t>
            </w:r>
          </w:p>
        </w:tc>
        <w:tc>
          <w:tcPr>
            <w:tcW w:w="599" w:type="dxa"/>
            <w:shd w:val="clear" w:color="auto" w:fill="FCD5B4"/>
          </w:tcPr>
          <w:p>
            <w:pPr>
              <w:pStyle w:val="TableParagraph"/>
              <w:spacing w:before="11"/>
              <w:rPr>
                <w:rFonts w:ascii="Calibri"/>
                <w:sz w:val="11"/>
              </w:rPr>
            </w:pPr>
          </w:p>
          <w:p>
            <w:pPr>
              <w:pStyle w:val="TableParagraph"/>
              <w:spacing w:before="1"/>
              <w:ind w:left="15"/>
              <w:rPr>
                <w:sz w:val="9"/>
              </w:rPr>
            </w:pPr>
            <w:r>
              <w:rPr>
                <w:sz w:val="9"/>
              </w:rPr>
              <w:t>17/10/2018</w:t>
            </w:r>
          </w:p>
        </w:tc>
      </w:tr>
      <w:tr>
        <w:trPr>
          <w:trHeight w:val="414" w:hRule="atLeast"/>
        </w:trPr>
        <w:tc>
          <w:tcPr>
            <w:tcW w:w="271" w:type="dxa"/>
          </w:tcPr>
          <w:p>
            <w:pPr>
              <w:pStyle w:val="TableParagraph"/>
              <w:spacing w:before="7"/>
              <w:rPr>
                <w:rFonts w:ascii="Calibri"/>
                <w:sz w:val="11"/>
              </w:rPr>
            </w:pPr>
          </w:p>
          <w:p>
            <w:pPr>
              <w:pStyle w:val="TableParagraph"/>
              <w:ind w:left="16"/>
              <w:rPr>
                <w:sz w:val="10"/>
              </w:rPr>
            </w:pPr>
            <w:r>
              <w:rPr>
                <w:w w:val="105"/>
                <w:sz w:val="10"/>
              </w:rPr>
              <w:t>S5</w:t>
            </w:r>
          </w:p>
        </w:tc>
        <w:tc>
          <w:tcPr>
            <w:tcW w:w="494" w:type="dxa"/>
            <w:shd w:val="clear" w:color="auto" w:fill="FCD5B4"/>
          </w:tcPr>
          <w:p>
            <w:pPr>
              <w:pStyle w:val="TableParagraph"/>
              <w:spacing w:before="11"/>
              <w:rPr>
                <w:rFonts w:ascii="Calibri"/>
                <w:sz w:val="11"/>
              </w:rPr>
            </w:pPr>
          </w:p>
          <w:p>
            <w:pPr>
              <w:pStyle w:val="TableParagraph"/>
              <w:spacing w:before="1"/>
              <w:ind w:right="138"/>
              <w:jc w:val="right"/>
              <w:rPr>
                <w:b/>
                <w:sz w:val="9"/>
              </w:rPr>
            </w:pPr>
            <w:r>
              <w:rPr>
                <w:b/>
                <w:w w:val="95"/>
                <w:sz w:val="9"/>
              </w:rPr>
              <w:t>High</w:t>
            </w:r>
          </w:p>
        </w:tc>
        <w:tc>
          <w:tcPr>
            <w:tcW w:w="979" w:type="dxa"/>
            <w:shd w:val="clear" w:color="auto" w:fill="FCD5B4"/>
          </w:tcPr>
          <w:p>
            <w:pPr>
              <w:pStyle w:val="TableParagraph"/>
              <w:spacing w:before="11"/>
              <w:rPr>
                <w:rFonts w:ascii="Calibri"/>
                <w:sz w:val="11"/>
              </w:rPr>
            </w:pPr>
          </w:p>
          <w:p>
            <w:pPr>
              <w:pStyle w:val="TableParagraph"/>
              <w:spacing w:before="1"/>
              <w:ind w:left="137"/>
              <w:rPr>
                <w:b/>
                <w:sz w:val="9"/>
              </w:rPr>
            </w:pPr>
            <w:r>
              <w:rPr>
                <w:b/>
                <w:sz w:val="9"/>
              </w:rPr>
              <w:t>Design (on hold)</w:t>
            </w:r>
          </w:p>
        </w:tc>
        <w:tc>
          <w:tcPr>
            <w:tcW w:w="1106" w:type="dxa"/>
            <w:shd w:val="clear" w:color="auto" w:fill="FCD5B4"/>
          </w:tcPr>
          <w:p>
            <w:pPr>
              <w:pStyle w:val="TableParagraph"/>
              <w:spacing w:before="11"/>
              <w:rPr>
                <w:rFonts w:ascii="Calibri"/>
                <w:sz w:val="11"/>
              </w:rPr>
            </w:pPr>
          </w:p>
          <w:p>
            <w:pPr>
              <w:pStyle w:val="TableParagraph"/>
              <w:spacing w:before="1"/>
              <w:ind w:left="429" w:right="420"/>
              <w:jc w:val="center"/>
              <w:rPr>
                <w:b/>
                <w:sz w:val="9"/>
              </w:rPr>
            </w:pPr>
            <w:r>
              <w:rPr>
                <w:b/>
                <w:sz w:val="9"/>
              </w:rPr>
              <w:t>TBC</w:t>
            </w:r>
          </w:p>
        </w:tc>
        <w:tc>
          <w:tcPr>
            <w:tcW w:w="3040" w:type="dxa"/>
            <w:shd w:val="clear" w:color="auto" w:fill="FCD5B4"/>
          </w:tcPr>
          <w:p>
            <w:pPr>
              <w:pStyle w:val="TableParagraph"/>
              <w:spacing w:before="11"/>
              <w:rPr>
                <w:rFonts w:ascii="Calibri"/>
                <w:sz w:val="11"/>
              </w:rPr>
            </w:pPr>
          </w:p>
          <w:p>
            <w:pPr>
              <w:pStyle w:val="TableParagraph"/>
              <w:spacing w:before="1"/>
              <w:ind w:left="17"/>
              <w:rPr>
                <w:sz w:val="9"/>
              </w:rPr>
            </w:pPr>
            <w:r>
              <w:rPr>
                <w:sz w:val="9"/>
              </w:rPr>
              <w:t>Barnsdale Road Property Level Protection Scheme</w:t>
            </w:r>
          </w:p>
        </w:tc>
        <w:tc>
          <w:tcPr>
            <w:tcW w:w="530" w:type="dxa"/>
            <w:shd w:val="clear" w:color="auto" w:fill="FCD5B4"/>
          </w:tcPr>
          <w:p>
            <w:pPr>
              <w:pStyle w:val="TableParagraph"/>
              <w:spacing w:before="11"/>
              <w:rPr>
                <w:rFonts w:ascii="Calibri"/>
                <w:sz w:val="11"/>
              </w:rPr>
            </w:pPr>
          </w:p>
          <w:p>
            <w:pPr>
              <w:pStyle w:val="TableParagraph"/>
              <w:spacing w:before="1"/>
              <w:ind w:left="18"/>
              <w:rPr>
                <w:sz w:val="9"/>
              </w:rPr>
            </w:pPr>
            <w:r>
              <w:rPr>
                <w:sz w:val="9"/>
              </w:rPr>
              <w:t>TBC</w:t>
            </w:r>
          </w:p>
        </w:tc>
        <w:tc>
          <w:tcPr>
            <w:tcW w:w="993" w:type="dxa"/>
            <w:shd w:val="clear" w:color="auto" w:fill="FCD5B4"/>
          </w:tcPr>
          <w:p>
            <w:pPr>
              <w:pStyle w:val="TableParagraph"/>
              <w:spacing w:before="11"/>
              <w:rPr>
                <w:rFonts w:ascii="Calibri"/>
                <w:sz w:val="11"/>
              </w:rPr>
            </w:pPr>
          </w:p>
          <w:p>
            <w:pPr>
              <w:pStyle w:val="TableParagraph"/>
              <w:spacing w:before="1"/>
              <w:ind w:left="18"/>
              <w:rPr>
                <w:sz w:val="9"/>
              </w:rPr>
            </w:pPr>
            <w:r>
              <w:rPr>
                <w:sz w:val="9"/>
              </w:rPr>
              <w:t>TBC</w:t>
            </w:r>
          </w:p>
        </w:tc>
        <w:tc>
          <w:tcPr>
            <w:tcW w:w="1243" w:type="dxa"/>
            <w:shd w:val="clear" w:color="auto" w:fill="FCD5B4"/>
          </w:tcPr>
          <w:p>
            <w:pPr>
              <w:pStyle w:val="TableParagraph"/>
              <w:spacing w:before="11"/>
              <w:rPr>
                <w:rFonts w:ascii="Calibri"/>
                <w:sz w:val="11"/>
              </w:rPr>
            </w:pPr>
          </w:p>
          <w:p>
            <w:pPr>
              <w:pStyle w:val="TableParagraph"/>
              <w:spacing w:before="1"/>
              <w:ind w:left="19"/>
              <w:rPr>
                <w:sz w:val="9"/>
              </w:rPr>
            </w:pPr>
            <w:r>
              <w:rPr>
                <w:sz w:val="9"/>
              </w:rPr>
              <w:t>Allerton Bywater</w:t>
            </w:r>
          </w:p>
        </w:tc>
        <w:tc>
          <w:tcPr>
            <w:tcW w:w="1505" w:type="dxa"/>
            <w:shd w:val="clear" w:color="auto" w:fill="FCD5B4"/>
          </w:tcPr>
          <w:p>
            <w:pPr>
              <w:pStyle w:val="TableParagraph"/>
              <w:spacing w:before="5"/>
              <w:rPr>
                <w:rFonts w:ascii="Calibri"/>
                <w:sz w:val="7"/>
              </w:rPr>
            </w:pPr>
          </w:p>
          <w:p>
            <w:pPr>
              <w:pStyle w:val="TableParagraph"/>
              <w:spacing w:line="256" w:lineRule="auto"/>
              <w:ind w:left="19"/>
              <w:rPr>
                <w:sz w:val="9"/>
              </w:rPr>
            </w:pPr>
            <w:r>
              <w:rPr>
                <w:sz w:val="9"/>
              </w:rPr>
              <w:t>3. Studies, schemes, assessments and plans</w:t>
            </w:r>
          </w:p>
        </w:tc>
        <w:tc>
          <w:tcPr>
            <w:tcW w:w="3768" w:type="dxa"/>
            <w:shd w:val="clear" w:color="auto" w:fill="FCD5B4"/>
          </w:tcPr>
          <w:p>
            <w:pPr>
              <w:pStyle w:val="TableParagraph"/>
              <w:spacing w:before="11"/>
              <w:rPr>
                <w:rFonts w:ascii="Calibri"/>
                <w:sz w:val="11"/>
              </w:rPr>
            </w:pPr>
          </w:p>
          <w:p>
            <w:pPr>
              <w:pStyle w:val="TableParagraph"/>
              <w:spacing w:before="1"/>
              <w:ind w:left="19"/>
              <w:rPr>
                <w:sz w:val="9"/>
              </w:rPr>
            </w:pPr>
            <w:r>
              <w:rPr>
                <w:sz w:val="9"/>
              </w:rPr>
              <w:t>6. Improve understanding of local flood risk and seek to decrease local flood risk.</w:t>
            </w:r>
          </w:p>
        </w:tc>
        <w:tc>
          <w:tcPr>
            <w:tcW w:w="4678" w:type="dxa"/>
            <w:shd w:val="clear" w:color="auto" w:fill="FCD5B4"/>
          </w:tcPr>
          <w:p>
            <w:pPr>
              <w:pStyle w:val="TableParagraph"/>
              <w:spacing w:line="86" w:lineRule="exact"/>
              <w:ind w:left="19" w:right="-15"/>
              <w:rPr>
                <w:sz w:val="9"/>
              </w:rPr>
            </w:pPr>
            <w:r>
              <w:rPr>
                <w:sz w:val="9"/>
              </w:rPr>
              <w:t>Surface</w:t>
            </w:r>
            <w:r>
              <w:rPr>
                <w:spacing w:val="-6"/>
                <w:sz w:val="9"/>
              </w:rPr>
              <w:t> </w:t>
            </w:r>
            <w:r>
              <w:rPr>
                <w:sz w:val="9"/>
              </w:rPr>
              <w:t>water</w:t>
            </w:r>
            <w:r>
              <w:rPr>
                <w:spacing w:val="-6"/>
                <w:sz w:val="9"/>
              </w:rPr>
              <w:t> </w:t>
            </w:r>
            <w:r>
              <w:rPr>
                <w:sz w:val="9"/>
              </w:rPr>
              <w:t>flooding</w:t>
            </w:r>
            <w:r>
              <w:rPr>
                <w:spacing w:val="-6"/>
                <w:sz w:val="9"/>
              </w:rPr>
              <w:t> </w:t>
            </w:r>
            <w:r>
              <w:rPr>
                <w:sz w:val="9"/>
              </w:rPr>
              <w:t>to</w:t>
            </w:r>
            <w:r>
              <w:rPr>
                <w:spacing w:val="-6"/>
                <w:sz w:val="9"/>
              </w:rPr>
              <w:t> </w:t>
            </w:r>
            <w:r>
              <w:rPr>
                <w:sz w:val="9"/>
              </w:rPr>
              <w:t>properties.</w:t>
            </w:r>
            <w:r>
              <w:rPr>
                <w:spacing w:val="-6"/>
                <w:sz w:val="9"/>
              </w:rPr>
              <w:t> </w:t>
            </w:r>
            <w:r>
              <w:rPr>
                <w:sz w:val="9"/>
              </w:rPr>
              <w:t>Install</w:t>
            </w:r>
            <w:r>
              <w:rPr>
                <w:spacing w:val="-5"/>
                <w:sz w:val="9"/>
              </w:rPr>
              <w:t> </w:t>
            </w:r>
            <w:r>
              <w:rPr>
                <w:sz w:val="9"/>
              </w:rPr>
              <w:t>property</w:t>
            </w:r>
            <w:r>
              <w:rPr>
                <w:spacing w:val="-6"/>
                <w:sz w:val="9"/>
              </w:rPr>
              <w:t> </w:t>
            </w:r>
            <w:r>
              <w:rPr>
                <w:sz w:val="9"/>
              </w:rPr>
              <w:t>level</w:t>
            </w:r>
            <w:r>
              <w:rPr>
                <w:spacing w:val="-6"/>
                <w:sz w:val="9"/>
              </w:rPr>
              <w:t> </w:t>
            </w:r>
            <w:r>
              <w:rPr>
                <w:sz w:val="9"/>
              </w:rPr>
              <w:t>protection</w:t>
            </w:r>
            <w:r>
              <w:rPr>
                <w:spacing w:val="-6"/>
                <w:sz w:val="9"/>
              </w:rPr>
              <w:t> </w:t>
            </w:r>
            <w:r>
              <w:rPr>
                <w:sz w:val="9"/>
              </w:rPr>
              <w:t>measures</w:t>
            </w:r>
            <w:r>
              <w:rPr>
                <w:spacing w:val="-6"/>
                <w:sz w:val="9"/>
              </w:rPr>
              <w:t> </w:t>
            </w:r>
            <w:r>
              <w:rPr>
                <w:sz w:val="9"/>
              </w:rPr>
              <w:t>-</w:t>
            </w:r>
            <w:r>
              <w:rPr>
                <w:spacing w:val="-5"/>
                <w:sz w:val="9"/>
              </w:rPr>
              <w:t> </w:t>
            </w:r>
            <w:r>
              <w:rPr>
                <w:sz w:val="9"/>
              </w:rPr>
              <w:t>flood</w:t>
            </w:r>
            <w:r>
              <w:rPr>
                <w:spacing w:val="-6"/>
                <w:sz w:val="9"/>
              </w:rPr>
              <w:t> </w:t>
            </w:r>
            <w:r>
              <w:rPr>
                <w:sz w:val="9"/>
              </w:rPr>
              <w:t>barriers</w:t>
            </w:r>
            <w:r>
              <w:rPr>
                <w:spacing w:val="-6"/>
                <w:sz w:val="9"/>
              </w:rPr>
              <w:t> </w:t>
            </w:r>
            <w:r>
              <w:rPr>
                <w:sz w:val="9"/>
              </w:rPr>
              <w:t>and</w:t>
            </w:r>
            <w:r>
              <w:rPr>
                <w:spacing w:val="-6"/>
                <w:sz w:val="9"/>
              </w:rPr>
              <w:t> </w:t>
            </w:r>
            <w:r>
              <w:rPr>
                <w:sz w:val="9"/>
              </w:rPr>
              <w:t>doors</w:t>
            </w:r>
            <w:r>
              <w:rPr>
                <w:spacing w:val="-6"/>
                <w:sz w:val="9"/>
              </w:rPr>
              <w:t> </w:t>
            </w:r>
            <w:r>
              <w:rPr>
                <w:sz w:val="9"/>
              </w:rPr>
              <w:t>to</w:t>
            </w:r>
            <w:r>
              <w:rPr>
                <w:spacing w:val="-5"/>
                <w:sz w:val="9"/>
              </w:rPr>
              <w:t> </w:t>
            </w:r>
            <w:r>
              <w:rPr>
                <w:sz w:val="9"/>
              </w:rPr>
              <w:t>reduce</w:t>
            </w:r>
            <w:r>
              <w:rPr>
                <w:spacing w:val="-6"/>
                <w:sz w:val="9"/>
              </w:rPr>
              <w:t> </w:t>
            </w:r>
            <w:r>
              <w:rPr>
                <w:sz w:val="9"/>
              </w:rPr>
              <w:t>floo</w:t>
            </w:r>
          </w:p>
          <w:p>
            <w:pPr>
              <w:pStyle w:val="TableParagraph"/>
              <w:spacing w:line="110" w:lineRule="atLeast"/>
              <w:ind w:left="19"/>
              <w:rPr>
                <w:sz w:val="9"/>
              </w:rPr>
            </w:pPr>
            <w:r>
              <w:rPr>
                <w:sz w:val="9"/>
              </w:rPr>
              <w:t>risk to residential properties on Barnsdale Road. Funding has now been made available from Local Levy . This is currently</w:t>
            </w:r>
            <w:r>
              <w:rPr>
                <w:spacing w:val="-5"/>
                <w:sz w:val="9"/>
              </w:rPr>
              <w:t> </w:t>
            </w:r>
            <w:r>
              <w:rPr>
                <w:sz w:val="9"/>
              </w:rPr>
              <w:t>on</w:t>
            </w:r>
            <w:r>
              <w:rPr>
                <w:spacing w:val="-5"/>
                <w:sz w:val="9"/>
              </w:rPr>
              <w:t> </w:t>
            </w:r>
            <w:r>
              <w:rPr>
                <w:sz w:val="9"/>
              </w:rPr>
              <w:t>hold</w:t>
            </w:r>
            <w:r>
              <w:rPr>
                <w:spacing w:val="-5"/>
                <w:sz w:val="9"/>
              </w:rPr>
              <w:t> </w:t>
            </w:r>
            <w:r>
              <w:rPr>
                <w:sz w:val="9"/>
              </w:rPr>
              <w:t>due</w:t>
            </w:r>
            <w:r>
              <w:rPr>
                <w:spacing w:val="-4"/>
                <w:sz w:val="9"/>
              </w:rPr>
              <w:t> </w:t>
            </w:r>
            <w:r>
              <w:rPr>
                <w:sz w:val="9"/>
              </w:rPr>
              <w:t>to</w:t>
            </w:r>
            <w:r>
              <w:rPr>
                <w:spacing w:val="-5"/>
                <w:sz w:val="9"/>
              </w:rPr>
              <w:t> </w:t>
            </w:r>
            <w:r>
              <w:rPr>
                <w:sz w:val="9"/>
              </w:rPr>
              <w:t>changes</w:t>
            </w:r>
            <w:r>
              <w:rPr>
                <w:spacing w:val="-5"/>
                <w:sz w:val="9"/>
              </w:rPr>
              <w:t> </w:t>
            </w:r>
            <w:r>
              <w:rPr>
                <w:sz w:val="9"/>
              </w:rPr>
              <w:t>in</w:t>
            </w:r>
            <w:r>
              <w:rPr>
                <w:spacing w:val="-5"/>
                <w:sz w:val="9"/>
              </w:rPr>
              <w:t> </w:t>
            </w:r>
            <w:r>
              <w:rPr>
                <w:sz w:val="9"/>
              </w:rPr>
              <w:t>the</w:t>
            </w:r>
            <w:r>
              <w:rPr>
                <w:spacing w:val="-4"/>
                <w:sz w:val="9"/>
              </w:rPr>
              <w:t> </w:t>
            </w:r>
            <w:r>
              <w:rPr>
                <w:sz w:val="9"/>
              </w:rPr>
              <w:t>ownership</w:t>
            </w:r>
            <w:r>
              <w:rPr>
                <w:spacing w:val="-5"/>
                <w:sz w:val="9"/>
              </w:rPr>
              <w:t> </w:t>
            </w:r>
            <w:r>
              <w:rPr>
                <w:sz w:val="9"/>
              </w:rPr>
              <w:t>of</w:t>
            </w:r>
            <w:r>
              <w:rPr>
                <w:spacing w:val="-5"/>
                <w:sz w:val="9"/>
              </w:rPr>
              <w:t> </w:t>
            </w:r>
            <w:r>
              <w:rPr>
                <w:sz w:val="9"/>
              </w:rPr>
              <w:t>the</w:t>
            </w:r>
            <w:r>
              <w:rPr>
                <w:spacing w:val="-4"/>
                <w:sz w:val="9"/>
              </w:rPr>
              <w:t> </w:t>
            </w:r>
            <w:r>
              <w:rPr>
                <w:sz w:val="9"/>
              </w:rPr>
              <w:t>properties</w:t>
            </w:r>
            <w:r>
              <w:rPr>
                <w:spacing w:val="-5"/>
                <w:sz w:val="9"/>
              </w:rPr>
              <w:t> </w:t>
            </w:r>
            <w:r>
              <w:rPr>
                <w:sz w:val="9"/>
              </w:rPr>
              <w:t>involved</w:t>
            </w:r>
            <w:r>
              <w:rPr>
                <w:spacing w:val="-5"/>
                <w:sz w:val="9"/>
              </w:rPr>
              <w:t> </w:t>
            </w:r>
            <w:r>
              <w:rPr>
                <w:sz w:val="9"/>
              </w:rPr>
              <w:t>to</w:t>
            </w:r>
            <w:r>
              <w:rPr>
                <w:spacing w:val="-5"/>
                <w:sz w:val="9"/>
              </w:rPr>
              <w:t> </w:t>
            </w:r>
            <w:r>
              <w:rPr>
                <w:sz w:val="9"/>
              </w:rPr>
              <w:t>allow</w:t>
            </w:r>
            <w:r>
              <w:rPr>
                <w:spacing w:val="-4"/>
                <w:sz w:val="9"/>
              </w:rPr>
              <w:t> </w:t>
            </w:r>
            <w:r>
              <w:rPr>
                <w:sz w:val="9"/>
              </w:rPr>
              <w:t>time</w:t>
            </w:r>
            <w:r>
              <w:rPr>
                <w:spacing w:val="-5"/>
                <w:sz w:val="9"/>
              </w:rPr>
              <w:t> </w:t>
            </w:r>
            <w:r>
              <w:rPr>
                <w:sz w:val="9"/>
              </w:rPr>
              <w:t>to</w:t>
            </w:r>
            <w:r>
              <w:rPr>
                <w:spacing w:val="-5"/>
                <w:sz w:val="9"/>
              </w:rPr>
              <w:t> </w:t>
            </w:r>
            <w:r>
              <w:rPr>
                <w:sz w:val="9"/>
              </w:rPr>
              <w:t>link</w:t>
            </w:r>
            <w:r>
              <w:rPr>
                <w:spacing w:val="-4"/>
                <w:sz w:val="9"/>
              </w:rPr>
              <w:t> </w:t>
            </w:r>
            <w:r>
              <w:rPr>
                <w:sz w:val="9"/>
              </w:rPr>
              <w:t>with</w:t>
            </w:r>
            <w:r>
              <w:rPr>
                <w:spacing w:val="-5"/>
                <w:sz w:val="9"/>
              </w:rPr>
              <w:t> </w:t>
            </w:r>
            <w:r>
              <w:rPr>
                <w:sz w:val="9"/>
              </w:rPr>
              <w:t>their</w:t>
            </w:r>
            <w:r>
              <w:rPr>
                <w:spacing w:val="-5"/>
                <w:sz w:val="9"/>
              </w:rPr>
              <w:t> </w:t>
            </w:r>
            <w:r>
              <w:rPr>
                <w:sz w:val="9"/>
              </w:rPr>
              <w:t>plans</w:t>
            </w:r>
            <w:r>
              <w:rPr>
                <w:spacing w:val="-5"/>
                <w:sz w:val="9"/>
              </w:rPr>
              <w:t> </w:t>
            </w:r>
            <w:r>
              <w:rPr>
                <w:sz w:val="9"/>
              </w:rPr>
              <w:t>for</w:t>
            </w:r>
            <w:r>
              <w:rPr>
                <w:spacing w:val="-4"/>
                <w:sz w:val="9"/>
              </w:rPr>
              <w:t> </w:t>
            </w:r>
            <w:r>
              <w:rPr>
                <w:sz w:val="9"/>
              </w:rPr>
              <w:t>the properties</w:t>
            </w:r>
          </w:p>
        </w:tc>
        <w:tc>
          <w:tcPr>
            <w:tcW w:w="2096" w:type="dxa"/>
            <w:shd w:val="clear" w:color="auto" w:fill="FCD5B4"/>
          </w:tcPr>
          <w:p>
            <w:pPr>
              <w:pStyle w:val="TableParagraph"/>
              <w:spacing w:before="11"/>
              <w:rPr>
                <w:rFonts w:ascii="Calibri"/>
                <w:sz w:val="11"/>
              </w:rPr>
            </w:pPr>
          </w:p>
          <w:p>
            <w:pPr>
              <w:pStyle w:val="TableParagraph"/>
              <w:spacing w:before="1"/>
              <w:ind w:left="19"/>
              <w:rPr>
                <w:sz w:val="9"/>
              </w:rPr>
            </w:pPr>
            <w:r>
              <w:rPr>
                <w:sz w:val="9"/>
              </w:rPr>
              <w:t>Reduce risk of flooding</w:t>
            </w:r>
          </w:p>
        </w:tc>
        <w:tc>
          <w:tcPr>
            <w:tcW w:w="822" w:type="dxa"/>
            <w:shd w:val="clear" w:color="auto" w:fill="FCD5B4"/>
          </w:tcPr>
          <w:p>
            <w:pPr>
              <w:pStyle w:val="TableParagraph"/>
              <w:spacing w:before="5"/>
              <w:rPr>
                <w:rFonts w:ascii="Calibri"/>
                <w:sz w:val="7"/>
              </w:rPr>
            </w:pPr>
          </w:p>
          <w:p>
            <w:pPr>
              <w:pStyle w:val="TableParagraph"/>
              <w:spacing w:line="256" w:lineRule="auto"/>
              <w:ind w:left="18"/>
              <w:rPr>
                <w:sz w:val="9"/>
              </w:rPr>
            </w:pPr>
            <w:r>
              <w:rPr>
                <w:sz w:val="9"/>
              </w:rPr>
              <w:t>LCC Flood Risk Management</w:t>
            </w:r>
          </w:p>
        </w:tc>
        <w:tc>
          <w:tcPr>
            <w:tcW w:w="1000" w:type="dxa"/>
            <w:shd w:val="clear" w:color="auto" w:fill="FCD5B4"/>
          </w:tcPr>
          <w:p>
            <w:pPr>
              <w:pStyle w:val="TableParagraph"/>
              <w:spacing w:before="11"/>
              <w:rPr>
                <w:rFonts w:ascii="Calibri"/>
                <w:sz w:val="11"/>
              </w:rPr>
            </w:pPr>
          </w:p>
          <w:p>
            <w:pPr>
              <w:pStyle w:val="TableParagraph"/>
              <w:spacing w:before="1"/>
              <w:ind w:left="17"/>
              <w:rPr>
                <w:sz w:val="9"/>
              </w:rPr>
            </w:pPr>
            <w:r>
              <w:rPr>
                <w:sz w:val="9"/>
              </w:rPr>
              <w:t>Environment Agency</w:t>
            </w:r>
          </w:p>
        </w:tc>
        <w:tc>
          <w:tcPr>
            <w:tcW w:w="599" w:type="dxa"/>
            <w:shd w:val="clear" w:color="auto" w:fill="FCD5B4"/>
          </w:tcPr>
          <w:p>
            <w:pPr>
              <w:pStyle w:val="TableParagraph"/>
              <w:spacing w:before="11"/>
              <w:rPr>
                <w:rFonts w:ascii="Calibri"/>
                <w:sz w:val="11"/>
              </w:rPr>
            </w:pPr>
          </w:p>
          <w:p>
            <w:pPr>
              <w:pStyle w:val="TableParagraph"/>
              <w:spacing w:before="1"/>
              <w:ind w:left="15"/>
              <w:rPr>
                <w:sz w:val="9"/>
              </w:rPr>
            </w:pPr>
            <w:r>
              <w:rPr>
                <w:sz w:val="9"/>
              </w:rPr>
              <w:t>17/10/2018</w:t>
            </w:r>
          </w:p>
        </w:tc>
      </w:tr>
      <w:tr>
        <w:trPr>
          <w:trHeight w:val="208" w:hRule="atLeast"/>
        </w:trPr>
        <w:tc>
          <w:tcPr>
            <w:tcW w:w="271" w:type="dxa"/>
          </w:tcPr>
          <w:p>
            <w:pPr>
              <w:pStyle w:val="TableParagraph"/>
              <w:spacing w:before="36"/>
              <w:ind w:left="16"/>
              <w:rPr>
                <w:sz w:val="10"/>
              </w:rPr>
            </w:pPr>
            <w:r>
              <w:rPr>
                <w:w w:val="105"/>
                <w:sz w:val="10"/>
              </w:rPr>
              <w:t>S12</w:t>
            </w:r>
          </w:p>
        </w:tc>
        <w:tc>
          <w:tcPr>
            <w:tcW w:w="494" w:type="dxa"/>
            <w:shd w:val="clear" w:color="auto" w:fill="D8E6F0"/>
          </w:tcPr>
          <w:p>
            <w:pPr>
              <w:pStyle w:val="TableParagraph"/>
              <w:spacing w:before="43"/>
              <w:ind w:right="69"/>
              <w:jc w:val="right"/>
              <w:rPr>
                <w:b/>
                <w:sz w:val="9"/>
              </w:rPr>
            </w:pPr>
            <w:r>
              <w:rPr>
                <w:b/>
                <w:w w:val="95"/>
                <w:sz w:val="9"/>
              </w:rPr>
              <w:t>Medium</w:t>
            </w:r>
          </w:p>
        </w:tc>
        <w:tc>
          <w:tcPr>
            <w:tcW w:w="979" w:type="dxa"/>
            <w:shd w:val="clear" w:color="auto" w:fill="D8E6F0"/>
          </w:tcPr>
          <w:p>
            <w:pPr>
              <w:pStyle w:val="TableParagraph"/>
              <w:spacing w:line="90" w:lineRule="exact"/>
              <w:ind w:left="12" w:right="11"/>
              <w:jc w:val="center"/>
              <w:rPr>
                <w:b/>
                <w:sz w:val="9"/>
              </w:rPr>
            </w:pPr>
            <w:r>
              <w:rPr>
                <w:b/>
                <w:sz w:val="9"/>
              </w:rPr>
              <w:t>Pre Outline Business</w:t>
            </w:r>
          </w:p>
          <w:p>
            <w:pPr>
              <w:pStyle w:val="TableParagraph"/>
              <w:spacing w:line="88" w:lineRule="exact" w:before="11"/>
              <w:ind w:left="12" w:right="5"/>
              <w:jc w:val="center"/>
              <w:rPr>
                <w:b/>
                <w:sz w:val="9"/>
              </w:rPr>
            </w:pPr>
            <w:r>
              <w:rPr>
                <w:b/>
                <w:sz w:val="9"/>
              </w:rPr>
              <w:t>Case</w:t>
            </w:r>
          </w:p>
        </w:tc>
        <w:tc>
          <w:tcPr>
            <w:tcW w:w="1106" w:type="dxa"/>
            <w:shd w:val="clear" w:color="auto" w:fill="D8E6F0"/>
          </w:tcPr>
          <w:p>
            <w:pPr>
              <w:pStyle w:val="TableParagraph"/>
              <w:spacing w:before="43"/>
              <w:ind w:left="429" w:right="424"/>
              <w:jc w:val="center"/>
              <w:rPr>
                <w:b/>
                <w:sz w:val="9"/>
              </w:rPr>
            </w:pPr>
            <w:r>
              <w:rPr>
                <w:b/>
                <w:sz w:val="9"/>
              </w:rPr>
              <w:t>2021</w:t>
            </w:r>
          </w:p>
        </w:tc>
        <w:tc>
          <w:tcPr>
            <w:tcW w:w="3040" w:type="dxa"/>
            <w:shd w:val="clear" w:color="auto" w:fill="D8E6F0"/>
          </w:tcPr>
          <w:p>
            <w:pPr>
              <w:pStyle w:val="TableParagraph"/>
              <w:spacing w:before="43"/>
              <w:ind w:left="17"/>
              <w:rPr>
                <w:sz w:val="9"/>
              </w:rPr>
            </w:pPr>
            <w:r>
              <w:rPr>
                <w:sz w:val="9"/>
              </w:rPr>
              <w:t>Potternewton Surface Water Flood Alleviation Scheme</w:t>
            </w:r>
          </w:p>
        </w:tc>
        <w:tc>
          <w:tcPr>
            <w:tcW w:w="530" w:type="dxa"/>
            <w:shd w:val="clear" w:color="auto" w:fill="D8E6F0"/>
          </w:tcPr>
          <w:p>
            <w:pPr>
              <w:pStyle w:val="TableParagraph"/>
              <w:spacing w:before="43"/>
              <w:ind w:left="18"/>
              <w:rPr>
                <w:sz w:val="9"/>
              </w:rPr>
            </w:pPr>
            <w:r>
              <w:rPr>
                <w:sz w:val="9"/>
              </w:rPr>
              <w:t>153%</w:t>
            </w:r>
          </w:p>
        </w:tc>
        <w:tc>
          <w:tcPr>
            <w:tcW w:w="993" w:type="dxa"/>
            <w:shd w:val="clear" w:color="auto" w:fill="D8E6F0"/>
          </w:tcPr>
          <w:p>
            <w:pPr>
              <w:pStyle w:val="TableParagraph"/>
              <w:spacing w:before="43"/>
              <w:ind w:left="19"/>
              <w:rPr>
                <w:sz w:val="9"/>
              </w:rPr>
            </w:pPr>
            <w:r>
              <w:rPr>
                <w:sz w:val="9"/>
              </w:rPr>
              <w:t>£250k</w:t>
            </w:r>
          </w:p>
        </w:tc>
        <w:tc>
          <w:tcPr>
            <w:tcW w:w="1243" w:type="dxa"/>
            <w:shd w:val="clear" w:color="auto" w:fill="D8E6F0"/>
          </w:tcPr>
          <w:p>
            <w:pPr>
              <w:pStyle w:val="TableParagraph"/>
              <w:spacing w:before="43"/>
              <w:ind w:left="19"/>
              <w:rPr>
                <w:sz w:val="9"/>
              </w:rPr>
            </w:pPr>
            <w:r>
              <w:rPr>
                <w:sz w:val="9"/>
              </w:rPr>
              <w:t>Potternewton</w:t>
            </w:r>
          </w:p>
        </w:tc>
        <w:tc>
          <w:tcPr>
            <w:tcW w:w="1505" w:type="dxa"/>
            <w:shd w:val="clear" w:color="auto" w:fill="D8E6F0"/>
          </w:tcPr>
          <w:p>
            <w:pPr>
              <w:pStyle w:val="TableParagraph"/>
              <w:spacing w:line="92" w:lineRule="exact"/>
              <w:ind w:left="19"/>
              <w:rPr>
                <w:sz w:val="9"/>
              </w:rPr>
            </w:pPr>
            <w:r>
              <w:rPr>
                <w:sz w:val="9"/>
              </w:rPr>
              <w:t>3. Studies, schemes, assessments</w:t>
            </w:r>
          </w:p>
          <w:p>
            <w:pPr>
              <w:pStyle w:val="TableParagraph"/>
              <w:spacing w:line="90" w:lineRule="exact" w:before="7"/>
              <w:ind w:left="19"/>
              <w:rPr>
                <w:sz w:val="9"/>
              </w:rPr>
            </w:pPr>
            <w:r>
              <w:rPr>
                <w:sz w:val="9"/>
              </w:rPr>
              <w:t>and plans</w:t>
            </w:r>
          </w:p>
        </w:tc>
        <w:tc>
          <w:tcPr>
            <w:tcW w:w="3768" w:type="dxa"/>
            <w:shd w:val="clear" w:color="auto" w:fill="D8E6F0"/>
          </w:tcPr>
          <w:p>
            <w:pPr>
              <w:pStyle w:val="TableParagraph"/>
              <w:spacing w:before="43"/>
              <w:ind w:left="19"/>
              <w:rPr>
                <w:sz w:val="9"/>
              </w:rPr>
            </w:pPr>
            <w:r>
              <w:rPr>
                <w:sz w:val="9"/>
              </w:rPr>
              <w:t>6. Improve understanding of local flood risk and seek to decrease local flood risk.</w:t>
            </w:r>
          </w:p>
        </w:tc>
        <w:tc>
          <w:tcPr>
            <w:tcW w:w="4678" w:type="dxa"/>
            <w:shd w:val="clear" w:color="auto" w:fill="D8E6F0"/>
          </w:tcPr>
          <w:p>
            <w:pPr>
              <w:pStyle w:val="TableParagraph"/>
              <w:spacing w:line="92" w:lineRule="exact"/>
              <w:ind w:left="19"/>
              <w:rPr>
                <w:sz w:val="9"/>
              </w:rPr>
            </w:pPr>
            <w:r>
              <w:rPr>
                <w:sz w:val="9"/>
              </w:rPr>
              <w:t>Surface water flooding. Install attenuation and pumping station to remove flood water to adjacent culverted</w:t>
            </w:r>
          </w:p>
          <w:p>
            <w:pPr>
              <w:pStyle w:val="TableParagraph"/>
              <w:spacing w:line="90" w:lineRule="exact" w:before="7"/>
              <w:ind w:left="19"/>
              <w:rPr>
                <w:sz w:val="9"/>
              </w:rPr>
            </w:pPr>
            <w:r>
              <w:rPr>
                <w:sz w:val="9"/>
              </w:rPr>
              <w:t>watercourse. Local levy funding secured</w:t>
            </w:r>
          </w:p>
        </w:tc>
        <w:tc>
          <w:tcPr>
            <w:tcW w:w="2096" w:type="dxa"/>
            <w:shd w:val="clear" w:color="auto" w:fill="D8E6F0"/>
          </w:tcPr>
          <w:p>
            <w:pPr>
              <w:pStyle w:val="TableParagraph"/>
              <w:spacing w:before="43"/>
              <w:ind w:left="19"/>
              <w:rPr>
                <w:sz w:val="9"/>
              </w:rPr>
            </w:pPr>
            <w:r>
              <w:rPr>
                <w:sz w:val="9"/>
              </w:rPr>
              <w:t>Reduce risk of flooding</w:t>
            </w:r>
          </w:p>
        </w:tc>
        <w:tc>
          <w:tcPr>
            <w:tcW w:w="822" w:type="dxa"/>
            <w:shd w:val="clear" w:color="auto" w:fill="D8E6F0"/>
          </w:tcPr>
          <w:p>
            <w:pPr>
              <w:pStyle w:val="TableParagraph"/>
              <w:spacing w:line="92" w:lineRule="exact"/>
              <w:ind w:left="18"/>
              <w:rPr>
                <w:sz w:val="9"/>
              </w:rPr>
            </w:pPr>
            <w:r>
              <w:rPr>
                <w:sz w:val="9"/>
              </w:rPr>
              <w:t>LCC Flood Risk</w:t>
            </w:r>
          </w:p>
          <w:p>
            <w:pPr>
              <w:pStyle w:val="TableParagraph"/>
              <w:spacing w:line="90" w:lineRule="exact" w:before="7"/>
              <w:ind w:left="18"/>
              <w:rPr>
                <w:sz w:val="9"/>
              </w:rPr>
            </w:pPr>
            <w:r>
              <w:rPr>
                <w:sz w:val="9"/>
              </w:rPr>
              <w:t>Management</w:t>
            </w:r>
          </w:p>
        </w:tc>
        <w:tc>
          <w:tcPr>
            <w:tcW w:w="1000" w:type="dxa"/>
            <w:shd w:val="clear" w:color="auto" w:fill="D8E6F0"/>
          </w:tcPr>
          <w:p>
            <w:pPr>
              <w:pStyle w:val="TableParagraph"/>
              <w:spacing w:before="43"/>
              <w:ind w:left="17"/>
              <w:rPr>
                <w:sz w:val="9"/>
              </w:rPr>
            </w:pPr>
            <w:r>
              <w:rPr>
                <w:sz w:val="9"/>
              </w:rPr>
              <w:t>Environment Agency</w:t>
            </w:r>
          </w:p>
        </w:tc>
        <w:tc>
          <w:tcPr>
            <w:tcW w:w="599" w:type="dxa"/>
            <w:shd w:val="clear" w:color="auto" w:fill="D8E6F0"/>
          </w:tcPr>
          <w:p>
            <w:pPr>
              <w:pStyle w:val="TableParagraph"/>
              <w:spacing w:before="43"/>
              <w:ind w:left="15"/>
              <w:rPr>
                <w:sz w:val="9"/>
              </w:rPr>
            </w:pPr>
            <w:r>
              <w:rPr>
                <w:sz w:val="9"/>
              </w:rPr>
              <w:t>17/10/2018</w:t>
            </w:r>
          </w:p>
        </w:tc>
      </w:tr>
      <w:tr>
        <w:trPr>
          <w:trHeight w:val="210" w:hRule="atLeast"/>
        </w:trPr>
        <w:tc>
          <w:tcPr>
            <w:tcW w:w="271" w:type="dxa"/>
          </w:tcPr>
          <w:p>
            <w:pPr>
              <w:pStyle w:val="TableParagraph"/>
              <w:spacing w:before="38"/>
              <w:ind w:left="16"/>
              <w:rPr>
                <w:sz w:val="10"/>
              </w:rPr>
            </w:pPr>
            <w:r>
              <w:rPr>
                <w:w w:val="105"/>
                <w:sz w:val="10"/>
              </w:rPr>
              <w:t>S10</w:t>
            </w:r>
          </w:p>
        </w:tc>
        <w:tc>
          <w:tcPr>
            <w:tcW w:w="494" w:type="dxa"/>
            <w:shd w:val="clear" w:color="auto" w:fill="D8E6F0"/>
          </w:tcPr>
          <w:p>
            <w:pPr>
              <w:pStyle w:val="TableParagraph"/>
              <w:spacing w:before="45"/>
              <w:ind w:right="69"/>
              <w:jc w:val="right"/>
              <w:rPr>
                <w:b/>
                <w:sz w:val="9"/>
              </w:rPr>
            </w:pPr>
            <w:r>
              <w:rPr>
                <w:b/>
                <w:w w:val="95"/>
                <w:sz w:val="9"/>
              </w:rPr>
              <w:t>Medium</w:t>
            </w:r>
          </w:p>
        </w:tc>
        <w:tc>
          <w:tcPr>
            <w:tcW w:w="979" w:type="dxa"/>
            <w:shd w:val="clear" w:color="auto" w:fill="D8E6F0"/>
          </w:tcPr>
          <w:p>
            <w:pPr>
              <w:pStyle w:val="TableParagraph"/>
              <w:spacing w:line="91" w:lineRule="exact"/>
              <w:ind w:left="12" w:right="11"/>
              <w:jc w:val="center"/>
              <w:rPr>
                <w:b/>
                <w:sz w:val="9"/>
              </w:rPr>
            </w:pPr>
            <w:r>
              <w:rPr>
                <w:b/>
                <w:sz w:val="9"/>
              </w:rPr>
              <w:t>Pre Outline Business</w:t>
            </w:r>
          </w:p>
          <w:p>
            <w:pPr>
              <w:pStyle w:val="TableParagraph"/>
              <w:spacing w:line="88" w:lineRule="exact" w:before="11"/>
              <w:ind w:left="12" w:right="5"/>
              <w:jc w:val="center"/>
              <w:rPr>
                <w:b/>
                <w:sz w:val="9"/>
              </w:rPr>
            </w:pPr>
            <w:r>
              <w:rPr>
                <w:b/>
                <w:sz w:val="9"/>
              </w:rPr>
              <w:t>Case</w:t>
            </w:r>
          </w:p>
        </w:tc>
        <w:tc>
          <w:tcPr>
            <w:tcW w:w="1106" w:type="dxa"/>
            <w:shd w:val="clear" w:color="auto" w:fill="D8E6F0"/>
          </w:tcPr>
          <w:p>
            <w:pPr>
              <w:pStyle w:val="TableParagraph"/>
              <w:spacing w:before="45"/>
              <w:ind w:left="429" w:right="424"/>
              <w:jc w:val="center"/>
              <w:rPr>
                <w:b/>
                <w:sz w:val="9"/>
              </w:rPr>
            </w:pPr>
            <w:r>
              <w:rPr>
                <w:b/>
                <w:sz w:val="9"/>
              </w:rPr>
              <w:t>2022</w:t>
            </w:r>
          </w:p>
        </w:tc>
        <w:tc>
          <w:tcPr>
            <w:tcW w:w="3040" w:type="dxa"/>
            <w:shd w:val="clear" w:color="auto" w:fill="D8E6F0"/>
          </w:tcPr>
          <w:p>
            <w:pPr>
              <w:pStyle w:val="TableParagraph"/>
              <w:spacing w:before="45"/>
              <w:ind w:left="17"/>
              <w:rPr>
                <w:sz w:val="9"/>
              </w:rPr>
            </w:pPr>
            <w:r>
              <w:rPr>
                <w:sz w:val="9"/>
              </w:rPr>
              <w:t>Thorner Beck Flood Alleviation Scheme</w:t>
            </w:r>
          </w:p>
        </w:tc>
        <w:tc>
          <w:tcPr>
            <w:tcW w:w="530" w:type="dxa"/>
            <w:shd w:val="clear" w:color="auto" w:fill="D8E6F0"/>
          </w:tcPr>
          <w:p>
            <w:pPr>
              <w:pStyle w:val="TableParagraph"/>
              <w:spacing w:before="45"/>
              <w:ind w:left="18"/>
              <w:rPr>
                <w:sz w:val="9"/>
              </w:rPr>
            </w:pPr>
            <w:r>
              <w:rPr>
                <w:sz w:val="9"/>
              </w:rPr>
              <w:t>101%</w:t>
            </w:r>
          </w:p>
        </w:tc>
        <w:tc>
          <w:tcPr>
            <w:tcW w:w="993" w:type="dxa"/>
            <w:shd w:val="clear" w:color="auto" w:fill="D8E6F0"/>
          </w:tcPr>
          <w:p>
            <w:pPr>
              <w:pStyle w:val="TableParagraph"/>
              <w:spacing w:before="45"/>
              <w:ind w:left="18"/>
              <w:rPr>
                <w:sz w:val="9"/>
              </w:rPr>
            </w:pPr>
            <w:r>
              <w:rPr>
                <w:sz w:val="9"/>
              </w:rPr>
              <w:t>£150k</w:t>
            </w:r>
          </w:p>
        </w:tc>
        <w:tc>
          <w:tcPr>
            <w:tcW w:w="1243" w:type="dxa"/>
            <w:shd w:val="clear" w:color="auto" w:fill="D8E6F0"/>
          </w:tcPr>
          <w:p>
            <w:pPr>
              <w:pStyle w:val="TableParagraph"/>
              <w:spacing w:before="45"/>
              <w:ind w:left="19"/>
              <w:rPr>
                <w:sz w:val="9"/>
              </w:rPr>
            </w:pPr>
            <w:r>
              <w:rPr>
                <w:sz w:val="9"/>
              </w:rPr>
              <w:t>Thorner</w:t>
            </w:r>
          </w:p>
        </w:tc>
        <w:tc>
          <w:tcPr>
            <w:tcW w:w="1505" w:type="dxa"/>
            <w:shd w:val="clear" w:color="auto" w:fill="D8E6F0"/>
          </w:tcPr>
          <w:p>
            <w:pPr>
              <w:pStyle w:val="TableParagraph"/>
              <w:spacing w:line="94" w:lineRule="exact"/>
              <w:ind w:left="19"/>
              <w:rPr>
                <w:sz w:val="9"/>
              </w:rPr>
            </w:pPr>
            <w:r>
              <w:rPr>
                <w:sz w:val="9"/>
              </w:rPr>
              <w:t>3. Studies, schemes, assessments</w:t>
            </w:r>
          </w:p>
          <w:p>
            <w:pPr>
              <w:pStyle w:val="TableParagraph"/>
              <w:spacing w:line="90" w:lineRule="exact" w:before="7"/>
              <w:ind w:left="19"/>
              <w:rPr>
                <w:sz w:val="9"/>
              </w:rPr>
            </w:pPr>
            <w:r>
              <w:rPr>
                <w:sz w:val="9"/>
              </w:rPr>
              <w:t>and plans</w:t>
            </w:r>
          </w:p>
        </w:tc>
        <w:tc>
          <w:tcPr>
            <w:tcW w:w="3768" w:type="dxa"/>
            <w:shd w:val="clear" w:color="auto" w:fill="D8E6F0"/>
          </w:tcPr>
          <w:p>
            <w:pPr>
              <w:pStyle w:val="TableParagraph"/>
              <w:spacing w:before="45"/>
              <w:ind w:left="19"/>
              <w:rPr>
                <w:sz w:val="9"/>
              </w:rPr>
            </w:pPr>
            <w:r>
              <w:rPr>
                <w:sz w:val="9"/>
              </w:rPr>
              <w:t>6. Improve understanding of local flood risk and seek to decrease local flood risk.</w:t>
            </w:r>
          </w:p>
        </w:tc>
        <w:tc>
          <w:tcPr>
            <w:tcW w:w="4678" w:type="dxa"/>
            <w:shd w:val="clear" w:color="auto" w:fill="D8E6F0"/>
          </w:tcPr>
          <w:p>
            <w:pPr>
              <w:pStyle w:val="TableParagraph"/>
              <w:spacing w:before="45"/>
              <w:ind w:left="19" w:right="-29"/>
              <w:rPr>
                <w:sz w:val="9"/>
              </w:rPr>
            </w:pPr>
            <w:r>
              <w:rPr>
                <w:sz w:val="9"/>
              </w:rPr>
              <w:t>Restricted</w:t>
            </w:r>
            <w:r>
              <w:rPr>
                <w:spacing w:val="-7"/>
                <w:sz w:val="9"/>
              </w:rPr>
              <w:t> </w:t>
            </w:r>
            <w:r>
              <w:rPr>
                <w:sz w:val="9"/>
              </w:rPr>
              <w:t>capacity</w:t>
            </w:r>
            <w:r>
              <w:rPr>
                <w:spacing w:val="-6"/>
                <w:sz w:val="9"/>
              </w:rPr>
              <w:t> </w:t>
            </w:r>
            <w:r>
              <w:rPr>
                <w:sz w:val="9"/>
              </w:rPr>
              <w:t>of</w:t>
            </w:r>
            <w:r>
              <w:rPr>
                <w:spacing w:val="-7"/>
                <w:sz w:val="9"/>
              </w:rPr>
              <w:t> </w:t>
            </w:r>
            <w:r>
              <w:rPr>
                <w:sz w:val="9"/>
              </w:rPr>
              <w:t>existing</w:t>
            </w:r>
            <w:r>
              <w:rPr>
                <w:spacing w:val="-6"/>
                <w:sz w:val="9"/>
              </w:rPr>
              <w:t> </w:t>
            </w:r>
            <w:r>
              <w:rPr>
                <w:sz w:val="9"/>
              </w:rPr>
              <w:t>culverts</w:t>
            </w:r>
            <w:r>
              <w:rPr>
                <w:spacing w:val="-7"/>
                <w:sz w:val="9"/>
              </w:rPr>
              <w:t> </w:t>
            </w:r>
            <w:r>
              <w:rPr>
                <w:sz w:val="9"/>
              </w:rPr>
              <w:t>causing</w:t>
            </w:r>
            <w:r>
              <w:rPr>
                <w:spacing w:val="-6"/>
                <w:sz w:val="9"/>
              </w:rPr>
              <w:t> </w:t>
            </w:r>
            <w:r>
              <w:rPr>
                <w:sz w:val="9"/>
              </w:rPr>
              <w:t>overland</w:t>
            </w:r>
            <w:r>
              <w:rPr>
                <w:spacing w:val="-6"/>
                <w:sz w:val="9"/>
              </w:rPr>
              <w:t> </w:t>
            </w:r>
            <w:r>
              <w:rPr>
                <w:sz w:val="9"/>
              </w:rPr>
              <w:t>flooding.</w:t>
            </w:r>
            <w:r>
              <w:rPr>
                <w:spacing w:val="-7"/>
                <w:sz w:val="9"/>
              </w:rPr>
              <w:t> </w:t>
            </w:r>
            <w:r>
              <w:rPr>
                <w:sz w:val="9"/>
              </w:rPr>
              <w:t>Improve</w:t>
            </w:r>
            <w:r>
              <w:rPr>
                <w:spacing w:val="-6"/>
                <w:sz w:val="9"/>
              </w:rPr>
              <w:t> </w:t>
            </w:r>
            <w:r>
              <w:rPr>
                <w:sz w:val="9"/>
              </w:rPr>
              <w:t>Culvert</w:t>
            </w:r>
            <w:r>
              <w:rPr>
                <w:spacing w:val="-7"/>
                <w:sz w:val="9"/>
              </w:rPr>
              <w:t> </w:t>
            </w:r>
            <w:r>
              <w:rPr>
                <w:sz w:val="9"/>
              </w:rPr>
              <w:t>capacity.</w:t>
            </w:r>
            <w:r>
              <w:rPr>
                <w:spacing w:val="-6"/>
                <w:sz w:val="9"/>
              </w:rPr>
              <w:t> </w:t>
            </w:r>
            <w:r>
              <w:rPr>
                <w:sz w:val="9"/>
              </w:rPr>
              <w:t>Local</w:t>
            </w:r>
            <w:r>
              <w:rPr>
                <w:spacing w:val="-6"/>
                <w:sz w:val="9"/>
              </w:rPr>
              <w:t> </w:t>
            </w:r>
            <w:r>
              <w:rPr>
                <w:sz w:val="9"/>
              </w:rPr>
              <w:t>levy</w:t>
            </w:r>
            <w:r>
              <w:rPr>
                <w:spacing w:val="-7"/>
                <w:sz w:val="9"/>
              </w:rPr>
              <w:t> </w:t>
            </w:r>
            <w:r>
              <w:rPr>
                <w:sz w:val="9"/>
              </w:rPr>
              <w:t>funding</w:t>
            </w:r>
            <w:r>
              <w:rPr>
                <w:spacing w:val="-6"/>
                <w:sz w:val="9"/>
              </w:rPr>
              <w:t> </w:t>
            </w:r>
            <w:r>
              <w:rPr>
                <w:sz w:val="9"/>
              </w:rPr>
              <w:t>secured</w:t>
            </w:r>
          </w:p>
        </w:tc>
        <w:tc>
          <w:tcPr>
            <w:tcW w:w="2096" w:type="dxa"/>
            <w:shd w:val="clear" w:color="auto" w:fill="D8E6F0"/>
          </w:tcPr>
          <w:p>
            <w:pPr>
              <w:pStyle w:val="TableParagraph"/>
              <w:spacing w:before="45"/>
              <w:ind w:left="18"/>
              <w:rPr>
                <w:sz w:val="9"/>
              </w:rPr>
            </w:pPr>
            <w:r>
              <w:rPr>
                <w:sz w:val="9"/>
              </w:rPr>
              <w:t>Reduce risk of flooding</w:t>
            </w:r>
          </w:p>
        </w:tc>
        <w:tc>
          <w:tcPr>
            <w:tcW w:w="822" w:type="dxa"/>
            <w:shd w:val="clear" w:color="auto" w:fill="D8E6F0"/>
          </w:tcPr>
          <w:p>
            <w:pPr>
              <w:pStyle w:val="TableParagraph"/>
              <w:spacing w:line="94" w:lineRule="exact"/>
              <w:ind w:left="18"/>
              <w:rPr>
                <w:sz w:val="9"/>
              </w:rPr>
            </w:pPr>
            <w:r>
              <w:rPr>
                <w:sz w:val="9"/>
              </w:rPr>
              <w:t>LCC Flood Risk</w:t>
            </w:r>
          </w:p>
          <w:p>
            <w:pPr>
              <w:pStyle w:val="TableParagraph"/>
              <w:spacing w:line="90" w:lineRule="exact" w:before="7"/>
              <w:ind w:left="18"/>
              <w:rPr>
                <w:sz w:val="9"/>
              </w:rPr>
            </w:pPr>
            <w:r>
              <w:rPr>
                <w:sz w:val="9"/>
              </w:rPr>
              <w:t>Management</w:t>
            </w:r>
          </w:p>
        </w:tc>
        <w:tc>
          <w:tcPr>
            <w:tcW w:w="1000" w:type="dxa"/>
            <w:shd w:val="clear" w:color="auto" w:fill="D8E6F0"/>
          </w:tcPr>
          <w:p>
            <w:pPr>
              <w:pStyle w:val="TableParagraph"/>
              <w:spacing w:before="45"/>
              <w:ind w:left="17"/>
              <w:rPr>
                <w:sz w:val="9"/>
              </w:rPr>
            </w:pPr>
            <w:r>
              <w:rPr>
                <w:sz w:val="9"/>
              </w:rPr>
              <w:t>Environment Agency</w:t>
            </w:r>
          </w:p>
        </w:tc>
        <w:tc>
          <w:tcPr>
            <w:tcW w:w="599" w:type="dxa"/>
            <w:shd w:val="clear" w:color="auto" w:fill="D8E6F0"/>
          </w:tcPr>
          <w:p>
            <w:pPr>
              <w:pStyle w:val="TableParagraph"/>
              <w:spacing w:before="45"/>
              <w:ind w:left="15"/>
              <w:rPr>
                <w:sz w:val="9"/>
              </w:rPr>
            </w:pPr>
            <w:r>
              <w:rPr>
                <w:sz w:val="9"/>
              </w:rPr>
              <w:t>17/10/2018</w:t>
            </w:r>
          </w:p>
        </w:tc>
      </w:tr>
      <w:tr>
        <w:trPr>
          <w:trHeight w:val="210" w:hRule="atLeast"/>
        </w:trPr>
        <w:tc>
          <w:tcPr>
            <w:tcW w:w="271" w:type="dxa"/>
          </w:tcPr>
          <w:p>
            <w:pPr>
              <w:pStyle w:val="TableParagraph"/>
              <w:spacing w:before="38"/>
              <w:ind w:left="16"/>
              <w:rPr>
                <w:sz w:val="10"/>
              </w:rPr>
            </w:pPr>
            <w:r>
              <w:rPr>
                <w:w w:val="105"/>
                <w:sz w:val="10"/>
              </w:rPr>
              <w:t>S11</w:t>
            </w:r>
          </w:p>
        </w:tc>
        <w:tc>
          <w:tcPr>
            <w:tcW w:w="494" w:type="dxa"/>
            <w:shd w:val="clear" w:color="auto" w:fill="D8E6F0"/>
          </w:tcPr>
          <w:p>
            <w:pPr>
              <w:pStyle w:val="TableParagraph"/>
              <w:spacing w:before="45"/>
              <w:ind w:right="69"/>
              <w:jc w:val="right"/>
              <w:rPr>
                <w:b/>
                <w:sz w:val="9"/>
              </w:rPr>
            </w:pPr>
            <w:r>
              <w:rPr>
                <w:b/>
                <w:w w:val="95"/>
                <w:sz w:val="9"/>
              </w:rPr>
              <w:t>Medium</w:t>
            </w:r>
          </w:p>
        </w:tc>
        <w:tc>
          <w:tcPr>
            <w:tcW w:w="979" w:type="dxa"/>
            <w:shd w:val="clear" w:color="auto" w:fill="D8E6F0"/>
          </w:tcPr>
          <w:p>
            <w:pPr>
              <w:pStyle w:val="TableParagraph"/>
              <w:spacing w:line="91" w:lineRule="exact"/>
              <w:ind w:left="12" w:right="11"/>
              <w:jc w:val="center"/>
              <w:rPr>
                <w:b/>
                <w:sz w:val="9"/>
              </w:rPr>
            </w:pPr>
            <w:r>
              <w:rPr>
                <w:b/>
                <w:sz w:val="9"/>
              </w:rPr>
              <w:t>Pre Outline Business</w:t>
            </w:r>
          </w:p>
          <w:p>
            <w:pPr>
              <w:pStyle w:val="TableParagraph"/>
              <w:spacing w:line="88" w:lineRule="exact" w:before="11"/>
              <w:ind w:left="12" w:right="5"/>
              <w:jc w:val="center"/>
              <w:rPr>
                <w:b/>
                <w:sz w:val="9"/>
              </w:rPr>
            </w:pPr>
            <w:r>
              <w:rPr>
                <w:b/>
                <w:sz w:val="9"/>
              </w:rPr>
              <w:t>Case</w:t>
            </w:r>
          </w:p>
        </w:tc>
        <w:tc>
          <w:tcPr>
            <w:tcW w:w="1106" w:type="dxa"/>
            <w:shd w:val="clear" w:color="auto" w:fill="D8E6F0"/>
          </w:tcPr>
          <w:p>
            <w:pPr>
              <w:pStyle w:val="TableParagraph"/>
              <w:spacing w:before="45"/>
              <w:ind w:left="429" w:right="424"/>
              <w:jc w:val="center"/>
              <w:rPr>
                <w:b/>
                <w:sz w:val="9"/>
              </w:rPr>
            </w:pPr>
            <w:r>
              <w:rPr>
                <w:b/>
                <w:sz w:val="9"/>
              </w:rPr>
              <w:t>2022</w:t>
            </w:r>
          </w:p>
        </w:tc>
        <w:tc>
          <w:tcPr>
            <w:tcW w:w="3040" w:type="dxa"/>
            <w:shd w:val="clear" w:color="auto" w:fill="D8E6F0"/>
          </w:tcPr>
          <w:p>
            <w:pPr>
              <w:pStyle w:val="TableParagraph"/>
              <w:spacing w:before="45"/>
              <w:ind w:left="17"/>
              <w:rPr>
                <w:sz w:val="9"/>
              </w:rPr>
            </w:pPr>
            <w:r>
              <w:rPr>
                <w:sz w:val="9"/>
              </w:rPr>
              <w:t>Victoria Road Surface Water Flood Alleviation Scheme</w:t>
            </w:r>
          </w:p>
        </w:tc>
        <w:tc>
          <w:tcPr>
            <w:tcW w:w="530" w:type="dxa"/>
            <w:shd w:val="clear" w:color="auto" w:fill="D8E6F0"/>
          </w:tcPr>
          <w:p>
            <w:pPr>
              <w:pStyle w:val="TableParagraph"/>
              <w:spacing w:before="45"/>
              <w:ind w:left="18"/>
              <w:rPr>
                <w:sz w:val="9"/>
              </w:rPr>
            </w:pPr>
            <w:r>
              <w:rPr>
                <w:sz w:val="9"/>
              </w:rPr>
              <w:t>100%</w:t>
            </w:r>
          </w:p>
        </w:tc>
        <w:tc>
          <w:tcPr>
            <w:tcW w:w="993" w:type="dxa"/>
            <w:shd w:val="clear" w:color="auto" w:fill="D8E6F0"/>
          </w:tcPr>
          <w:p>
            <w:pPr>
              <w:pStyle w:val="TableParagraph"/>
              <w:spacing w:before="45"/>
              <w:ind w:left="19"/>
              <w:rPr>
                <w:sz w:val="9"/>
              </w:rPr>
            </w:pPr>
            <w:r>
              <w:rPr>
                <w:sz w:val="9"/>
              </w:rPr>
              <w:t>£250k</w:t>
            </w:r>
          </w:p>
        </w:tc>
        <w:tc>
          <w:tcPr>
            <w:tcW w:w="1243" w:type="dxa"/>
            <w:shd w:val="clear" w:color="auto" w:fill="D8E6F0"/>
          </w:tcPr>
          <w:p>
            <w:pPr>
              <w:pStyle w:val="TableParagraph"/>
              <w:spacing w:before="45"/>
              <w:ind w:left="19"/>
              <w:rPr>
                <w:sz w:val="9"/>
              </w:rPr>
            </w:pPr>
            <w:r>
              <w:rPr>
                <w:sz w:val="9"/>
              </w:rPr>
              <w:t>Guiseley</w:t>
            </w:r>
          </w:p>
        </w:tc>
        <w:tc>
          <w:tcPr>
            <w:tcW w:w="1505" w:type="dxa"/>
            <w:shd w:val="clear" w:color="auto" w:fill="D8E6F0"/>
          </w:tcPr>
          <w:p>
            <w:pPr>
              <w:pStyle w:val="TableParagraph"/>
              <w:spacing w:line="94" w:lineRule="exact"/>
              <w:ind w:left="19"/>
              <w:rPr>
                <w:sz w:val="9"/>
              </w:rPr>
            </w:pPr>
            <w:r>
              <w:rPr>
                <w:sz w:val="9"/>
              </w:rPr>
              <w:t>3. Studies, schemes, assessments</w:t>
            </w:r>
          </w:p>
          <w:p>
            <w:pPr>
              <w:pStyle w:val="TableParagraph"/>
              <w:spacing w:line="90" w:lineRule="exact" w:before="7"/>
              <w:ind w:left="19"/>
              <w:rPr>
                <w:sz w:val="9"/>
              </w:rPr>
            </w:pPr>
            <w:r>
              <w:rPr>
                <w:sz w:val="9"/>
              </w:rPr>
              <w:t>and plans</w:t>
            </w:r>
          </w:p>
        </w:tc>
        <w:tc>
          <w:tcPr>
            <w:tcW w:w="3768" w:type="dxa"/>
            <w:shd w:val="clear" w:color="auto" w:fill="D8E6F0"/>
          </w:tcPr>
          <w:p>
            <w:pPr>
              <w:pStyle w:val="TableParagraph"/>
              <w:spacing w:before="45"/>
              <w:ind w:left="19"/>
              <w:rPr>
                <w:sz w:val="9"/>
              </w:rPr>
            </w:pPr>
            <w:r>
              <w:rPr>
                <w:sz w:val="9"/>
              </w:rPr>
              <w:t>6. Improve understanding of local flood risk and seek to decrease local flood risk.</w:t>
            </w:r>
          </w:p>
        </w:tc>
        <w:tc>
          <w:tcPr>
            <w:tcW w:w="4678" w:type="dxa"/>
            <w:shd w:val="clear" w:color="auto" w:fill="D8E6F0"/>
          </w:tcPr>
          <w:p>
            <w:pPr>
              <w:pStyle w:val="TableParagraph"/>
              <w:spacing w:line="94" w:lineRule="exact"/>
              <w:ind w:left="19"/>
              <w:rPr>
                <w:sz w:val="9"/>
              </w:rPr>
            </w:pPr>
            <w:r>
              <w:rPr>
                <w:sz w:val="9"/>
              </w:rPr>
              <w:t>Surface</w:t>
            </w:r>
            <w:r>
              <w:rPr>
                <w:spacing w:val="-7"/>
                <w:sz w:val="9"/>
              </w:rPr>
              <w:t> </w:t>
            </w:r>
            <w:r>
              <w:rPr>
                <w:sz w:val="9"/>
              </w:rPr>
              <w:t>water</w:t>
            </w:r>
            <w:r>
              <w:rPr>
                <w:spacing w:val="-6"/>
                <w:sz w:val="9"/>
              </w:rPr>
              <w:t> </w:t>
            </w:r>
            <w:r>
              <w:rPr>
                <w:sz w:val="9"/>
              </w:rPr>
              <w:t>flooding</w:t>
            </w:r>
            <w:r>
              <w:rPr>
                <w:spacing w:val="-6"/>
                <w:sz w:val="9"/>
              </w:rPr>
              <w:t> </w:t>
            </w:r>
            <w:r>
              <w:rPr>
                <w:sz w:val="9"/>
              </w:rPr>
              <w:t>to</w:t>
            </w:r>
            <w:r>
              <w:rPr>
                <w:spacing w:val="-6"/>
                <w:sz w:val="9"/>
              </w:rPr>
              <w:t> </w:t>
            </w:r>
            <w:r>
              <w:rPr>
                <w:sz w:val="9"/>
              </w:rPr>
              <w:t>properties.</w:t>
            </w:r>
            <w:r>
              <w:rPr>
                <w:spacing w:val="-6"/>
                <w:sz w:val="9"/>
              </w:rPr>
              <w:t> </w:t>
            </w:r>
            <w:r>
              <w:rPr>
                <w:sz w:val="9"/>
              </w:rPr>
              <w:t>Install</w:t>
            </w:r>
            <w:r>
              <w:rPr>
                <w:spacing w:val="-6"/>
                <w:sz w:val="9"/>
              </w:rPr>
              <w:t> </w:t>
            </w:r>
            <w:r>
              <w:rPr>
                <w:sz w:val="9"/>
              </w:rPr>
              <w:t>attenuation</w:t>
            </w:r>
            <w:r>
              <w:rPr>
                <w:spacing w:val="-6"/>
                <w:sz w:val="9"/>
              </w:rPr>
              <w:t> </w:t>
            </w:r>
            <w:r>
              <w:rPr>
                <w:sz w:val="9"/>
              </w:rPr>
              <w:t>and</w:t>
            </w:r>
            <w:r>
              <w:rPr>
                <w:spacing w:val="-6"/>
                <w:sz w:val="9"/>
              </w:rPr>
              <w:t> </w:t>
            </w:r>
            <w:r>
              <w:rPr>
                <w:sz w:val="9"/>
              </w:rPr>
              <w:t>pumping</w:t>
            </w:r>
            <w:r>
              <w:rPr>
                <w:spacing w:val="-6"/>
                <w:sz w:val="9"/>
              </w:rPr>
              <w:t> </w:t>
            </w:r>
            <w:r>
              <w:rPr>
                <w:sz w:val="9"/>
              </w:rPr>
              <w:t>station</w:t>
            </w:r>
            <w:r>
              <w:rPr>
                <w:spacing w:val="-6"/>
                <w:sz w:val="9"/>
              </w:rPr>
              <w:t> </w:t>
            </w:r>
            <w:r>
              <w:rPr>
                <w:sz w:val="9"/>
              </w:rPr>
              <w:t>to</w:t>
            </w:r>
            <w:r>
              <w:rPr>
                <w:spacing w:val="-6"/>
                <w:sz w:val="9"/>
              </w:rPr>
              <w:t> </w:t>
            </w:r>
            <w:r>
              <w:rPr>
                <w:sz w:val="9"/>
              </w:rPr>
              <w:t>remove</w:t>
            </w:r>
            <w:r>
              <w:rPr>
                <w:spacing w:val="-6"/>
                <w:sz w:val="9"/>
              </w:rPr>
              <w:t> </w:t>
            </w:r>
            <w:r>
              <w:rPr>
                <w:sz w:val="9"/>
              </w:rPr>
              <w:t>flood</w:t>
            </w:r>
            <w:r>
              <w:rPr>
                <w:spacing w:val="-6"/>
                <w:sz w:val="9"/>
              </w:rPr>
              <w:t> </w:t>
            </w:r>
            <w:r>
              <w:rPr>
                <w:sz w:val="9"/>
              </w:rPr>
              <w:t>water</w:t>
            </w:r>
            <w:r>
              <w:rPr>
                <w:spacing w:val="-7"/>
                <w:sz w:val="9"/>
              </w:rPr>
              <w:t> </w:t>
            </w:r>
            <w:r>
              <w:rPr>
                <w:sz w:val="9"/>
              </w:rPr>
              <w:t>to</w:t>
            </w:r>
            <w:r>
              <w:rPr>
                <w:spacing w:val="-6"/>
                <w:sz w:val="9"/>
              </w:rPr>
              <w:t> </w:t>
            </w:r>
            <w:r>
              <w:rPr>
                <w:sz w:val="9"/>
              </w:rPr>
              <w:t>adjacent</w:t>
            </w:r>
            <w:r>
              <w:rPr>
                <w:spacing w:val="-6"/>
                <w:sz w:val="9"/>
              </w:rPr>
              <w:t> </w:t>
            </w:r>
            <w:r>
              <w:rPr>
                <w:sz w:val="9"/>
              </w:rPr>
              <w:t>culverte</w:t>
            </w:r>
          </w:p>
          <w:p>
            <w:pPr>
              <w:pStyle w:val="TableParagraph"/>
              <w:spacing w:line="90" w:lineRule="exact" w:before="7"/>
              <w:ind w:left="19"/>
              <w:rPr>
                <w:sz w:val="9"/>
              </w:rPr>
            </w:pPr>
            <w:r>
              <w:rPr>
                <w:sz w:val="9"/>
              </w:rPr>
              <w:t>watercourse.</w:t>
            </w:r>
          </w:p>
        </w:tc>
        <w:tc>
          <w:tcPr>
            <w:tcW w:w="2096" w:type="dxa"/>
            <w:shd w:val="clear" w:color="auto" w:fill="D8E6F0"/>
          </w:tcPr>
          <w:p>
            <w:pPr>
              <w:pStyle w:val="TableParagraph"/>
              <w:spacing w:before="45"/>
              <w:ind w:left="19"/>
              <w:rPr>
                <w:sz w:val="9"/>
              </w:rPr>
            </w:pPr>
            <w:r>
              <w:rPr>
                <w:sz w:val="9"/>
              </w:rPr>
              <w:t>Reduce risk of flooding</w:t>
            </w:r>
          </w:p>
        </w:tc>
        <w:tc>
          <w:tcPr>
            <w:tcW w:w="822" w:type="dxa"/>
            <w:shd w:val="clear" w:color="auto" w:fill="D8E6F0"/>
          </w:tcPr>
          <w:p>
            <w:pPr>
              <w:pStyle w:val="TableParagraph"/>
              <w:spacing w:line="94" w:lineRule="exact"/>
              <w:ind w:left="18"/>
              <w:rPr>
                <w:sz w:val="9"/>
              </w:rPr>
            </w:pPr>
            <w:r>
              <w:rPr>
                <w:sz w:val="9"/>
              </w:rPr>
              <w:t>LCC Flood Risk</w:t>
            </w:r>
          </w:p>
          <w:p>
            <w:pPr>
              <w:pStyle w:val="TableParagraph"/>
              <w:spacing w:line="90" w:lineRule="exact" w:before="7"/>
              <w:ind w:left="18"/>
              <w:rPr>
                <w:sz w:val="9"/>
              </w:rPr>
            </w:pPr>
            <w:r>
              <w:rPr>
                <w:sz w:val="9"/>
              </w:rPr>
              <w:t>Management</w:t>
            </w:r>
          </w:p>
        </w:tc>
        <w:tc>
          <w:tcPr>
            <w:tcW w:w="1000" w:type="dxa"/>
            <w:shd w:val="clear" w:color="auto" w:fill="D8E6F0"/>
          </w:tcPr>
          <w:p>
            <w:pPr>
              <w:pStyle w:val="TableParagraph"/>
              <w:spacing w:before="45"/>
              <w:ind w:left="17"/>
              <w:rPr>
                <w:sz w:val="9"/>
              </w:rPr>
            </w:pPr>
            <w:r>
              <w:rPr>
                <w:sz w:val="9"/>
              </w:rPr>
              <w:t>Environment Agency</w:t>
            </w:r>
          </w:p>
        </w:tc>
        <w:tc>
          <w:tcPr>
            <w:tcW w:w="599" w:type="dxa"/>
            <w:shd w:val="clear" w:color="auto" w:fill="D8E6F0"/>
          </w:tcPr>
          <w:p>
            <w:pPr>
              <w:pStyle w:val="TableParagraph"/>
              <w:spacing w:before="45"/>
              <w:ind w:left="15"/>
              <w:rPr>
                <w:sz w:val="9"/>
              </w:rPr>
            </w:pPr>
            <w:r>
              <w:rPr>
                <w:sz w:val="9"/>
              </w:rPr>
              <w:t>17/10/2018</w:t>
            </w:r>
          </w:p>
        </w:tc>
      </w:tr>
      <w:tr>
        <w:trPr>
          <w:trHeight w:val="309" w:hRule="atLeast"/>
        </w:trPr>
        <w:tc>
          <w:tcPr>
            <w:tcW w:w="271" w:type="dxa"/>
          </w:tcPr>
          <w:p>
            <w:pPr>
              <w:pStyle w:val="TableParagraph"/>
              <w:spacing w:before="88"/>
              <w:ind w:left="16"/>
              <w:rPr>
                <w:sz w:val="10"/>
              </w:rPr>
            </w:pPr>
            <w:r>
              <w:rPr>
                <w:w w:val="105"/>
                <w:sz w:val="10"/>
              </w:rPr>
              <w:t>S18</w:t>
            </w:r>
          </w:p>
        </w:tc>
        <w:tc>
          <w:tcPr>
            <w:tcW w:w="494" w:type="dxa"/>
            <w:shd w:val="clear" w:color="auto" w:fill="FFFF9A"/>
          </w:tcPr>
          <w:p>
            <w:pPr>
              <w:pStyle w:val="TableParagraph"/>
              <w:spacing w:before="7"/>
              <w:rPr>
                <w:rFonts w:ascii="Calibri"/>
                <w:sz w:val="7"/>
              </w:rPr>
            </w:pPr>
          </w:p>
          <w:p>
            <w:pPr>
              <w:pStyle w:val="TableParagraph"/>
              <w:spacing w:before="1"/>
              <w:ind w:right="148"/>
              <w:jc w:val="right"/>
              <w:rPr>
                <w:b/>
                <w:sz w:val="9"/>
              </w:rPr>
            </w:pPr>
            <w:r>
              <w:rPr>
                <w:b/>
                <w:w w:val="95"/>
                <w:sz w:val="9"/>
              </w:rPr>
              <w:t>Low</w:t>
            </w:r>
          </w:p>
        </w:tc>
        <w:tc>
          <w:tcPr>
            <w:tcW w:w="979" w:type="dxa"/>
            <w:shd w:val="clear" w:color="auto" w:fill="FFFF9A"/>
          </w:tcPr>
          <w:p>
            <w:pPr>
              <w:pStyle w:val="TableParagraph"/>
              <w:spacing w:line="266" w:lineRule="auto" w:before="35"/>
              <w:ind w:left="382" w:right="5" w:hanging="344"/>
              <w:rPr>
                <w:b/>
                <w:sz w:val="9"/>
              </w:rPr>
            </w:pPr>
            <w:r>
              <w:rPr>
                <w:b/>
                <w:sz w:val="9"/>
              </w:rPr>
              <w:t>Pre Outline Business Case</w:t>
            </w:r>
          </w:p>
        </w:tc>
        <w:tc>
          <w:tcPr>
            <w:tcW w:w="1106" w:type="dxa"/>
            <w:shd w:val="clear" w:color="auto" w:fill="FFFF9A"/>
          </w:tcPr>
          <w:p>
            <w:pPr>
              <w:pStyle w:val="TableParagraph"/>
              <w:spacing w:before="7"/>
              <w:rPr>
                <w:rFonts w:ascii="Calibri"/>
                <w:sz w:val="7"/>
              </w:rPr>
            </w:pPr>
          </w:p>
          <w:p>
            <w:pPr>
              <w:pStyle w:val="TableParagraph"/>
              <w:spacing w:before="1"/>
              <w:ind w:left="429" w:right="424"/>
              <w:jc w:val="center"/>
              <w:rPr>
                <w:b/>
                <w:sz w:val="9"/>
              </w:rPr>
            </w:pPr>
            <w:r>
              <w:rPr>
                <w:b/>
                <w:sz w:val="9"/>
              </w:rPr>
              <w:t>2020</w:t>
            </w:r>
          </w:p>
        </w:tc>
        <w:tc>
          <w:tcPr>
            <w:tcW w:w="3040" w:type="dxa"/>
            <w:shd w:val="clear" w:color="auto" w:fill="FFFF9A"/>
          </w:tcPr>
          <w:p>
            <w:pPr>
              <w:pStyle w:val="TableParagraph"/>
              <w:spacing w:line="89" w:lineRule="exact"/>
              <w:ind w:left="17"/>
              <w:rPr>
                <w:sz w:val="9"/>
              </w:rPr>
            </w:pPr>
            <w:r>
              <w:rPr>
                <w:sz w:val="9"/>
              </w:rPr>
              <w:t>Sheepscar: evaluate the condition of formal and informal flood defences</w:t>
            </w:r>
          </w:p>
          <w:p>
            <w:pPr>
              <w:pStyle w:val="TableParagraph"/>
              <w:spacing w:line="110" w:lineRule="atLeast"/>
              <w:ind w:left="17"/>
              <w:rPr>
                <w:sz w:val="9"/>
              </w:rPr>
            </w:pPr>
            <w:r>
              <w:rPr>
                <w:sz w:val="9"/>
              </w:rPr>
              <w:t>along</w:t>
            </w:r>
            <w:r>
              <w:rPr>
                <w:spacing w:val="-7"/>
                <w:sz w:val="9"/>
              </w:rPr>
              <w:t> </w:t>
            </w:r>
            <w:r>
              <w:rPr>
                <w:sz w:val="9"/>
              </w:rPr>
              <w:t>the</w:t>
            </w:r>
            <w:r>
              <w:rPr>
                <w:spacing w:val="-7"/>
                <w:sz w:val="9"/>
              </w:rPr>
              <w:t> </w:t>
            </w:r>
            <w:r>
              <w:rPr>
                <w:sz w:val="9"/>
              </w:rPr>
              <w:t>Sheepscar</w:t>
            </w:r>
            <w:r>
              <w:rPr>
                <w:spacing w:val="-6"/>
                <w:sz w:val="9"/>
              </w:rPr>
              <w:t> </w:t>
            </w:r>
            <w:r>
              <w:rPr>
                <w:sz w:val="9"/>
              </w:rPr>
              <w:t>Beck</w:t>
            </w:r>
            <w:r>
              <w:rPr>
                <w:spacing w:val="-7"/>
                <w:sz w:val="9"/>
              </w:rPr>
              <w:t> </w:t>
            </w:r>
            <w:r>
              <w:rPr>
                <w:sz w:val="9"/>
              </w:rPr>
              <w:t>which</w:t>
            </w:r>
            <w:r>
              <w:rPr>
                <w:spacing w:val="-7"/>
                <w:sz w:val="9"/>
              </w:rPr>
              <w:t> </w:t>
            </w:r>
            <w:r>
              <w:rPr>
                <w:sz w:val="9"/>
              </w:rPr>
              <w:t>were</w:t>
            </w:r>
            <w:r>
              <w:rPr>
                <w:spacing w:val="-6"/>
                <w:sz w:val="9"/>
              </w:rPr>
              <w:t> </w:t>
            </w:r>
            <w:r>
              <w:rPr>
                <w:sz w:val="9"/>
              </w:rPr>
              <w:t>recently</w:t>
            </w:r>
            <w:r>
              <w:rPr>
                <w:spacing w:val="-7"/>
                <w:sz w:val="9"/>
              </w:rPr>
              <w:t> </w:t>
            </w:r>
            <w:r>
              <w:rPr>
                <w:sz w:val="9"/>
              </w:rPr>
              <w:t>breached</w:t>
            </w:r>
            <w:r>
              <w:rPr>
                <w:spacing w:val="-7"/>
                <w:sz w:val="9"/>
              </w:rPr>
              <w:t> </w:t>
            </w:r>
            <w:r>
              <w:rPr>
                <w:sz w:val="9"/>
              </w:rPr>
              <w:t>to</w:t>
            </w:r>
            <w:r>
              <w:rPr>
                <w:spacing w:val="-6"/>
                <w:sz w:val="9"/>
              </w:rPr>
              <w:t> </w:t>
            </w:r>
            <w:r>
              <w:rPr>
                <w:sz w:val="9"/>
              </w:rPr>
              <w:t>identify</w:t>
            </w:r>
            <w:r>
              <w:rPr>
                <w:spacing w:val="-7"/>
                <w:sz w:val="9"/>
              </w:rPr>
              <w:t> </w:t>
            </w:r>
            <w:r>
              <w:rPr>
                <w:sz w:val="9"/>
              </w:rPr>
              <w:t>potential remedial works</w:t>
            </w:r>
            <w:r>
              <w:rPr>
                <w:spacing w:val="-2"/>
                <w:sz w:val="9"/>
              </w:rPr>
              <w:t> </w:t>
            </w:r>
            <w:r>
              <w:rPr>
                <w:sz w:val="9"/>
              </w:rPr>
              <w:t>required</w:t>
            </w:r>
          </w:p>
        </w:tc>
        <w:tc>
          <w:tcPr>
            <w:tcW w:w="530" w:type="dxa"/>
            <w:shd w:val="clear" w:color="auto" w:fill="FFFF9A"/>
          </w:tcPr>
          <w:p>
            <w:pPr>
              <w:pStyle w:val="TableParagraph"/>
              <w:spacing w:before="7"/>
              <w:rPr>
                <w:rFonts w:ascii="Calibri"/>
                <w:sz w:val="7"/>
              </w:rPr>
            </w:pPr>
          </w:p>
          <w:p>
            <w:pPr>
              <w:pStyle w:val="TableParagraph"/>
              <w:spacing w:before="1"/>
              <w:ind w:left="18"/>
              <w:rPr>
                <w:sz w:val="9"/>
              </w:rPr>
            </w:pPr>
            <w:r>
              <w:rPr>
                <w:sz w:val="9"/>
              </w:rPr>
              <w:t>TBC</w:t>
            </w:r>
          </w:p>
        </w:tc>
        <w:tc>
          <w:tcPr>
            <w:tcW w:w="993" w:type="dxa"/>
            <w:shd w:val="clear" w:color="auto" w:fill="FFFF9A"/>
          </w:tcPr>
          <w:p>
            <w:pPr>
              <w:pStyle w:val="TableParagraph"/>
              <w:spacing w:before="7"/>
              <w:rPr>
                <w:rFonts w:ascii="Calibri"/>
                <w:sz w:val="7"/>
              </w:rPr>
            </w:pPr>
          </w:p>
          <w:p>
            <w:pPr>
              <w:pStyle w:val="TableParagraph"/>
              <w:spacing w:before="1"/>
              <w:ind w:left="19"/>
              <w:rPr>
                <w:sz w:val="9"/>
              </w:rPr>
            </w:pPr>
            <w:r>
              <w:rPr>
                <w:sz w:val="9"/>
              </w:rPr>
              <w:t>TBC</w:t>
            </w:r>
          </w:p>
        </w:tc>
        <w:tc>
          <w:tcPr>
            <w:tcW w:w="1243" w:type="dxa"/>
            <w:shd w:val="clear" w:color="auto" w:fill="FFFF9A"/>
          </w:tcPr>
          <w:p>
            <w:pPr>
              <w:pStyle w:val="TableParagraph"/>
              <w:spacing w:before="7"/>
              <w:rPr>
                <w:rFonts w:ascii="Calibri"/>
                <w:sz w:val="7"/>
              </w:rPr>
            </w:pPr>
          </w:p>
          <w:p>
            <w:pPr>
              <w:pStyle w:val="TableParagraph"/>
              <w:spacing w:before="1"/>
              <w:ind w:left="19"/>
              <w:rPr>
                <w:sz w:val="9"/>
              </w:rPr>
            </w:pPr>
            <w:r>
              <w:rPr>
                <w:sz w:val="9"/>
              </w:rPr>
              <w:t>Sheepscar</w:t>
            </w:r>
          </w:p>
        </w:tc>
        <w:tc>
          <w:tcPr>
            <w:tcW w:w="1505" w:type="dxa"/>
            <w:shd w:val="clear" w:color="auto" w:fill="FFFF9A"/>
          </w:tcPr>
          <w:p>
            <w:pPr>
              <w:pStyle w:val="TableParagraph"/>
              <w:spacing w:line="256" w:lineRule="auto" w:before="38"/>
              <w:ind w:left="19"/>
              <w:rPr>
                <w:sz w:val="9"/>
              </w:rPr>
            </w:pPr>
            <w:r>
              <w:rPr>
                <w:sz w:val="9"/>
              </w:rPr>
              <w:t>4. Asset management and maintenance</w:t>
            </w:r>
          </w:p>
        </w:tc>
        <w:tc>
          <w:tcPr>
            <w:tcW w:w="3768" w:type="dxa"/>
            <w:shd w:val="clear" w:color="auto" w:fill="FFFF9A"/>
          </w:tcPr>
          <w:p>
            <w:pPr>
              <w:pStyle w:val="TableParagraph"/>
              <w:spacing w:before="7"/>
              <w:rPr>
                <w:rFonts w:ascii="Calibri"/>
                <w:sz w:val="7"/>
              </w:rPr>
            </w:pPr>
          </w:p>
          <w:p>
            <w:pPr>
              <w:pStyle w:val="TableParagraph"/>
              <w:spacing w:before="1"/>
              <w:ind w:left="19"/>
              <w:rPr>
                <w:sz w:val="9"/>
              </w:rPr>
            </w:pPr>
            <w:r>
              <w:rPr>
                <w:sz w:val="9"/>
              </w:rPr>
              <w:t>6. Improve understanding of local flood risk and seek to decrease local flood risk.</w:t>
            </w:r>
          </w:p>
        </w:tc>
        <w:tc>
          <w:tcPr>
            <w:tcW w:w="4678" w:type="dxa"/>
            <w:shd w:val="clear" w:color="auto" w:fill="FFFF9A"/>
          </w:tcPr>
          <w:p>
            <w:pPr>
              <w:pStyle w:val="TableParagraph"/>
              <w:spacing w:before="7"/>
              <w:rPr>
                <w:rFonts w:ascii="Calibri"/>
                <w:sz w:val="7"/>
              </w:rPr>
            </w:pPr>
          </w:p>
          <w:p>
            <w:pPr>
              <w:pStyle w:val="TableParagraph"/>
              <w:spacing w:before="1"/>
              <w:ind w:left="19"/>
              <w:rPr>
                <w:sz w:val="9"/>
              </w:rPr>
            </w:pPr>
            <w:r>
              <w:rPr>
                <w:sz w:val="9"/>
              </w:rPr>
              <w:t>Evaluate flood defence improvement works required.</w:t>
            </w:r>
          </w:p>
        </w:tc>
        <w:tc>
          <w:tcPr>
            <w:tcW w:w="2096" w:type="dxa"/>
            <w:shd w:val="clear" w:color="auto" w:fill="FFFF9A"/>
          </w:tcPr>
          <w:p>
            <w:pPr>
              <w:pStyle w:val="TableParagraph"/>
              <w:spacing w:line="256" w:lineRule="auto" w:before="38"/>
              <w:ind w:left="19"/>
              <w:rPr>
                <w:sz w:val="9"/>
              </w:rPr>
            </w:pPr>
            <w:r>
              <w:rPr>
                <w:sz w:val="9"/>
              </w:rPr>
              <w:t>Helps ensure that problems or new works are identified to prevent recurrence of flooding.</w:t>
            </w:r>
          </w:p>
        </w:tc>
        <w:tc>
          <w:tcPr>
            <w:tcW w:w="822" w:type="dxa"/>
            <w:shd w:val="clear" w:color="auto" w:fill="FFFF9A"/>
          </w:tcPr>
          <w:p>
            <w:pPr>
              <w:pStyle w:val="TableParagraph"/>
              <w:spacing w:line="256" w:lineRule="auto" w:before="38"/>
              <w:ind w:left="18"/>
              <w:rPr>
                <w:sz w:val="9"/>
              </w:rPr>
            </w:pPr>
            <w:r>
              <w:rPr>
                <w:sz w:val="9"/>
              </w:rPr>
              <w:t>LCC Flood Risk Management</w:t>
            </w:r>
          </w:p>
        </w:tc>
        <w:tc>
          <w:tcPr>
            <w:tcW w:w="1000" w:type="dxa"/>
            <w:shd w:val="clear" w:color="auto" w:fill="FFFF9A"/>
          </w:tcPr>
          <w:p>
            <w:pPr>
              <w:pStyle w:val="TableParagraph"/>
              <w:spacing w:before="7"/>
              <w:rPr>
                <w:rFonts w:ascii="Calibri"/>
                <w:sz w:val="7"/>
              </w:rPr>
            </w:pPr>
          </w:p>
          <w:p>
            <w:pPr>
              <w:pStyle w:val="TableParagraph"/>
              <w:spacing w:before="1"/>
              <w:ind w:left="17"/>
              <w:rPr>
                <w:sz w:val="9"/>
              </w:rPr>
            </w:pPr>
            <w:r>
              <w:rPr>
                <w:sz w:val="9"/>
              </w:rPr>
              <w:t>Environment Agency</w:t>
            </w:r>
          </w:p>
        </w:tc>
        <w:tc>
          <w:tcPr>
            <w:tcW w:w="599" w:type="dxa"/>
            <w:shd w:val="clear" w:color="auto" w:fill="FFFF9A"/>
          </w:tcPr>
          <w:p>
            <w:pPr>
              <w:pStyle w:val="TableParagraph"/>
              <w:spacing w:before="7"/>
              <w:rPr>
                <w:rFonts w:ascii="Calibri"/>
                <w:sz w:val="7"/>
              </w:rPr>
            </w:pPr>
          </w:p>
          <w:p>
            <w:pPr>
              <w:pStyle w:val="TableParagraph"/>
              <w:spacing w:before="1"/>
              <w:ind w:left="15"/>
              <w:rPr>
                <w:sz w:val="9"/>
              </w:rPr>
            </w:pPr>
            <w:r>
              <w:rPr>
                <w:sz w:val="9"/>
              </w:rPr>
              <w:t>17/10/2018</w:t>
            </w:r>
          </w:p>
        </w:tc>
      </w:tr>
      <w:tr>
        <w:trPr>
          <w:trHeight w:val="520" w:hRule="atLeast"/>
        </w:trPr>
        <w:tc>
          <w:tcPr>
            <w:tcW w:w="271" w:type="dxa"/>
          </w:tcPr>
          <w:p>
            <w:pPr>
              <w:pStyle w:val="TableParagraph"/>
              <w:spacing w:before="11"/>
              <w:rPr>
                <w:rFonts w:ascii="Calibri"/>
                <w:sz w:val="15"/>
              </w:rPr>
            </w:pPr>
          </w:p>
          <w:p>
            <w:pPr>
              <w:pStyle w:val="TableParagraph"/>
              <w:ind w:left="16"/>
              <w:rPr>
                <w:sz w:val="10"/>
              </w:rPr>
            </w:pPr>
            <w:r>
              <w:rPr>
                <w:w w:val="105"/>
                <w:sz w:val="10"/>
              </w:rPr>
              <w:t>S19</w:t>
            </w:r>
          </w:p>
        </w:tc>
        <w:tc>
          <w:tcPr>
            <w:tcW w:w="494" w:type="dxa"/>
            <w:shd w:val="clear" w:color="auto" w:fill="FFFF9A"/>
          </w:tcPr>
          <w:p>
            <w:pPr>
              <w:pStyle w:val="TableParagraph"/>
              <w:rPr>
                <w:rFonts w:ascii="Calibri"/>
                <w:sz w:val="10"/>
              </w:rPr>
            </w:pPr>
          </w:p>
          <w:p>
            <w:pPr>
              <w:pStyle w:val="TableParagraph"/>
              <w:spacing w:before="77"/>
              <w:ind w:right="148"/>
              <w:jc w:val="right"/>
              <w:rPr>
                <w:b/>
                <w:sz w:val="9"/>
              </w:rPr>
            </w:pPr>
            <w:r>
              <w:rPr>
                <w:b/>
                <w:w w:val="95"/>
                <w:sz w:val="9"/>
              </w:rPr>
              <w:t>Low</w:t>
            </w:r>
          </w:p>
        </w:tc>
        <w:tc>
          <w:tcPr>
            <w:tcW w:w="979" w:type="dxa"/>
            <w:shd w:val="clear" w:color="auto" w:fill="FFFF9A"/>
          </w:tcPr>
          <w:p>
            <w:pPr>
              <w:pStyle w:val="TableParagraph"/>
              <w:spacing w:before="7"/>
              <w:rPr>
                <w:rFonts w:ascii="Calibri"/>
                <w:sz w:val="11"/>
              </w:rPr>
            </w:pPr>
          </w:p>
          <w:p>
            <w:pPr>
              <w:pStyle w:val="TableParagraph"/>
              <w:spacing w:line="266" w:lineRule="auto"/>
              <w:ind w:left="382" w:right="5" w:hanging="344"/>
              <w:rPr>
                <w:b/>
                <w:sz w:val="9"/>
              </w:rPr>
            </w:pPr>
            <w:r>
              <w:rPr>
                <w:b/>
                <w:sz w:val="9"/>
              </w:rPr>
              <w:t>Pre Outline Business Case</w:t>
            </w:r>
          </w:p>
        </w:tc>
        <w:tc>
          <w:tcPr>
            <w:tcW w:w="1106" w:type="dxa"/>
            <w:shd w:val="clear" w:color="auto" w:fill="FFFF9A"/>
          </w:tcPr>
          <w:p>
            <w:pPr>
              <w:pStyle w:val="TableParagraph"/>
              <w:rPr>
                <w:rFonts w:ascii="Calibri"/>
                <w:sz w:val="10"/>
              </w:rPr>
            </w:pPr>
          </w:p>
          <w:p>
            <w:pPr>
              <w:pStyle w:val="TableParagraph"/>
              <w:spacing w:before="77"/>
              <w:ind w:left="429" w:right="424"/>
              <w:jc w:val="center"/>
              <w:rPr>
                <w:b/>
                <w:sz w:val="9"/>
              </w:rPr>
            </w:pPr>
            <w:r>
              <w:rPr>
                <w:b/>
                <w:sz w:val="9"/>
              </w:rPr>
              <w:t>2020</w:t>
            </w:r>
          </w:p>
        </w:tc>
        <w:tc>
          <w:tcPr>
            <w:tcW w:w="3040" w:type="dxa"/>
            <w:shd w:val="clear" w:color="auto" w:fill="FFFF9A"/>
          </w:tcPr>
          <w:p>
            <w:pPr>
              <w:pStyle w:val="TableParagraph"/>
              <w:spacing w:line="256" w:lineRule="auto" w:before="88"/>
              <w:ind w:left="17" w:right="-15"/>
              <w:rPr>
                <w:sz w:val="9"/>
              </w:rPr>
            </w:pPr>
            <w:r>
              <w:rPr>
                <w:sz w:val="9"/>
              </w:rPr>
              <w:t>Develop</w:t>
            </w:r>
            <w:r>
              <w:rPr>
                <w:spacing w:val="-7"/>
                <w:sz w:val="9"/>
              </w:rPr>
              <w:t> </w:t>
            </w:r>
            <w:r>
              <w:rPr>
                <w:sz w:val="9"/>
              </w:rPr>
              <w:t>and</w:t>
            </w:r>
            <w:r>
              <w:rPr>
                <w:spacing w:val="-7"/>
                <w:sz w:val="9"/>
              </w:rPr>
              <w:t> </w:t>
            </w:r>
            <w:r>
              <w:rPr>
                <w:sz w:val="9"/>
              </w:rPr>
              <w:t>implement</w:t>
            </w:r>
            <w:r>
              <w:rPr>
                <w:spacing w:val="-7"/>
                <w:sz w:val="9"/>
              </w:rPr>
              <w:t> </w:t>
            </w:r>
            <w:r>
              <w:rPr>
                <w:sz w:val="9"/>
              </w:rPr>
              <w:t>feasibility</w:t>
            </w:r>
            <w:r>
              <w:rPr>
                <w:spacing w:val="-7"/>
                <w:sz w:val="9"/>
              </w:rPr>
              <w:t> </w:t>
            </w:r>
            <w:r>
              <w:rPr>
                <w:sz w:val="9"/>
              </w:rPr>
              <w:t>studies</w:t>
            </w:r>
            <w:r>
              <w:rPr>
                <w:spacing w:val="-6"/>
                <w:sz w:val="9"/>
              </w:rPr>
              <w:t> </w:t>
            </w:r>
            <w:r>
              <w:rPr>
                <w:sz w:val="9"/>
              </w:rPr>
              <w:t>for</w:t>
            </w:r>
            <w:r>
              <w:rPr>
                <w:spacing w:val="-7"/>
                <w:sz w:val="9"/>
              </w:rPr>
              <w:t> </w:t>
            </w:r>
            <w:r>
              <w:rPr>
                <w:sz w:val="9"/>
              </w:rPr>
              <w:t>fluvial</w:t>
            </w:r>
            <w:r>
              <w:rPr>
                <w:spacing w:val="-7"/>
                <w:sz w:val="9"/>
              </w:rPr>
              <w:t> </w:t>
            </w:r>
            <w:r>
              <w:rPr>
                <w:sz w:val="9"/>
              </w:rPr>
              <w:t>flood</w:t>
            </w:r>
            <w:r>
              <w:rPr>
                <w:spacing w:val="-7"/>
                <w:sz w:val="9"/>
              </w:rPr>
              <w:t> </w:t>
            </w:r>
            <w:r>
              <w:rPr>
                <w:sz w:val="9"/>
              </w:rPr>
              <w:t>alleviation</w:t>
            </w:r>
            <w:r>
              <w:rPr>
                <w:spacing w:val="-6"/>
                <w:sz w:val="9"/>
              </w:rPr>
              <w:t> </w:t>
            </w:r>
            <w:r>
              <w:rPr>
                <w:sz w:val="9"/>
              </w:rPr>
              <w:t>schemes to improve the standard of protection along Meanwood Beck, Bagley Beck and</w:t>
            </w:r>
            <w:r>
              <w:rPr>
                <w:spacing w:val="-3"/>
                <w:sz w:val="9"/>
              </w:rPr>
              <w:t> </w:t>
            </w:r>
            <w:r>
              <w:rPr>
                <w:sz w:val="9"/>
              </w:rPr>
              <w:t>Farnley</w:t>
            </w:r>
            <w:r>
              <w:rPr>
                <w:spacing w:val="-2"/>
                <w:sz w:val="9"/>
              </w:rPr>
              <w:t> </w:t>
            </w:r>
            <w:r>
              <w:rPr>
                <w:sz w:val="9"/>
              </w:rPr>
              <w:t>Wood</w:t>
            </w:r>
            <w:r>
              <w:rPr>
                <w:spacing w:val="-2"/>
                <w:sz w:val="9"/>
              </w:rPr>
              <w:t> </w:t>
            </w:r>
            <w:r>
              <w:rPr>
                <w:sz w:val="9"/>
              </w:rPr>
              <w:t>Beck</w:t>
            </w:r>
            <w:r>
              <w:rPr>
                <w:spacing w:val="-2"/>
                <w:sz w:val="9"/>
              </w:rPr>
              <w:t> </w:t>
            </w:r>
            <w:r>
              <w:rPr>
                <w:sz w:val="9"/>
              </w:rPr>
              <w:t>-</w:t>
            </w:r>
            <w:r>
              <w:rPr>
                <w:spacing w:val="-2"/>
                <w:sz w:val="9"/>
              </w:rPr>
              <w:t> </w:t>
            </w:r>
            <w:r>
              <w:rPr>
                <w:sz w:val="9"/>
              </w:rPr>
              <w:t>integrating</w:t>
            </w:r>
            <w:r>
              <w:rPr>
                <w:spacing w:val="-2"/>
                <w:sz w:val="9"/>
              </w:rPr>
              <w:t> </w:t>
            </w:r>
            <w:r>
              <w:rPr>
                <w:sz w:val="9"/>
              </w:rPr>
              <w:t>with</w:t>
            </w:r>
            <w:r>
              <w:rPr>
                <w:spacing w:val="-2"/>
                <w:sz w:val="9"/>
              </w:rPr>
              <w:t> </w:t>
            </w:r>
            <w:r>
              <w:rPr>
                <w:sz w:val="9"/>
              </w:rPr>
              <w:t>all</w:t>
            </w:r>
            <w:r>
              <w:rPr>
                <w:spacing w:val="-2"/>
                <w:sz w:val="9"/>
              </w:rPr>
              <w:t> </w:t>
            </w:r>
            <w:r>
              <w:rPr>
                <w:sz w:val="9"/>
              </w:rPr>
              <w:t>sources</w:t>
            </w:r>
            <w:r>
              <w:rPr>
                <w:spacing w:val="-2"/>
                <w:sz w:val="9"/>
              </w:rPr>
              <w:t> </w:t>
            </w:r>
            <w:r>
              <w:rPr>
                <w:sz w:val="9"/>
              </w:rPr>
              <w:t>of</w:t>
            </w:r>
            <w:r>
              <w:rPr>
                <w:spacing w:val="-2"/>
                <w:sz w:val="9"/>
              </w:rPr>
              <w:t> </w:t>
            </w:r>
            <w:r>
              <w:rPr>
                <w:sz w:val="9"/>
              </w:rPr>
              <w:t>flooding.</w:t>
            </w:r>
          </w:p>
        </w:tc>
        <w:tc>
          <w:tcPr>
            <w:tcW w:w="530" w:type="dxa"/>
            <w:shd w:val="clear" w:color="auto" w:fill="FFFF9A"/>
          </w:tcPr>
          <w:p>
            <w:pPr>
              <w:pStyle w:val="TableParagraph"/>
              <w:rPr>
                <w:rFonts w:ascii="Calibri"/>
                <w:sz w:val="10"/>
              </w:rPr>
            </w:pPr>
          </w:p>
          <w:p>
            <w:pPr>
              <w:pStyle w:val="TableParagraph"/>
              <w:spacing w:before="77"/>
              <w:ind w:left="18"/>
              <w:rPr>
                <w:sz w:val="9"/>
              </w:rPr>
            </w:pPr>
            <w:r>
              <w:rPr>
                <w:sz w:val="9"/>
              </w:rPr>
              <w:t>TBC</w:t>
            </w:r>
          </w:p>
        </w:tc>
        <w:tc>
          <w:tcPr>
            <w:tcW w:w="993" w:type="dxa"/>
            <w:shd w:val="clear" w:color="auto" w:fill="FFFF9A"/>
          </w:tcPr>
          <w:p>
            <w:pPr>
              <w:pStyle w:val="TableParagraph"/>
              <w:rPr>
                <w:rFonts w:ascii="Calibri"/>
                <w:sz w:val="10"/>
              </w:rPr>
            </w:pPr>
          </w:p>
          <w:p>
            <w:pPr>
              <w:pStyle w:val="TableParagraph"/>
              <w:spacing w:before="77"/>
              <w:ind w:left="19"/>
              <w:rPr>
                <w:sz w:val="9"/>
              </w:rPr>
            </w:pPr>
            <w:r>
              <w:rPr>
                <w:sz w:val="9"/>
              </w:rPr>
              <w:t>TBC</w:t>
            </w:r>
          </w:p>
        </w:tc>
        <w:tc>
          <w:tcPr>
            <w:tcW w:w="1243" w:type="dxa"/>
            <w:shd w:val="clear" w:color="auto" w:fill="FFFF9A"/>
          </w:tcPr>
          <w:p>
            <w:pPr>
              <w:pStyle w:val="TableParagraph"/>
              <w:spacing w:before="9"/>
              <w:rPr>
                <w:rFonts w:ascii="Calibri"/>
                <w:sz w:val="11"/>
              </w:rPr>
            </w:pPr>
          </w:p>
          <w:p>
            <w:pPr>
              <w:pStyle w:val="TableParagraph"/>
              <w:spacing w:line="256" w:lineRule="auto"/>
              <w:ind w:left="19" w:right="-6"/>
              <w:rPr>
                <w:sz w:val="9"/>
              </w:rPr>
            </w:pPr>
            <w:r>
              <w:rPr>
                <w:sz w:val="9"/>
              </w:rPr>
              <w:t>Meanwood Beck, Bagley</w:t>
            </w:r>
            <w:r>
              <w:rPr>
                <w:spacing w:val="-16"/>
                <w:sz w:val="9"/>
              </w:rPr>
              <w:t> </w:t>
            </w:r>
            <w:r>
              <w:rPr>
                <w:sz w:val="9"/>
              </w:rPr>
              <w:t>Beck &amp; Farnley Wood</w:t>
            </w:r>
            <w:r>
              <w:rPr>
                <w:spacing w:val="-4"/>
                <w:sz w:val="9"/>
              </w:rPr>
              <w:t> </w:t>
            </w:r>
            <w:r>
              <w:rPr>
                <w:sz w:val="9"/>
              </w:rPr>
              <w:t>Beck</w:t>
            </w:r>
          </w:p>
        </w:tc>
        <w:tc>
          <w:tcPr>
            <w:tcW w:w="1505" w:type="dxa"/>
            <w:shd w:val="clear" w:color="auto" w:fill="FFFF9A"/>
          </w:tcPr>
          <w:p>
            <w:pPr>
              <w:pStyle w:val="TableParagraph"/>
              <w:spacing w:before="9"/>
              <w:rPr>
                <w:rFonts w:ascii="Calibri"/>
                <w:sz w:val="11"/>
              </w:rPr>
            </w:pPr>
          </w:p>
          <w:p>
            <w:pPr>
              <w:pStyle w:val="TableParagraph"/>
              <w:spacing w:line="256" w:lineRule="auto"/>
              <w:ind w:left="19"/>
              <w:rPr>
                <w:sz w:val="9"/>
              </w:rPr>
            </w:pPr>
            <w:r>
              <w:rPr>
                <w:sz w:val="9"/>
              </w:rPr>
              <w:t>3. Studies, schemes, assessments and plans</w:t>
            </w:r>
          </w:p>
        </w:tc>
        <w:tc>
          <w:tcPr>
            <w:tcW w:w="3768" w:type="dxa"/>
            <w:shd w:val="clear" w:color="auto" w:fill="FFFF9A"/>
          </w:tcPr>
          <w:p>
            <w:pPr>
              <w:pStyle w:val="TableParagraph"/>
              <w:rPr>
                <w:rFonts w:ascii="Calibri"/>
                <w:sz w:val="10"/>
              </w:rPr>
            </w:pPr>
          </w:p>
          <w:p>
            <w:pPr>
              <w:pStyle w:val="TableParagraph"/>
              <w:spacing w:before="77"/>
              <w:ind w:left="19"/>
              <w:rPr>
                <w:sz w:val="9"/>
              </w:rPr>
            </w:pPr>
            <w:r>
              <w:rPr>
                <w:sz w:val="9"/>
              </w:rPr>
              <w:t>6. Improve understanding of local flood risk and seek to decrease local flood risk.</w:t>
            </w:r>
          </w:p>
        </w:tc>
        <w:tc>
          <w:tcPr>
            <w:tcW w:w="4678" w:type="dxa"/>
            <w:shd w:val="clear" w:color="auto" w:fill="FFFF9A"/>
          </w:tcPr>
          <w:p>
            <w:pPr>
              <w:pStyle w:val="TableParagraph"/>
              <w:spacing w:before="9"/>
              <w:rPr>
                <w:rFonts w:ascii="Calibri"/>
                <w:sz w:val="11"/>
              </w:rPr>
            </w:pPr>
          </w:p>
          <w:p>
            <w:pPr>
              <w:pStyle w:val="TableParagraph"/>
              <w:spacing w:line="256" w:lineRule="auto"/>
              <w:ind w:left="19"/>
              <w:rPr>
                <w:sz w:val="9"/>
              </w:rPr>
            </w:pPr>
            <w:r>
              <w:rPr>
                <w:sz w:val="9"/>
              </w:rPr>
              <w:t>This</w:t>
            </w:r>
            <w:r>
              <w:rPr>
                <w:spacing w:val="-5"/>
                <w:sz w:val="9"/>
              </w:rPr>
              <w:t> </w:t>
            </w:r>
            <w:r>
              <w:rPr>
                <w:sz w:val="9"/>
              </w:rPr>
              <w:t>measure</w:t>
            </w:r>
            <w:r>
              <w:rPr>
                <w:spacing w:val="-4"/>
                <w:sz w:val="9"/>
              </w:rPr>
              <w:t> </w:t>
            </w:r>
            <w:r>
              <w:rPr>
                <w:sz w:val="9"/>
              </w:rPr>
              <w:t>is</w:t>
            </w:r>
            <w:r>
              <w:rPr>
                <w:spacing w:val="-5"/>
                <w:sz w:val="9"/>
              </w:rPr>
              <w:t> </w:t>
            </w:r>
            <w:r>
              <w:rPr>
                <w:sz w:val="9"/>
              </w:rPr>
              <w:t>listed</w:t>
            </w:r>
            <w:r>
              <w:rPr>
                <w:spacing w:val="-4"/>
                <w:sz w:val="9"/>
              </w:rPr>
              <w:t> </w:t>
            </w:r>
            <w:r>
              <w:rPr>
                <w:sz w:val="9"/>
              </w:rPr>
              <w:t>in</w:t>
            </w:r>
            <w:r>
              <w:rPr>
                <w:spacing w:val="-5"/>
                <w:sz w:val="9"/>
              </w:rPr>
              <w:t> </w:t>
            </w:r>
            <w:r>
              <w:rPr>
                <w:sz w:val="9"/>
              </w:rPr>
              <w:t>the</w:t>
            </w:r>
            <w:r>
              <w:rPr>
                <w:spacing w:val="-4"/>
                <w:sz w:val="9"/>
              </w:rPr>
              <w:t> </w:t>
            </w:r>
            <w:r>
              <w:rPr>
                <w:sz w:val="9"/>
              </w:rPr>
              <w:t>Aire</w:t>
            </w:r>
            <w:r>
              <w:rPr>
                <w:spacing w:val="16"/>
                <w:sz w:val="9"/>
              </w:rPr>
              <w:t> </w:t>
            </w:r>
            <w:r>
              <w:rPr>
                <w:sz w:val="9"/>
              </w:rPr>
              <w:t>Catchment</w:t>
            </w:r>
            <w:r>
              <w:rPr>
                <w:spacing w:val="-5"/>
                <w:sz w:val="9"/>
              </w:rPr>
              <w:t> </w:t>
            </w:r>
            <w:r>
              <w:rPr>
                <w:sz w:val="9"/>
              </w:rPr>
              <w:t>Flood</w:t>
            </w:r>
            <w:r>
              <w:rPr>
                <w:spacing w:val="-4"/>
                <w:sz w:val="9"/>
              </w:rPr>
              <w:t> </w:t>
            </w:r>
            <w:r>
              <w:rPr>
                <w:sz w:val="9"/>
              </w:rPr>
              <w:t>Risk</w:t>
            </w:r>
            <w:r>
              <w:rPr>
                <w:spacing w:val="-5"/>
                <w:sz w:val="9"/>
              </w:rPr>
              <w:t> </w:t>
            </w:r>
            <w:r>
              <w:rPr>
                <w:sz w:val="9"/>
              </w:rPr>
              <w:t>Management</w:t>
            </w:r>
            <w:r>
              <w:rPr>
                <w:spacing w:val="-4"/>
                <w:sz w:val="9"/>
              </w:rPr>
              <w:t> </w:t>
            </w:r>
            <w:r>
              <w:rPr>
                <w:sz w:val="9"/>
              </w:rPr>
              <w:t>Plan</w:t>
            </w:r>
            <w:r>
              <w:rPr>
                <w:spacing w:val="-5"/>
                <w:sz w:val="9"/>
              </w:rPr>
              <w:t> </w:t>
            </w:r>
            <w:r>
              <w:rPr>
                <w:sz w:val="9"/>
              </w:rPr>
              <w:t>for</w:t>
            </w:r>
            <w:r>
              <w:rPr>
                <w:spacing w:val="-5"/>
                <w:sz w:val="9"/>
              </w:rPr>
              <w:t> </w:t>
            </w:r>
            <w:r>
              <w:rPr>
                <w:sz w:val="9"/>
              </w:rPr>
              <w:t>the</w:t>
            </w:r>
            <w:r>
              <w:rPr>
                <w:spacing w:val="-4"/>
                <w:sz w:val="9"/>
              </w:rPr>
              <w:t> </w:t>
            </w:r>
            <w:r>
              <w:rPr>
                <w:sz w:val="9"/>
              </w:rPr>
              <w:t>Leeds</w:t>
            </w:r>
            <w:r>
              <w:rPr>
                <w:spacing w:val="-5"/>
                <w:sz w:val="9"/>
              </w:rPr>
              <w:t> </w:t>
            </w:r>
            <w:r>
              <w:rPr>
                <w:sz w:val="9"/>
              </w:rPr>
              <w:t>Policy</w:t>
            </w:r>
            <w:r>
              <w:rPr>
                <w:spacing w:val="-4"/>
                <w:sz w:val="9"/>
              </w:rPr>
              <w:t> </w:t>
            </w:r>
            <w:r>
              <w:rPr>
                <w:sz w:val="9"/>
              </w:rPr>
              <w:t>Unit</w:t>
            </w:r>
            <w:r>
              <w:rPr>
                <w:spacing w:val="-5"/>
                <w:sz w:val="9"/>
              </w:rPr>
              <w:t> </w:t>
            </w:r>
            <w:r>
              <w:rPr>
                <w:sz w:val="9"/>
              </w:rPr>
              <w:t>-</w:t>
            </w:r>
            <w:r>
              <w:rPr>
                <w:spacing w:val="-4"/>
                <w:sz w:val="9"/>
              </w:rPr>
              <w:t> </w:t>
            </w:r>
            <w:r>
              <w:rPr>
                <w:sz w:val="9"/>
              </w:rPr>
              <w:t>to</w:t>
            </w:r>
            <w:r>
              <w:rPr>
                <w:spacing w:val="-5"/>
                <w:sz w:val="9"/>
              </w:rPr>
              <w:t> </w:t>
            </w:r>
            <w:r>
              <w:rPr>
                <w:sz w:val="9"/>
              </w:rPr>
              <w:t>be</w:t>
            </w:r>
            <w:r>
              <w:rPr>
                <w:spacing w:val="-4"/>
                <w:sz w:val="9"/>
              </w:rPr>
              <w:t> </w:t>
            </w:r>
            <w:r>
              <w:rPr>
                <w:sz w:val="9"/>
              </w:rPr>
              <w:t>progresse by</w:t>
            </w:r>
            <w:r>
              <w:rPr>
                <w:spacing w:val="-1"/>
                <w:sz w:val="9"/>
              </w:rPr>
              <w:t> </w:t>
            </w:r>
            <w:r>
              <w:rPr>
                <w:sz w:val="9"/>
              </w:rPr>
              <w:t>2030.</w:t>
            </w:r>
          </w:p>
        </w:tc>
        <w:tc>
          <w:tcPr>
            <w:tcW w:w="2096" w:type="dxa"/>
            <w:shd w:val="clear" w:color="auto" w:fill="FFFF9A"/>
          </w:tcPr>
          <w:p>
            <w:pPr>
              <w:pStyle w:val="TableParagraph"/>
              <w:spacing w:line="84" w:lineRule="exact"/>
              <w:ind w:left="19"/>
              <w:rPr>
                <w:sz w:val="9"/>
              </w:rPr>
            </w:pPr>
            <w:r>
              <w:rPr>
                <w:sz w:val="9"/>
              </w:rPr>
              <w:t>Helps ensure that areas with proven flood risk are</w:t>
            </w:r>
          </w:p>
          <w:p>
            <w:pPr>
              <w:pStyle w:val="TableParagraph"/>
              <w:spacing w:line="122" w:lineRule="auto" w:before="48"/>
              <w:ind w:left="-25" w:right="6" w:firstLine="43"/>
              <w:rPr>
                <w:sz w:val="9"/>
              </w:rPr>
            </w:pPr>
            <w:r>
              <w:rPr>
                <w:sz w:val="9"/>
              </w:rPr>
              <w:t>provided with an appropriate flood defence scheme d</w:t>
            </w:r>
          </w:p>
          <w:p>
            <w:pPr>
              <w:pStyle w:val="TableParagraph"/>
              <w:spacing w:line="67" w:lineRule="exact"/>
              <w:ind w:left="19"/>
              <w:rPr>
                <w:sz w:val="9"/>
              </w:rPr>
            </w:pPr>
            <w:r>
              <w:rPr>
                <w:sz w:val="9"/>
              </w:rPr>
              <w:t>at the earliest possible opportunity and that the</w:t>
            </w:r>
          </w:p>
          <w:p>
            <w:pPr>
              <w:pStyle w:val="TableParagraph"/>
              <w:spacing w:line="110" w:lineRule="atLeast"/>
              <w:ind w:left="19"/>
              <w:rPr>
                <w:sz w:val="9"/>
              </w:rPr>
            </w:pPr>
            <w:r>
              <w:rPr>
                <w:sz w:val="9"/>
              </w:rPr>
              <w:t>Council supports the EA in developing any flood alleviation scheme in the longer-term</w:t>
            </w:r>
          </w:p>
        </w:tc>
        <w:tc>
          <w:tcPr>
            <w:tcW w:w="822" w:type="dxa"/>
            <w:shd w:val="clear" w:color="auto" w:fill="FFFF9A"/>
          </w:tcPr>
          <w:p>
            <w:pPr>
              <w:pStyle w:val="TableParagraph"/>
              <w:spacing w:before="9"/>
              <w:rPr>
                <w:rFonts w:ascii="Calibri"/>
                <w:sz w:val="11"/>
              </w:rPr>
            </w:pPr>
          </w:p>
          <w:p>
            <w:pPr>
              <w:pStyle w:val="TableParagraph"/>
              <w:spacing w:line="256" w:lineRule="auto"/>
              <w:ind w:left="18" w:right="33"/>
              <w:rPr>
                <w:sz w:val="9"/>
              </w:rPr>
            </w:pPr>
            <w:r>
              <w:rPr>
                <w:w w:val="95"/>
                <w:sz w:val="9"/>
              </w:rPr>
              <w:t>Environment </w:t>
            </w:r>
            <w:r>
              <w:rPr>
                <w:sz w:val="9"/>
              </w:rPr>
              <w:t>Agency</w:t>
            </w:r>
          </w:p>
        </w:tc>
        <w:tc>
          <w:tcPr>
            <w:tcW w:w="1000" w:type="dxa"/>
            <w:shd w:val="clear" w:color="auto" w:fill="FFFF9A"/>
          </w:tcPr>
          <w:p>
            <w:pPr>
              <w:pStyle w:val="TableParagraph"/>
              <w:spacing w:line="256" w:lineRule="auto" w:before="88"/>
              <w:ind w:left="17" w:right="2"/>
              <w:rPr>
                <w:sz w:val="9"/>
              </w:rPr>
            </w:pPr>
            <w:r>
              <w:rPr>
                <w:sz w:val="9"/>
              </w:rPr>
              <w:t>Leeds City Council &amp; Yorkshire Water Services</w:t>
            </w:r>
          </w:p>
        </w:tc>
        <w:tc>
          <w:tcPr>
            <w:tcW w:w="599" w:type="dxa"/>
            <w:shd w:val="clear" w:color="auto" w:fill="FFFF9A"/>
          </w:tcPr>
          <w:p>
            <w:pPr>
              <w:pStyle w:val="TableParagraph"/>
              <w:rPr>
                <w:rFonts w:ascii="Calibri"/>
                <w:sz w:val="10"/>
              </w:rPr>
            </w:pPr>
          </w:p>
          <w:p>
            <w:pPr>
              <w:pStyle w:val="TableParagraph"/>
              <w:spacing w:before="77"/>
              <w:ind w:left="15"/>
              <w:rPr>
                <w:sz w:val="9"/>
              </w:rPr>
            </w:pPr>
            <w:r>
              <w:rPr>
                <w:sz w:val="9"/>
              </w:rPr>
              <w:t>17/10/2018</w:t>
            </w:r>
          </w:p>
        </w:tc>
      </w:tr>
      <w:tr>
        <w:trPr>
          <w:trHeight w:val="197" w:hRule="atLeast"/>
        </w:trPr>
        <w:tc>
          <w:tcPr>
            <w:tcW w:w="271" w:type="dxa"/>
          </w:tcPr>
          <w:p>
            <w:pPr>
              <w:pStyle w:val="TableParagraph"/>
              <w:spacing w:before="29"/>
              <w:ind w:left="16"/>
              <w:rPr>
                <w:sz w:val="10"/>
              </w:rPr>
            </w:pPr>
            <w:r>
              <w:rPr>
                <w:w w:val="105"/>
                <w:sz w:val="10"/>
              </w:rPr>
              <w:t>S33</w:t>
            </w:r>
          </w:p>
        </w:tc>
        <w:tc>
          <w:tcPr>
            <w:tcW w:w="494" w:type="dxa"/>
          </w:tcPr>
          <w:p>
            <w:pPr>
              <w:pStyle w:val="TableParagraph"/>
              <w:rPr>
                <w:rFonts w:ascii="Times New Roman"/>
                <w:sz w:val="8"/>
              </w:rPr>
            </w:pPr>
          </w:p>
        </w:tc>
        <w:tc>
          <w:tcPr>
            <w:tcW w:w="979" w:type="dxa"/>
          </w:tcPr>
          <w:p>
            <w:pPr>
              <w:pStyle w:val="TableParagraph"/>
              <w:spacing w:before="36"/>
              <w:ind w:left="305"/>
              <w:rPr>
                <w:b/>
                <w:sz w:val="9"/>
              </w:rPr>
            </w:pPr>
            <w:r>
              <w:rPr>
                <w:b/>
                <w:sz w:val="9"/>
              </w:rPr>
              <w:t>Ongoing</w:t>
            </w:r>
          </w:p>
        </w:tc>
        <w:tc>
          <w:tcPr>
            <w:tcW w:w="1106" w:type="dxa"/>
          </w:tcPr>
          <w:p>
            <w:pPr>
              <w:pStyle w:val="TableParagraph"/>
              <w:spacing w:before="36"/>
              <w:ind w:left="429" w:right="421"/>
              <w:jc w:val="center"/>
              <w:rPr>
                <w:b/>
                <w:sz w:val="9"/>
              </w:rPr>
            </w:pPr>
            <w:r>
              <w:rPr>
                <w:b/>
                <w:sz w:val="9"/>
              </w:rPr>
              <w:t>NA</w:t>
            </w:r>
          </w:p>
        </w:tc>
        <w:tc>
          <w:tcPr>
            <w:tcW w:w="3040" w:type="dxa"/>
          </w:tcPr>
          <w:p>
            <w:pPr>
              <w:pStyle w:val="TableParagraph"/>
              <w:spacing w:before="36"/>
              <w:ind w:left="17"/>
              <w:rPr>
                <w:sz w:val="9"/>
              </w:rPr>
            </w:pPr>
            <w:r>
              <w:rPr>
                <w:sz w:val="9"/>
              </w:rPr>
              <w:t>Improvements to surface water drainage outfalls</w:t>
            </w:r>
          </w:p>
        </w:tc>
        <w:tc>
          <w:tcPr>
            <w:tcW w:w="530" w:type="dxa"/>
          </w:tcPr>
          <w:p>
            <w:pPr>
              <w:pStyle w:val="TableParagraph"/>
              <w:spacing w:before="36"/>
              <w:ind w:left="18"/>
              <w:rPr>
                <w:sz w:val="9"/>
              </w:rPr>
            </w:pPr>
            <w:r>
              <w:rPr>
                <w:sz w:val="9"/>
              </w:rPr>
              <w:t>NA</w:t>
            </w:r>
          </w:p>
        </w:tc>
        <w:tc>
          <w:tcPr>
            <w:tcW w:w="993" w:type="dxa"/>
          </w:tcPr>
          <w:p>
            <w:pPr>
              <w:pStyle w:val="TableParagraph"/>
              <w:spacing w:before="36"/>
              <w:ind w:left="18"/>
              <w:rPr>
                <w:sz w:val="9"/>
              </w:rPr>
            </w:pPr>
            <w:r>
              <w:rPr>
                <w:sz w:val="9"/>
              </w:rPr>
              <w:t>TBC</w:t>
            </w:r>
          </w:p>
        </w:tc>
        <w:tc>
          <w:tcPr>
            <w:tcW w:w="1243" w:type="dxa"/>
          </w:tcPr>
          <w:p>
            <w:pPr>
              <w:pStyle w:val="TableParagraph"/>
              <w:spacing w:before="36"/>
              <w:ind w:left="19"/>
              <w:rPr>
                <w:sz w:val="9"/>
              </w:rPr>
            </w:pPr>
            <w:r>
              <w:rPr>
                <w:sz w:val="9"/>
              </w:rPr>
              <w:t>City wide</w:t>
            </w:r>
          </w:p>
        </w:tc>
        <w:tc>
          <w:tcPr>
            <w:tcW w:w="1505" w:type="dxa"/>
          </w:tcPr>
          <w:p>
            <w:pPr>
              <w:pStyle w:val="TableParagraph"/>
              <w:spacing w:line="85" w:lineRule="exact"/>
              <w:ind w:left="19"/>
              <w:rPr>
                <w:sz w:val="9"/>
              </w:rPr>
            </w:pPr>
            <w:r>
              <w:rPr>
                <w:sz w:val="9"/>
              </w:rPr>
              <w:t>4. Asset management and</w:t>
            </w:r>
          </w:p>
          <w:p>
            <w:pPr>
              <w:pStyle w:val="TableParagraph"/>
              <w:spacing w:line="85" w:lineRule="exact" w:before="7"/>
              <w:ind w:left="19"/>
              <w:rPr>
                <w:sz w:val="9"/>
              </w:rPr>
            </w:pPr>
            <w:r>
              <w:rPr>
                <w:sz w:val="9"/>
              </w:rPr>
              <w:t>maintenance</w:t>
            </w:r>
          </w:p>
        </w:tc>
        <w:tc>
          <w:tcPr>
            <w:tcW w:w="3768" w:type="dxa"/>
          </w:tcPr>
          <w:p>
            <w:pPr>
              <w:pStyle w:val="TableParagraph"/>
              <w:spacing w:before="36"/>
              <w:ind w:left="19"/>
              <w:rPr>
                <w:sz w:val="9"/>
              </w:rPr>
            </w:pPr>
            <w:r>
              <w:rPr>
                <w:sz w:val="9"/>
              </w:rPr>
              <w:t>6. Improve understanding of local flood risk and seek to decrease local flood risk.</w:t>
            </w:r>
          </w:p>
        </w:tc>
        <w:tc>
          <w:tcPr>
            <w:tcW w:w="4678" w:type="dxa"/>
          </w:tcPr>
          <w:p>
            <w:pPr>
              <w:pStyle w:val="TableParagraph"/>
              <w:spacing w:before="36"/>
              <w:ind w:left="19"/>
              <w:rPr>
                <w:sz w:val="9"/>
              </w:rPr>
            </w:pPr>
            <w:r>
              <w:rPr>
                <w:sz w:val="9"/>
              </w:rPr>
              <w:t>Identify improvments to improve discharge of surface water from flooding hot spots, work programme ongoing</w:t>
            </w:r>
          </w:p>
        </w:tc>
        <w:tc>
          <w:tcPr>
            <w:tcW w:w="2096" w:type="dxa"/>
          </w:tcPr>
          <w:p>
            <w:pPr>
              <w:pStyle w:val="TableParagraph"/>
              <w:spacing w:before="36"/>
              <w:ind w:left="18"/>
              <w:rPr>
                <w:sz w:val="9"/>
              </w:rPr>
            </w:pPr>
            <w:r>
              <w:rPr>
                <w:sz w:val="9"/>
              </w:rPr>
              <w:t>Reduce risk of flooding</w:t>
            </w:r>
          </w:p>
        </w:tc>
        <w:tc>
          <w:tcPr>
            <w:tcW w:w="822" w:type="dxa"/>
          </w:tcPr>
          <w:p>
            <w:pPr>
              <w:pStyle w:val="TableParagraph"/>
              <w:spacing w:line="85"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tcPr>
          <w:p>
            <w:pPr>
              <w:pStyle w:val="TableParagraph"/>
              <w:spacing w:line="85" w:lineRule="exact"/>
              <w:ind w:left="17"/>
              <w:rPr>
                <w:sz w:val="9"/>
              </w:rPr>
            </w:pPr>
            <w:r>
              <w:rPr>
                <w:sz w:val="9"/>
              </w:rPr>
              <w:t>Yorkshire Water</w:t>
            </w:r>
          </w:p>
          <w:p>
            <w:pPr>
              <w:pStyle w:val="TableParagraph"/>
              <w:spacing w:line="85" w:lineRule="exact" w:before="7"/>
              <w:ind w:left="17"/>
              <w:rPr>
                <w:sz w:val="9"/>
              </w:rPr>
            </w:pPr>
            <w:r>
              <w:rPr>
                <w:sz w:val="9"/>
              </w:rPr>
              <w:t>Services</w:t>
            </w:r>
          </w:p>
        </w:tc>
        <w:tc>
          <w:tcPr>
            <w:tcW w:w="599" w:type="dxa"/>
          </w:tcPr>
          <w:p>
            <w:pPr>
              <w:pStyle w:val="TableParagraph"/>
              <w:spacing w:before="36"/>
              <w:ind w:left="15"/>
              <w:rPr>
                <w:sz w:val="9"/>
              </w:rPr>
            </w:pPr>
            <w:r>
              <w:rPr>
                <w:sz w:val="9"/>
              </w:rPr>
              <w:t>17/10/2018</w:t>
            </w:r>
          </w:p>
        </w:tc>
      </w:tr>
      <w:tr>
        <w:trPr>
          <w:trHeight w:val="309" w:hRule="atLeast"/>
        </w:trPr>
        <w:tc>
          <w:tcPr>
            <w:tcW w:w="271" w:type="dxa"/>
          </w:tcPr>
          <w:p>
            <w:pPr>
              <w:pStyle w:val="TableParagraph"/>
              <w:spacing w:before="88"/>
              <w:ind w:left="16"/>
              <w:rPr>
                <w:sz w:val="10"/>
              </w:rPr>
            </w:pPr>
            <w:r>
              <w:rPr>
                <w:w w:val="105"/>
                <w:sz w:val="10"/>
              </w:rPr>
              <w:t>S21</w:t>
            </w:r>
          </w:p>
        </w:tc>
        <w:tc>
          <w:tcPr>
            <w:tcW w:w="494" w:type="dxa"/>
          </w:tcPr>
          <w:p>
            <w:pPr>
              <w:pStyle w:val="TableParagraph"/>
              <w:rPr>
                <w:rFonts w:ascii="Times New Roman"/>
                <w:sz w:val="8"/>
              </w:rPr>
            </w:pPr>
          </w:p>
        </w:tc>
        <w:tc>
          <w:tcPr>
            <w:tcW w:w="979" w:type="dxa"/>
          </w:tcPr>
          <w:p>
            <w:pPr>
              <w:pStyle w:val="TableParagraph"/>
              <w:spacing w:before="7"/>
              <w:rPr>
                <w:rFonts w:ascii="Calibri"/>
                <w:sz w:val="7"/>
              </w:rPr>
            </w:pPr>
          </w:p>
          <w:p>
            <w:pPr>
              <w:pStyle w:val="TableParagraph"/>
              <w:spacing w:before="1"/>
              <w:ind w:left="305"/>
              <w:rPr>
                <w:b/>
                <w:sz w:val="9"/>
              </w:rPr>
            </w:pPr>
            <w:r>
              <w:rPr>
                <w:b/>
                <w:sz w:val="9"/>
              </w:rPr>
              <w:t>Ongoing</w:t>
            </w:r>
          </w:p>
        </w:tc>
        <w:tc>
          <w:tcPr>
            <w:tcW w:w="1106" w:type="dxa"/>
          </w:tcPr>
          <w:p>
            <w:pPr>
              <w:pStyle w:val="TableParagraph"/>
              <w:spacing w:before="7"/>
              <w:rPr>
                <w:rFonts w:ascii="Calibri"/>
                <w:sz w:val="7"/>
              </w:rPr>
            </w:pPr>
          </w:p>
          <w:p>
            <w:pPr>
              <w:pStyle w:val="TableParagraph"/>
              <w:spacing w:before="1"/>
              <w:ind w:left="429" w:right="421"/>
              <w:jc w:val="center"/>
              <w:rPr>
                <w:b/>
                <w:sz w:val="9"/>
              </w:rPr>
            </w:pPr>
            <w:r>
              <w:rPr>
                <w:b/>
                <w:sz w:val="9"/>
              </w:rPr>
              <w:t>NA</w:t>
            </w:r>
          </w:p>
        </w:tc>
        <w:tc>
          <w:tcPr>
            <w:tcW w:w="3040" w:type="dxa"/>
          </w:tcPr>
          <w:p>
            <w:pPr>
              <w:pStyle w:val="TableParagraph"/>
              <w:spacing w:before="7"/>
              <w:rPr>
                <w:rFonts w:ascii="Calibri"/>
                <w:sz w:val="7"/>
              </w:rPr>
            </w:pPr>
          </w:p>
          <w:p>
            <w:pPr>
              <w:pStyle w:val="TableParagraph"/>
              <w:spacing w:before="1"/>
              <w:ind w:left="17"/>
              <w:rPr>
                <w:sz w:val="9"/>
              </w:rPr>
            </w:pPr>
            <w:r>
              <w:rPr>
                <w:sz w:val="9"/>
              </w:rPr>
              <w:t>LCC Significant Maintenance</w:t>
            </w:r>
          </w:p>
        </w:tc>
        <w:tc>
          <w:tcPr>
            <w:tcW w:w="530" w:type="dxa"/>
          </w:tcPr>
          <w:p>
            <w:pPr>
              <w:pStyle w:val="TableParagraph"/>
              <w:spacing w:before="7"/>
              <w:rPr>
                <w:rFonts w:ascii="Calibri"/>
                <w:sz w:val="7"/>
              </w:rPr>
            </w:pPr>
          </w:p>
          <w:p>
            <w:pPr>
              <w:pStyle w:val="TableParagraph"/>
              <w:spacing w:before="1"/>
              <w:ind w:left="18"/>
              <w:rPr>
                <w:sz w:val="9"/>
              </w:rPr>
            </w:pPr>
            <w:r>
              <w:rPr>
                <w:sz w:val="9"/>
              </w:rPr>
              <w:t>NA</w:t>
            </w:r>
          </w:p>
        </w:tc>
        <w:tc>
          <w:tcPr>
            <w:tcW w:w="993" w:type="dxa"/>
          </w:tcPr>
          <w:p>
            <w:pPr>
              <w:pStyle w:val="TableParagraph"/>
              <w:spacing w:before="7"/>
              <w:rPr>
                <w:rFonts w:ascii="Calibri"/>
                <w:sz w:val="7"/>
              </w:rPr>
            </w:pPr>
          </w:p>
          <w:p>
            <w:pPr>
              <w:pStyle w:val="TableParagraph"/>
              <w:spacing w:before="1"/>
              <w:ind w:left="18"/>
              <w:rPr>
                <w:sz w:val="9"/>
              </w:rPr>
            </w:pPr>
            <w:r>
              <w:rPr>
                <w:sz w:val="9"/>
              </w:rPr>
              <w:t>TBC</w:t>
            </w:r>
          </w:p>
        </w:tc>
        <w:tc>
          <w:tcPr>
            <w:tcW w:w="1243" w:type="dxa"/>
          </w:tcPr>
          <w:p>
            <w:pPr>
              <w:pStyle w:val="TableParagraph"/>
              <w:spacing w:before="7"/>
              <w:rPr>
                <w:rFonts w:ascii="Calibri"/>
                <w:sz w:val="7"/>
              </w:rPr>
            </w:pPr>
          </w:p>
          <w:p>
            <w:pPr>
              <w:pStyle w:val="TableParagraph"/>
              <w:spacing w:before="1"/>
              <w:ind w:left="19"/>
              <w:rPr>
                <w:sz w:val="9"/>
              </w:rPr>
            </w:pPr>
            <w:r>
              <w:rPr>
                <w:sz w:val="9"/>
              </w:rPr>
              <w:t>Across the District</w:t>
            </w:r>
          </w:p>
        </w:tc>
        <w:tc>
          <w:tcPr>
            <w:tcW w:w="1505" w:type="dxa"/>
          </w:tcPr>
          <w:p>
            <w:pPr>
              <w:pStyle w:val="TableParagraph"/>
              <w:spacing w:line="256" w:lineRule="auto" w:before="38"/>
              <w:ind w:left="19"/>
              <w:rPr>
                <w:sz w:val="9"/>
              </w:rPr>
            </w:pPr>
            <w:r>
              <w:rPr>
                <w:sz w:val="9"/>
              </w:rPr>
              <w:t>4. Asset management and maintenance</w:t>
            </w:r>
          </w:p>
        </w:tc>
        <w:tc>
          <w:tcPr>
            <w:tcW w:w="3768" w:type="dxa"/>
          </w:tcPr>
          <w:p>
            <w:pPr>
              <w:pStyle w:val="TableParagraph"/>
              <w:spacing w:before="7"/>
              <w:rPr>
                <w:rFonts w:ascii="Calibri"/>
                <w:sz w:val="7"/>
              </w:rPr>
            </w:pPr>
          </w:p>
          <w:p>
            <w:pPr>
              <w:pStyle w:val="TableParagraph"/>
              <w:spacing w:before="1"/>
              <w:ind w:left="19"/>
              <w:rPr>
                <w:sz w:val="9"/>
              </w:rPr>
            </w:pPr>
            <w:r>
              <w:rPr>
                <w:sz w:val="9"/>
              </w:rPr>
              <w:t>6. Improve understanding of local flood risk and seek to decrease local flood risk.</w:t>
            </w:r>
          </w:p>
        </w:tc>
        <w:tc>
          <w:tcPr>
            <w:tcW w:w="4678" w:type="dxa"/>
          </w:tcPr>
          <w:p>
            <w:pPr>
              <w:pStyle w:val="TableParagraph"/>
              <w:spacing w:before="7"/>
              <w:rPr>
                <w:rFonts w:ascii="Calibri"/>
                <w:sz w:val="7"/>
              </w:rPr>
            </w:pPr>
          </w:p>
          <w:p>
            <w:pPr>
              <w:pStyle w:val="TableParagraph"/>
              <w:spacing w:before="1"/>
              <w:ind w:left="19"/>
              <w:rPr>
                <w:sz w:val="9"/>
              </w:rPr>
            </w:pPr>
            <w:r>
              <w:rPr>
                <w:sz w:val="9"/>
              </w:rPr>
              <w:t>Continuation of regular maintenance of Watercourses and Hot-Spots</w:t>
            </w:r>
          </w:p>
        </w:tc>
        <w:tc>
          <w:tcPr>
            <w:tcW w:w="2096" w:type="dxa"/>
          </w:tcPr>
          <w:p>
            <w:pPr>
              <w:pStyle w:val="TableParagraph"/>
              <w:spacing w:before="7"/>
              <w:rPr>
                <w:rFonts w:ascii="Calibri"/>
                <w:sz w:val="7"/>
              </w:rPr>
            </w:pPr>
          </w:p>
          <w:p>
            <w:pPr>
              <w:pStyle w:val="TableParagraph"/>
              <w:spacing w:before="1"/>
              <w:ind w:left="19"/>
              <w:rPr>
                <w:sz w:val="9"/>
              </w:rPr>
            </w:pPr>
            <w:r>
              <w:rPr>
                <w:sz w:val="9"/>
              </w:rPr>
              <w:t>Reduced risk of flooding</w:t>
            </w:r>
          </w:p>
        </w:tc>
        <w:tc>
          <w:tcPr>
            <w:tcW w:w="822" w:type="dxa"/>
          </w:tcPr>
          <w:p>
            <w:pPr>
              <w:pStyle w:val="TableParagraph"/>
              <w:spacing w:line="256" w:lineRule="auto" w:before="38"/>
              <w:ind w:left="18"/>
              <w:rPr>
                <w:sz w:val="9"/>
              </w:rPr>
            </w:pPr>
            <w:r>
              <w:rPr>
                <w:sz w:val="9"/>
              </w:rPr>
              <w:t>LCC Flood Risk Management</w:t>
            </w:r>
          </w:p>
        </w:tc>
        <w:tc>
          <w:tcPr>
            <w:tcW w:w="1000" w:type="dxa"/>
          </w:tcPr>
          <w:p>
            <w:pPr>
              <w:pStyle w:val="TableParagraph"/>
              <w:spacing w:line="89" w:lineRule="exact"/>
              <w:ind w:left="17"/>
              <w:rPr>
                <w:sz w:val="9"/>
              </w:rPr>
            </w:pPr>
            <w:r>
              <w:rPr>
                <w:sz w:val="9"/>
              </w:rPr>
              <w:t>Yorkshire Water</w:t>
            </w:r>
          </w:p>
          <w:p>
            <w:pPr>
              <w:pStyle w:val="TableParagraph"/>
              <w:spacing w:line="110" w:lineRule="atLeast"/>
              <w:ind w:left="17" w:right="-7" w:hanging="1"/>
              <w:rPr>
                <w:sz w:val="9"/>
              </w:rPr>
            </w:pPr>
            <w:r>
              <w:rPr>
                <w:sz w:val="9"/>
              </w:rPr>
              <w:t>Services &amp; Environment Agency</w:t>
            </w:r>
          </w:p>
        </w:tc>
        <w:tc>
          <w:tcPr>
            <w:tcW w:w="599" w:type="dxa"/>
          </w:tcPr>
          <w:p>
            <w:pPr>
              <w:pStyle w:val="TableParagraph"/>
              <w:spacing w:before="7"/>
              <w:rPr>
                <w:rFonts w:ascii="Calibri"/>
                <w:sz w:val="7"/>
              </w:rPr>
            </w:pPr>
          </w:p>
          <w:p>
            <w:pPr>
              <w:pStyle w:val="TableParagraph"/>
              <w:spacing w:before="1"/>
              <w:ind w:left="15"/>
              <w:rPr>
                <w:sz w:val="9"/>
              </w:rPr>
            </w:pPr>
            <w:r>
              <w:rPr>
                <w:sz w:val="9"/>
              </w:rPr>
              <w:t>17/10/2018</w:t>
            </w:r>
          </w:p>
        </w:tc>
      </w:tr>
    </w:tbl>
    <w:p>
      <w:pPr>
        <w:pStyle w:val="BodyText"/>
        <w:rPr>
          <w:rFonts w:ascii="Calibri"/>
          <w:sz w:val="20"/>
        </w:rPr>
      </w:pPr>
      <w:r>
        <w:rPr/>
        <w:drawing>
          <wp:anchor distT="0" distB="0" distL="0" distR="0" allowOverlap="1" layoutInCell="1" locked="0" behindDoc="1" simplePos="0" relativeHeight="268036823">
            <wp:simplePos x="0" y="0"/>
            <wp:positionH relativeFrom="page">
              <wp:posOffset>703682</wp:posOffset>
            </wp:positionH>
            <wp:positionV relativeFrom="page">
              <wp:posOffset>4506478</wp:posOffset>
            </wp:positionV>
            <wp:extent cx="14189589" cy="338137"/>
            <wp:effectExtent l="0" t="0" r="0" b="0"/>
            <wp:wrapNone/>
            <wp:docPr id="67" name="image47.png" descr=""/>
            <wp:cNvGraphicFramePr>
              <a:graphicFrameLocks noChangeAspect="1"/>
            </wp:cNvGraphicFramePr>
            <a:graphic>
              <a:graphicData uri="http://schemas.openxmlformats.org/drawingml/2006/picture">
                <pic:pic>
                  <pic:nvPicPr>
                    <pic:cNvPr id="68" name="image47.png"/>
                    <pic:cNvPicPr/>
                  </pic:nvPicPr>
                  <pic:blipFill>
                    <a:blip r:embed="rId90" cstate="print"/>
                    <a:stretch>
                      <a:fillRect/>
                    </a:stretch>
                  </pic:blipFill>
                  <pic:spPr>
                    <a:xfrm>
                      <a:off x="0" y="0"/>
                      <a:ext cx="14189589" cy="338137"/>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0"/>
        </w:rPr>
      </w:pPr>
    </w:p>
    <w:p>
      <w:pPr>
        <w:pStyle w:val="BodyText"/>
        <w:spacing w:before="4"/>
        <w:rPr>
          <w:rFonts w:ascii="Calibri"/>
          <w:sz w:val="8"/>
        </w:rPr>
      </w:pPr>
    </w:p>
    <w:p>
      <w:pPr>
        <w:tabs>
          <w:tab w:pos="22264" w:val="left" w:leader="none"/>
        </w:tabs>
        <w:spacing w:before="0"/>
        <w:ind w:left="11060" w:right="0" w:firstLine="0"/>
        <w:jc w:val="left"/>
        <w:rPr>
          <w:sz w:val="7"/>
        </w:rPr>
      </w:pPr>
      <w:r>
        <w:rPr>
          <w:w w:val="105"/>
          <w:sz w:val="7"/>
        </w:rPr>
        <w:t>Appendix C - List of</w:t>
      </w:r>
      <w:r>
        <w:rPr>
          <w:spacing w:val="6"/>
          <w:w w:val="105"/>
          <w:sz w:val="7"/>
        </w:rPr>
        <w:t> </w:t>
      </w:r>
      <w:r>
        <w:rPr>
          <w:w w:val="105"/>
          <w:sz w:val="7"/>
        </w:rPr>
        <w:t>Measures</w:t>
      </w:r>
      <w:r>
        <w:rPr>
          <w:spacing w:val="1"/>
          <w:w w:val="105"/>
          <w:sz w:val="7"/>
        </w:rPr>
        <w:t> </w:t>
      </w:r>
      <w:r>
        <w:rPr>
          <w:w w:val="105"/>
          <w:sz w:val="7"/>
        </w:rPr>
        <w:t>v2.xlsx</w:t>
      </w:r>
      <w:r>
        <w:rPr>
          <w:rFonts w:ascii="Times New Roman"/>
          <w:w w:val="105"/>
          <w:sz w:val="7"/>
        </w:rPr>
        <w:tab/>
      </w:r>
      <w:r>
        <w:rPr>
          <w:w w:val="105"/>
          <w:sz w:val="7"/>
        </w:rPr>
        <w:t>Page 1</w:t>
      </w:r>
    </w:p>
    <w:p>
      <w:pPr>
        <w:spacing w:after="0"/>
        <w:jc w:val="left"/>
        <w:rPr>
          <w:sz w:val="7"/>
        </w:rPr>
        <w:sectPr>
          <w:footerReference w:type="default" r:id="rId89"/>
          <w:pgSz w:w="23820" w:h="16840" w:orient="landscape"/>
          <w:pgMar w:footer="0" w:header="0" w:top="800" w:bottom="280" w:left="240" w:right="24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
        <w:gridCol w:w="494"/>
        <w:gridCol w:w="979"/>
        <w:gridCol w:w="1106"/>
        <w:gridCol w:w="3040"/>
        <w:gridCol w:w="530"/>
        <w:gridCol w:w="993"/>
        <w:gridCol w:w="1243"/>
        <w:gridCol w:w="1505"/>
        <w:gridCol w:w="3768"/>
        <w:gridCol w:w="4678"/>
        <w:gridCol w:w="2096"/>
        <w:gridCol w:w="822"/>
        <w:gridCol w:w="1000"/>
        <w:gridCol w:w="599"/>
      </w:tblGrid>
      <w:tr>
        <w:trPr>
          <w:trHeight w:val="112" w:hRule="atLeast"/>
        </w:trPr>
        <w:tc>
          <w:tcPr>
            <w:tcW w:w="23124" w:type="dxa"/>
            <w:gridSpan w:val="15"/>
            <w:tcBorders>
              <w:right w:val="nil"/>
            </w:tcBorders>
            <w:shd w:val="clear" w:color="auto" w:fill="F9423A"/>
          </w:tcPr>
          <w:p>
            <w:pPr>
              <w:pStyle w:val="TableParagraph"/>
              <w:spacing w:line="92" w:lineRule="exact"/>
              <w:ind w:left="16"/>
              <w:rPr>
                <w:sz w:val="10"/>
              </w:rPr>
            </w:pPr>
            <w:r>
              <w:rPr>
                <w:color w:val="FFFFFF"/>
                <w:w w:val="105"/>
                <w:sz w:val="10"/>
              </w:rPr>
              <w:t>COMPLETED SCHEMES AND FEASIBILITY STUDIES SINCE 2011</w:t>
            </w:r>
          </w:p>
        </w:tc>
      </w:tr>
      <w:tr>
        <w:trPr>
          <w:trHeight w:val="201" w:hRule="atLeast"/>
        </w:trPr>
        <w:tc>
          <w:tcPr>
            <w:tcW w:w="271" w:type="dxa"/>
          </w:tcPr>
          <w:p>
            <w:pPr>
              <w:pStyle w:val="TableParagraph"/>
              <w:spacing w:before="33"/>
              <w:ind w:left="16"/>
              <w:rPr>
                <w:sz w:val="10"/>
              </w:rPr>
            </w:pPr>
            <w:r>
              <w:rPr>
                <w:w w:val="105"/>
                <w:sz w:val="10"/>
              </w:rPr>
              <w:t>S22</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2011</w:t>
            </w:r>
          </w:p>
        </w:tc>
        <w:tc>
          <w:tcPr>
            <w:tcW w:w="3040" w:type="dxa"/>
            <w:shd w:val="clear" w:color="auto" w:fill="D9D9D9"/>
          </w:tcPr>
          <w:p>
            <w:pPr>
              <w:pStyle w:val="TableParagraph"/>
              <w:spacing w:line="89" w:lineRule="exact"/>
              <w:ind w:left="17"/>
              <w:rPr>
                <w:sz w:val="9"/>
              </w:rPr>
            </w:pPr>
            <w:r>
              <w:rPr>
                <w:sz w:val="9"/>
              </w:rPr>
              <w:t>Flood Alleviation Scheme - Leeds Road (Allerton Bywater) pumping station</w:t>
            </w:r>
          </w:p>
          <w:p>
            <w:pPr>
              <w:pStyle w:val="TableParagraph"/>
              <w:spacing w:line="85" w:lineRule="exact" w:before="7"/>
              <w:ind w:left="17"/>
              <w:rPr>
                <w:sz w:val="9"/>
              </w:rPr>
            </w:pPr>
            <w:r>
              <w:rPr>
                <w:sz w:val="9"/>
              </w:rPr>
              <w:t>(local levy</w:t>
            </w:r>
          </w:p>
        </w:tc>
        <w:tc>
          <w:tcPr>
            <w:tcW w:w="530" w:type="dxa"/>
            <w:shd w:val="clear" w:color="auto" w:fill="D9D9D9"/>
          </w:tcPr>
          <w:p>
            <w:pPr>
              <w:pStyle w:val="TableParagraph"/>
              <w:spacing w:before="40"/>
              <w:ind w:left="18"/>
              <w:rPr>
                <w:sz w:val="9"/>
              </w:rPr>
            </w:pPr>
            <w:r>
              <w:rPr>
                <w:sz w:val="9"/>
              </w:rPr>
              <w:t>NA</w:t>
            </w:r>
          </w:p>
        </w:tc>
        <w:tc>
          <w:tcPr>
            <w:tcW w:w="993" w:type="dxa"/>
            <w:shd w:val="clear" w:color="auto" w:fill="D9D9D9"/>
          </w:tcPr>
          <w:p>
            <w:pPr>
              <w:pStyle w:val="TableParagraph"/>
              <w:spacing w:before="40"/>
              <w:ind w:left="18"/>
              <w:rPr>
                <w:sz w:val="9"/>
              </w:rPr>
            </w:pPr>
            <w:r>
              <w:rPr>
                <w:sz w:val="9"/>
              </w:rPr>
              <w:t>£34k</w:t>
            </w:r>
          </w:p>
        </w:tc>
        <w:tc>
          <w:tcPr>
            <w:tcW w:w="1243" w:type="dxa"/>
            <w:shd w:val="clear" w:color="auto" w:fill="D9D9D9"/>
          </w:tcPr>
          <w:p>
            <w:pPr>
              <w:pStyle w:val="TableParagraph"/>
              <w:spacing w:before="40"/>
              <w:ind w:left="19"/>
              <w:rPr>
                <w:sz w:val="9"/>
              </w:rPr>
            </w:pPr>
            <w:r>
              <w:rPr>
                <w:sz w:val="9"/>
              </w:rPr>
              <w:t>Allerton Bywater</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Reduce risk of flooding</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S23</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2011</w:t>
            </w:r>
          </w:p>
        </w:tc>
        <w:tc>
          <w:tcPr>
            <w:tcW w:w="3040" w:type="dxa"/>
            <w:shd w:val="clear" w:color="auto" w:fill="D9D9D9"/>
          </w:tcPr>
          <w:p>
            <w:pPr>
              <w:pStyle w:val="TableParagraph"/>
              <w:spacing w:before="40"/>
              <w:ind w:left="17"/>
              <w:rPr>
                <w:sz w:val="9"/>
              </w:rPr>
            </w:pPr>
            <w:r>
              <w:rPr>
                <w:sz w:val="9"/>
              </w:rPr>
              <w:t>Newton Road property protection and resilience scheme</w:t>
            </w:r>
          </w:p>
        </w:tc>
        <w:tc>
          <w:tcPr>
            <w:tcW w:w="530" w:type="dxa"/>
            <w:shd w:val="clear" w:color="auto" w:fill="D9D9D9"/>
          </w:tcPr>
          <w:p>
            <w:pPr>
              <w:pStyle w:val="TableParagraph"/>
              <w:spacing w:before="40"/>
              <w:ind w:left="17"/>
              <w:rPr>
                <w:sz w:val="9"/>
              </w:rPr>
            </w:pPr>
            <w:r>
              <w:rPr>
                <w:sz w:val="9"/>
              </w:rPr>
              <w:t>NA</w:t>
            </w:r>
          </w:p>
        </w:tc>
        <w:tc>
          <w:tcPr>
            <w:tcW w:w="993" w:type="dxa"/>
            <w:shd w:val="clear" w:color="auto" w:fill="D9D9D9"/>
          </w:tcPr>
          <w:p>
            <w:pPr>
              <w:pStyle w:val="TableParagraph"/>
              <w:spacing w:before="40"/>
              <w:ind w:left="18"/>
              <w:rPr>
                <w:sz w:val="9"/>
              </w:rPr>
            </w:pPr>
            <w:r>
              <w:rPr>
                <w:sz w:val="9"/>
              </w:rPr>
              <w:t>£88k (estimated)</w:t>
            </w:r>
          </w:p>
        </w:tc>
        <w:tc>
          <w:tcPr>
            <w:tcW w:w="1243" w:type="dxa"/>
            <w:shd w:val="clear" w:color="auto" w:fill="D9D9D9"/>
          </w:tcPr>
          <w:p>
            <w:pPr>
              <w:pStyle w:val="TableParagraph"/>
              <w:spacing w:before="40"/>
              <w:ind w:left="18"/>
              <w:rPr>
                <w:sz w:val="9"/>
              </w:rPr>
            </w:pPr>
            <w:r>
              <w:rPr>
                <w:sz w:val="9"/>
              </w:rPr>
              <w:t>Newton Road, Potternewton</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Improve</w:t>
            </w:r>
            <w:r>
              <w:rPr>
                <w:spacing w:val="-7"/>
                <w:sz w:val="9"/>
              </w:rPr>
              <w:t> </w:t>
            </w:r>
            <w:r>
              <w:rPr>
                <w:sz w:val="9"/>
              </w:rPr>
              <w:t>flood</w:t>
            </w:r>
            <w:r>
              <w:rPr>
                <w:spacing w:val="-6"/>
                <w:sz w:val="9"/>
              </w:rPr>
              <w:t> </w:t>
            </w:r>
            <w:r>
              <w:rPr>
                <w:sz w:val="9"/>
              </w:rPr>
              <w:t>resistance</w:t>
            </w:r>
            <w:r>
              <w:rPr>
                <w:spacing w:val="-6"/>
                <w:sz w:val="9"/>
              </w:rPr>
              <w:t> </w:t>
            </w:r>
            <w:r>
              <w:rPr>
                <w:sz w:val="9"/>
              </w:rPr>
              <w:t>and</w:t>
            </w:r>
            <w:r>
              <w:rPr>
                <w:spacing w:val="-6"/>
                <w:sz w:val="9"/>
              </w:rPr>
              <w:t> </w:t>
            </w:r>
            <w:r>
              <w:rPr>
                <w:sz w:val="9"/>
              </w:rPr>
              <w:t>resilience</w:t>
            </w:r>
            <w:r>
              <w:rPr>
                <w:spacing w:val="-6"/>
                <w:sz w:val="9"/>
              </w:rPr>
              <w:t> </w:t>
            </w:r>
            <w:r>
              <w:rPr>
                <w:sz w:val="9"/>
              </w:rPr>
              <w:t>of</w:t>
            </w:r>
            <w:r>
              <w:rPr>
                <w:spacing w:val="-6"/>
                <w:sz w:val="9"/>
              </w:rPr>
              <w:t> </w:t>
            </w:r>
            <w:r>
              <w:rPr>
                <w:sz w:val="9"/>
              </w:rPr>
              <w:t>properties</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S24</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2011</w:t>
            </w:r>
          </w:p>
        </w:tc>
        <w:tc>
          <w:tcPr>
            <w:tcW w:w="3040" w:type="dxa"/>
            <w:shd w:val="clear" w:color="auto" w:fill="D9D9D9"/>
          </w:tcPr>
          <w:p>
            <w:pPr>
              <w:pStyle w:val="TableParagraph"/>
              <w:spacing w:before="40"/>
              <w:ind w:left="17"/>
              <w:rPr>
                <w:sz w:val="9"/>
              </w:rPr>
            </w:pPr>
            <w:r>
              <w:rPr>
                <w:sz w:val="9"/>
              </w:rPr>
              <w:t>Lower Wortley - property protection and resilience scheme</w:t>
            </w:r>
          </w:p>
        </w:tc>
        <w:tc>
          <w:tcPr>
            <w:tcW w:w="530" w:type="dxa"/>
            <w:shd w:val="clear" w:color="auto" w:fill="D9D9D9"/>
          </w:tcPr>
          <w:p>
            <w:pPr>
              <w:pStyle w:val="TableParagraph"/>
              <w:spacing w:before="40"/>
              <w:ind w:left="18"/>
              <w:rPr>
                <w:sz w:val="9"/>
              </w:rPr>
            </w:pPr>
            <w:r>
              <w:rPr>
                <w:sz w:val="9"/>
              </w:rPr>
              <w:t>NA</w:t>
            </w:r>
          </w:p>
        </w:tc>
        <w:tc>
          <w:tcPr>
            <w:tcW w:w="993" w:type="dxa"/>
            <w:shd w:val="clear" w:color="auto" w:fill="D9D9D9"/>
          </w:tcPr>
          <w:p>
            <w:pPr>
              <w:pStyle w:val="TableParagraph"/>
              <w:spacing w:before="40"/>
              <w:ind w:left="18"/>
              <w:rPr>
                <w:sz w:val="9"/>
              </w:rPr>
            </w:pPr>
            <w:r>
              <w:rPr>
                <w:sz w:val="9"/>
              </w:rPr>
              <w:t>£47k (estimated)</w:t>
            </w:r>
          </w:p>
        </w:tc>
        <w:tc>
          <w:tcPr>
            <w:tcW w:w="1243" w:type="dxa"/>
            <w:shd w:val="clear" w:color="auto" w:fill="D9D9D9"/>
          </w:tcPr>
          <w:p>
            <w:pPr>
              <w:pStyle w:val="TableParagraph"/>
              <w:spacing w:before="40"/>
              <w:ind w:left="19"/>
              <w:rPr>
                <w:sz w:val="9"/>
              </w:rPr>
            </w:pPr>
            <w:r>
              <w:rPr>
                <w:sz w:val="9"/>
              </w:rPr>
              <w:t>Lower Wortley</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Improve</w:t>
            </w:r>
            <w:r>
              <w:rPr>
                <w:spacing w:val="-7"/>
                <w:sz w:val="9"/>
              </w:rPr>
              <w:t> </w:t>
            </w:r>
            <w:r>
              <w:rPr>
                <w:sz w:val="9"/>
              </w:rPr>
              <w:t>flood</w:t>
            </w:r>
            <w:r>
              <w:rPr>
                <w:spacing w:val="-6"/>
                <w:sz w:val="9"/>
              </w:rPr>
              <w:t> </w:t>
            </w:r>
            <w:r>
              <w:rPr>
                <w:sz w:val="9"/>
              </w:rPr>
              <w:t>resistance</w:t>
            </w:r>
            <w:r>
              <w:rPr>
                <w:spacing w:val="-6"/>
                <w:sz w:val="9"/>
              </w:rPr>
              <w:t> </w:t>
            </w:r>
            <w:r>
              <w:rPr>
                <w:sz w:val="9"/>
              </w:rPr>
              <w:t>and</w:t>
            </w:r>
            <w:r>
              <w:rPr>
                <w:spacing w:val="-6"/>
                <w:sz w:val="9"/>
              </w:rPr>
              <w:t> </w:t>
            </w:r>
            <w:r>
              <w:rPr>
                <w:sz w:val="9"/>
              </w:rPr>
              <w:t>resilience</w:t>
            </w:r>
            <w:r>
              <w:rPr>
                <w:spacing w:val="-6"/>
                <w:sz w:val="9"/>
              </w:rPr>
              <w:t> </w:t>
            </w:r>
            <w:r>
              <w:rPr>
                <w:sz w:val="9"/>
              </w:rPr>
              <w:t>of</w:t>
            </w:r>
            <w:r>
              <w:rPr>
                <w:spacing w:val="-6"/>
                <w:sz w:val="9"/>
              </w:rPr>
              <w:t> </w:t>
            </w:r>
            <w:r>
              <w:rPr>
                <w:sz w:val="9"/>
              </w:rPr>
              <w:t>properties</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S25</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2011</w:t>
            </w:r>
          </w:p>
        </w:tc>
        <w:tc>
          <w:tcPr>
            <w:tcW w:w="3040" w:type="dxa"/>
            <w:shd w:val="clear" w:color="auto" w:fill="D9D9D9"/>
          </w:tcPr>
          <w:p>
            <w:pPr>
              <w:pStyle w:val="TableParagraph"/>
              <w:spacing w:before="40"/>
              <w:ind w:left="17"/>
              <w:rPr>
                <w:sz w:val="9"/>
              </w:rPr>
            </w:pPr>
            <w:r>
              <w:rPr>
                <w:sz w:val="9"/>
              </w:rPr>
              <w:t>Church Lane, Bardsey - property protection and resilience scheme</w:t>
            </w:r>
          </w:p>
        </w:tc>
        <w:tc>
          <w:tcPr>
            <w:tcW w:w="530" w:type="dxa"/>
            <w:shd w:val="clear" w:color="auto" w:fill="D9D9D9"/>
          </w:tcPr>
          <w:p>
            <w:pPr>
              <w:pStyle w:val="TableParagraph"/>
              <w:spacing w:before="40"/>
              <w:ind w:left="17"/>
              <w:rPr>
                <w:sz w:val="9"/>
              </w:rPr>
            </w:pPr>
            <w:r>
              <w:rPr>
                <w:sz w:val="9"/>
              </w:rPr>
              <w:t>NA</w:t>
            </w:r>
          </w:p>
        </w:tc>
        <w:tc>
          <w:tcPr>
            <w:tcW w:w="993" w:type="dxa"/>
            <w:shd w:val="clear" w:color="auto" w:fill="D9D9D9"/>
          </w:tcPr>
          <w:p>
            <w:pPr>
              <w:pStyle w:val="TableParagraph"/>
              <w:spacing w:before="40"/>
              <w:ind w:left="18"/>
              <w:rPr>
                <w:sz w:val="9"/>
              </w:rPr>
            </w:pPr>
            <w:r>
              <w:rPr>
                <w:sz w:val="9"/>
              </w:rPr>
              <w:t>£10k (estimated)</w:t>
            </w:r>
          </w:p>
        </w:tc>
        <w:tc>
          <w:tcPr>
            <w:tcW w:w="1243" w:type="dxa"/>
            <w:shd w:val="clear" w:color="auto" w:fill="D9D9D9"/>
          </w:tcPr>
          <w:p>
            <w:pPr>
              <w:pStyle w:val="TableParagraph"/>
              <w:spacing w:before="40"/>
              <w:ind w:left="18"/>
              <w:rPr>
                <w:sz w:val="9"/>
              </w:rPr>
            </w:pPr>
            <w:r>
              <w:rPr>
                <w:sz w:val="9"/>
              </w:rPr>
              <w:t>Bardsey</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Improve</w:t>
            </w:r>
            <w:r>
              <w:rPr>
                <w:spacing w:val="-7"/>
                <w:sz w:val="9"/>
              </w:rPr>
              <w:t> </w:t>
            </w:r>
            <w:r>
              <w:rPr>
                <w:sz w:val="9"/>
              </w:rPr>
              <w:t>flood</w:t>
            </w:r>
            <w:r>
              <w:rPr>
                <w:spacing w:val="-6"/>
                <w:sz w:val="9"/>
              </w:rPr>
              <w:t> </w:t>
            </w:r>
            <w:r>
              <w:rPr>
                <w:sz w:val="9"/>
              </w:rPr>
              <w:t>resistance</w:t>
            </w:r>
            <w:r>
              <w:rPr>
                <w:spacing w:val="-6"/>
                <w:sz w:val="9"/>
              </w:rPr>
              <w:t> </w:t>
            </w:r>
            <w:r>
              <w:rPr>
                <w:sz w:val="9"/>
              </w:rPr>
              <w:t>and</w:t>
            </w:r>
            <w:r>
              <w:rPr>
                <w:spacing w:val="-6"/>
                <w:sz w:val="9"/>
              </w:rPr>
              <w:t> </w:t>
            </w:r>
            <w:r>
              <w:rPr>
                <w:sz w:val="9"/>
              </w:rPr>
              <w:t>resilience</w:t>
            </w:r>
            <w:r>
              <w:rPr>
                <w:spacing w:val="-6"/>
                <w:sz w:val="9"/>
              </w:rPr>
              <w:t> </w:t>
            </w:r>
            <w:r>
              <w:rPr>
                <w:sz w:val="9"/>
              </w:rPr>
              <w:t>of</w:t>
            </w:r>
            <w:r>
              <w:rPr>
                <w:spacing w:val="-6"/>
                <w:sz w:val="9"/>
              </w:rPr>
              <w:t> </w:t>
            </w:r>
            <w:r>
              <w:rPr>
                <w:sz w:val="9"/>
              </w:rPr>
              <w:t>properties</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S26</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2011</w:t>
            </w:r>
          </w:p>
        </w:tc>
        <w:tc>
          <w:tcPr>
            <w:tcW w:w="3040" w:type="dxa"/>
            <w:shd w:val="clear" w:color="auto" w:fill="D9D9D9"/>
          </w:tcPr>
          <w:p>
            <w:pPr>
              <w:pStyle w:val="TableParagraph"/>
              <w:spacing w:before="40"/>
              <w:ind w:left="17"/>
              <w:rPr>
                <w:sz w:val="9"/>
              </w:rPr>
            </w:pPr>
            <w:r>
              <w:rPr>
                <w:sz w:val="9"/>
              </w:rPr>
              <w:t>Dean Park Drive, Drighlington - property protection and resilience scheme</w:t>
            </w:r>
          </w:p>
        </w:tc>
        <w:tc>
          <w:tcPr>
            <w:tcW w:w="530" w:type="dxa"/>
            <w:shd w:val="clear" w:color="auto" w:fill="D9D9D9"/>
          </w:tcPr>
          <w:p>
            <w:pPr>
              <w:pStyle w:val="TableParagraph"/>
              <w:spacing w:before="40"/>
              <w:ind w:left="17"/>
              <w:rPr>
                <w:sz w:val="9"/>
              </w:rPr>
            </w:pPr>
            <w:r>
              <w:rPr>
                <w:sz w:val="9"/>
              </w:rPr>
              <w:t>NA</w:t>
            </w:r>
          </w:p>
        </w:tc>
        <w:tc>
          <w:tcPr>
            <w:tcW w:w="993" w:type="dxa"/>
            <w:shd w:val="clear" w:color="auto" w:fill="D9D9D9"/>
          </w:tcPr>
          <w:p>
            <w:pPr>
              <w:pStyle w:val="TableParagraph"/>
              <w:spacing w:before="40"/>
              <w:ind w:left="17"/>
              <w:rPr>
                <w:sz w:val="9"/>
              </w:rPr>
            </w:pPr>
            <w:r>
              <w:rPr>
                <w:sz w:val="9"/>
              </w:rPr>
              <w:t>£25k (estimated)</w:t>
            </w:r>
          </w:p>
        </w:tc>
        <w:tc>
          <w:tcPr>
            <w:tcW w:w="1243" w:type="dxa"/>
            <w:shd w:val="clear" w:color="auto" w:fill="D9D9D9"/>
          </w:tcPr>
          <w:p>
            <w:pPr>
              <w:pStyle w:val="TableParagraph"/>
              <w:spacing w:before="40"/>
              <w:ind w:left="18"/>
              <w:rPr>
                <w:sz w:val="9"/>
              </w:rPr>
            </w:pPr>
            <w:r>
              <w:rPr>
                <w:sz w:val="9"/>
              </w:rPr>
              <w:t>Drighlington</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Improve</w:t>
            </w:r>
            <w:r>
              <w:rPr>
                <w:spacing w:val="-7"/>
                <w:sz w:val="9"/>
              </w:rPr>
              <w:t> </w:t>
            </w:r>
            <w:r>
              <w:rPr>
                <w:sz w:val="9"/>
              </w:rPr>
              <w:t>flood</w:t>
            </w:r>
            <w:r>
              <w:rPr>
                <w:spacing w:val="-6"/>
                <w:sz w:val="9"/>
              </w:rPr>
              <w:t> </w:t>
            </w:r>
            <w:r>
              <w:rPr>
                <w:sz w:val="9"/>
              </w:rPr>
              <w:t>resistance</w:t>
            </w:r>
            <w:r>
              <w:rPr>
                <w:spacing w:val="-6"/>
                <w:sz w:val="9"/>
              </w:rPr>
              <w:t> </w:t>
            </w:r>
            <w:r>
              <w:rPr>
                <w:sz w:val="9"/>
              </w:rPr>
              <w:t>and</w:t>
            </w:r>
            <w:r>
              <w:rPr>
                <w:spacing w:val="-6"/>
                <w:sz w:val="9"/>
              </w:rPr>
              <w:t> </w:t>
            </w:r>
            <w:r>
              <w:rPr>
                <w:sz w:val="9"/>
              </w:rPr>
              <w:t>resilience</w:t>
            </w:r>
            <w:r>
              <w:rPr>
                <w:spacing w:val="-6"/>
                <w:sz w:val="9"/>
              </w:rPr>
              <w:t> </w:t>
            </w:r>
            <w:r>
              <w:rPr>
                <w:sz w:val="9"/>
              </w:rPr>
              <w:t>of</w:t>
            </w:r>
            <w:r>
              <w:rPr>
                <w:spacing w:val="-6"/>
                <w:sz w:val="9"/>
              </w:rPr>
              <w:t> </w:t>
            </w:r>
            <w:r>
              <w:rPr>
                <w:sz w:val="9"/>
              </w:rPr>
              <w:t>properties</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S27</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2012</w:t>
            </w:r>
          </w:p>
        </w:tc>
        <w:tc>
          <w:tcPr>
            <w:tcW w:w="3040" w:type="dxa"/>
            <w:shd w:val="clear" w:color="auto" w:fill="D9D9D9"/>
          </w:tcPr>
          <w:p>
            <w:pPr>
              <w:pStyle w:val="TableParagraph"/>
              <w:spacing w:before="40"/>
              <w:ind w:left="17"/>
              <w:rPr>
                <w:sz w:val="9"/>
              </w:rPr>
            </w:pPr>
            <w:r>
              <w:rPr>
                <w:sz w:val="9"/>
              </w:rPr>
              <w:t>Barley Hill Recreation Ground - (Local Levy)</w:t>
            </w:r>
          </w:p>
        </w:tc>
        <w:tc>
          <w:tcPr>
            <w:tcW w:w="530" w:type="dxa"/>
            <w:shd w:val="clear" w:color="auto" w:fill="D9D9D9"/>
          </w:tcPr>
          <w:p>
            <w:pPr>
              <w:pStyle w:val="TableParagraph"/>
              <w:spacing w:before="40"/>
              <w:ind w:left="18"/>
              <w:rPr>
                <w:sz w:val="9"/>
              </w:rPr>
            </w:pPr>
            <w:r>
              <w:rPr>
                <w:sz w:val="9"/>
              </w:rPr>
              <w:t>NA</w:t>
            </w:r>
          </w:p>
        </w:tc>
        <w:tc>
          <w:tcPr>
            <w:tcW w:w="993" w:type="dxa"/>
            <w:shd w:val="clear" w:color="auto" w:fill="D9D9D9"/>
          </w:tcPr>
          <w:p>
            <w:pPr>
              <w:pStyle w:val="TableParagraph"/>
              <w:spacing w:before="40"/>
              <w:ind w:left="18"/>
              <w:rPr>
                <w:sz w:val="9"/>
              </w:rPr>
            </w:pPr>
            <w:r>
              <w:rPr>
                <w:sz w:val="9"/>
              </w:rPr>
              <w:t>£113k</w:t>
            </w:r>
          </w:p>
        </w:tc>
        <w:tc>
          <w:tcPr>
            <w:tcW w:w="1243" w:type="dxa"/>
            <w:shd w:val="clear" w:color="auto" w:fill="D9D9D9"/>
          </w:tcPr>
          <w:p>
            <w:pPr>
              <w:pStyle w:val="TableParagraph"/>
              <w:spacing w:before="40"/>
              <w:ind w:left="19"/>
              <w:rPr>
                <w:sz w:val="9"/>
              </w:rPr>
            </w:pPr>
            <w:r>
              <w:rPr>
                <w:sz w:val="9"/>
              </w:rPr>
              <w:t>West Garforth</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Reduce risk of flooding</w:t>
            </w:r>
          </w:p>
        </w:tc>
        <w:tc>
          <w:tcPr>
            <w:tcW w:w="822" w:type="dxa"/>
            <w:shd w:val="clear" w:color="auto" w:fill="D9D9D9"/>
          </w:tcPr>
          <w:p>
            <w:pPr>
              <w:pStyle w:val="TableParagraph"/>
              <w:spacing w:line="89" w:lineRule="exact"/>
              <w:ind w:left="18"/>
              <w:rPr>
                <w:sz w:val="9"/>
              </w:rPr>
            </w:pPr>
            <w:r>
              <w:rPr>
                <w:sz w:val="9"/>
              </w:rPr>
              <w:t>LCC Parks and</w:t>
            </w:r>
          </w:p>
          <w:p>
            <w:pPr>
              <w:pStyle w:val="TableParagraph"/>
              <w:spacing w:line="85" w:lineRule="exact" w:before="7"/>
              <w:ind w:left="18"/>
              <w:rPr>
                <w:sz w:val="9"/>
              </w:rPr>
            </w:pPr>
            <w:r>
              <w:rPr>
                <w:sz w:val="9"/>
              </w:rPr>
              <w:t>Countryside</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S28</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2013</w:t>
            </w:r>
          </w:p>
        </w:tc>
        <w:tc>
          <w:tcPr>
            <w:tcW w:w="3040" w:type="dxa"/>
            <w:shd w:val="clear" w:color="auto" w:fill="D9D9D9"/>
          </w:tcPr>
          <w:p>
            <w:pPr>
              <w:pStyle w:val="TableParagraph"/>
              <w:spacing w:before="40"/>
              <w:ind w:left="17"/>
              <w:rPr>
                <w:sz w:val="9"/>
              </w:rPr>
            </w:pPr>
            <w:r>
              <w:rPr>
                <w:sz w:val="9"/>
              </w:rPr>
              <w:t>Oakdene, Watercourse Improvements</w:t>
            </w:r>
          </w:p>
        </w:tc>
        <w:tc>
          <w:tcPr>
            <w:tcW w:w="530" w:type="dxa"/>
            <w:shd w:val="clear" w:color="auto" w:fill="D9D9D9"/>
          </w:tcPr>
          <w:p>
            <w:pPr>
              <w:pStyle w:val="TableParagraph"/>
              <w:spacing w:before="40"/>
              <w:ind w:left="18"/>
              <w:rPr>
                <w:sz w:val="9"/>
              </w:rPr>
            </w:pPr>
            <w:r>
              <w:rPr>
                <w:sz w:val="9"/>
              </w:rPr>
              <w:t>NA</w:t>
            </w:r>
          </w:p>
        </w:tc>
        <w:tc>
          <w:tcPr>
            <w:tcW w:w="993" w:type="dxa"/>
            <w:shd w:val="clear" w:color="auto" w:fill="D9D9D9"/>
          </w:tcPr>
          <w:p>
            <w:pPr>
              <w:pStyle w:val="TableParagraph"/>
              <w:spacing w:before="40"/>
              <w:ind w:left="18"/>
              <w:rPr>
                <w:sz w:val="9"/>
              </w:rPr>
            </w:pPr>
            <w:r>
              <w:rPr>
                <w:sz w:val="9"/>
              </w:rPr>
              <w:t>£8k</w:t>
            </w:r>
          </w:p>
        </w:tc>
        <w:tc>
          <w:tcPr>
            <w:tcW w:w="1243" w:type="dxa"/>
            <w:shd w:val="clear" w:color="auto" w:fill="D9D9D9"/>
          </w:tcPr>
          <w:p>
            <w:pPr>
              <w:pStyle w:val="TableParagraph"/>
              <w:spacing w:before="40"/>
              <w:ind w:left="19"/>
              <w:rPr>
                <w:sz w:val="9"/>
              </w:rPr>
            </w:pPr>
            <w:r>
              <w:rPr>
                <w:sz w:val="9"/>
              </w:rPr>
              <w:t>Swillington</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Reduce risk of flooding</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S1</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2014</w:t>
            </w:r>
          </w:p>
        </w:tc>
        <w:tc>
          <w:tcPr>
            <w:tcW w:w="3040" w:type="dxa"/>
            <w:shd w:val="clear" w:color="auto" w:fill="D9D9D9"/>
          </w:tcPr>
          <w:p>
            <w:pPr>
              <w:pStyle w:val="TableParagraph"/>
              <w:spacing w:before="40"/>
              <w:ind w:left="17"/>
              <w:rPr>
                <w:sz w:val="9"/>
              </w:rPr>
            </w:pPr>
            <w:r>
              <w:rPr>
                <w:sz w:val="9"/>
              </w:rPr>
              <w:t>Lowther Road, Garforth - Culvert Improvements</w:t>
            </w:r>
          </w:p>
        </w:tc>
        <w:tc>
          <w:tcPr>
            <w:tcW w:w="530" w:type="dxa"/>
            <w:shd w:val="clear" w:color="auto" w:fill="D9D9D9"/>
          </w:tcPr>
          <w:p>
            <w:pPr>
              <w:pStyle w:val="TableParagraph"/>
              <w:spacing w:before="40"/>
              <w:ind w:left="18"/>
              <w:rPr>
                <w:sz w:val="9"/>
              </w:rPr>
            </w:pPr>
            <w:r>
              <w:rPr>
                <w:sz w:val="9"/>
              </w:rPr>
              <w:t>NA</w:t>
            </w:r>
          </w:p>
        </w:tc>
        <w:tc>
          <w:tcPr>
            <w:tcW w:w="993" w:type="dxa"/>
            <w:shd w:val="clear" w:color="auto" w:fill="D9D9D9"/>
          </w:tcPr>
          <w:p>
            <w:pPr>
              <w:pStyle w:val="TableParagraph"/>
              <w:spacing w:before="40"/>
              <w:ind w:left="18"/>
              <w:rPr>
                <w:sz w:val="9"/>
              </w:rPr>
            </w:pPr>
            <w:r>
              <w:rPr>
                <w:sz w:val="9"/>
              </w:rPr>
              <w:t>£84k</w:t>
            </w:r>
          </w:p>
        </w:tc>
        <w:tc>
          <w:tcPr>
            <w:tcW w:w="1243" w:type="dxa"/>
            <w:shd w:val="clear" w:color="auto" w:fill="D9D9D9"/>
          </w:tcPr>
          <w:p>
            <w:pPr>
              <w:pStyle w:val="TableParagraph"/>
              <w:spacing w:before="40"/>
              <w:ind w:left="19"/>
              <w:rPr>
                <w:sz w:val="9"/>
              </w:rPr>
            </w:pPr>
            <w:r>
              <w:rPr>
                <w:sz w:val="9"/>
              </w:rPr>
              <w:t>Garforth</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Improve</w:t>
            </w:r>
            <w:r>
              <w:rPr>
                <w:spacing w:val="-7"/>
                <w:sz w:val="9"/>
              </w:rPr>
              <w:t> </w:t>
            </w:r>
            <w:r>
              <w:rPr>
                <w:sz w:val="9"/>
              </w:rPr>
              <w:t>flood</w:t>
            </w:r>
            <w:r>
              <w:rPr>
                <w:spacing w:val="-6"/>
                <w:sz w:val="9"/>
              </w:rPr>
              <w:t> </w:t>
            </w:r>
            <w:r>
              <w:rPr>
                <w:sz w:val="9"/>
              </w:rPr>
              <w:t>resistance</w:t>
            </w:r>
            <w:r>
              <w:rPr>
                <w:spacing w:val="-6"/>
                <w:sz w:val="9"/>
              </w:rPr>
              <w:t> </w:t>
            </w:r>
            <w:r>
              <w:rPr>
                <w:sz w:val="9"/>
              </w:rPr>
              <w:t>and</w:t>
            </w:r>
            <w:r>
              <w:rPr>
                <w:spacing w:val="-6"/>
                <w:sz w:val="9"/>
              </w:rPr>
              <w:t> </w:t>
            </w:r>
            <w:r>
              <w:rPr>
                <w:sz w:val="9"/>
              </w:rPr>
              <w:t>resilience</w:t>
            </w:r>
            <w:r>
              <w:rPr>
                <w:spacing w:val="-6"/>
                <w:sz w:val="9"/>
              </w:rPr>
              <w:t> </w:t>
            </w:r>
            <w:r>
              <w:rPr>
                <w:sz w:val="9"/>
              </w:rPr>
              <w:t>of</w:t>
            </w:r>
            <w:r>
              <w:rPr>
                <w:spacing w:val="-6"/>
                <w:sz w:val="9"/>
              </w:rPr>
              <w:t> </w:t>
            </w:r>
            <w:r>
              <w:rPr>
                <w:sz w:val="9"/>
              </w:rPr>
              <w:t>properties</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S4</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2014</w:t>
            </w:r>
          </w:p>
        </w:tc>
        <w:tc>
          <w:tcPr>
            <w:tcW w:w="3040" w:type="dxa"/>
            <w:shd w:val="clear" w:color="auto" w:fill="D9D9D9"/>
          </w:tcPr>
          <w:p>
            <w:pPr>
              <w:pStyle w:val="TableParagraph"/>
              <w:spacing w:before="40"/>
              <w:ind w:left="17"/>
              <w:rPr>
                <w:sz w:val="9"/>
              </w:rPr>
            </w:pPr>
            <w:r>
              <w:rPr>
                <w:sz w:val="9"/>
              </w:rPr>
              <w:t>Wellhouse Drive Flood Alleviation Scheme</w:t>
            </w:r>
          </w:p>
        </w:tc>
        <w:tc>
          <w:tcPr>
            <w:tcW w:w="530" w:type="dxa"/>
            <w:shd w:val="clear" w:color="auto" w:fill="D9D9D9"/>
          </w:tcPr>
          <w:p>
            <w:pPr>
              <w:pStyle w:val="TableParagraph"/>
              <w:spacing w:before="40"/>
              <w:ind w:left="18"/>
              <w:rPr>
                <w:sz w:val="9"/>
              </w:rPr>
            </w:pPr>
            <w:r>
              <w:rPr>
                <w:sz w:val="9"/>
              </w:rPr>
              <w:t>NA</w:t>
            </w:r>
          </w:p>
        </w:tc>
        <w:tc>
          <w:tcPr>
            <w:tcW w:w="993" w:type="dxa"/>
            <w:shd w:val="clear" w:color="auto" w:fill="D9D9D9"/>
          </w:tcPr>
          <w:p>
            <w:pPr>
              <w:pStyle w:val="TableParagraph"/>
              <w:spacing w:before="40"/>
              <w:ind w:left="19"/>
              <w:rPr>
                <w:sz w:val="9"/>
              </w:rPr>
            </w:pPr>
            <w:r>
              <w:rPr>
                <w:sz w:val="9"/>
              </w:rPr>
              <w:t>£22k (estimated)</w:t>
            </w:r>
          </w:p>
        </w:tc>
        <w:tc>
          <w:tcPr>
            <w:tcW w:w="1243" w:type="dxa"/>
            <w:shd w:val="clear" w:color="auto" w:fill="D9D9D9"/>
          </w:tcPr>
          <w:p>
            <w:pPr>
              <w:pStyle w:val="TableParagraph"/>
              <w:spacing w:before="40"/>
              <w:ind w:left="19"/>
              <w:rPr>
                <w:sz w:val="9"/>
              </w:rPr>
            </w:pPr>
            <w:r>
              <w:rPr>
                <w:sz w:val="9"/>
              </w:rPr>
              <w:t>Gledhow</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Reduce risk of flooding</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S7</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2014</w:t>
            </w:r>
          </w:p>
        </w:tc>
        <w:tc>
          <w:tcPr>
            <w:tcW w:w="3040" w:type="dxa"/>
            <w:shd w:val="clear" w:color="auto" w:fill="D9D9D9"/>
          </w:tcPr>
          <w:p>
            <w:pPr>
              <w:pStyle w:val="TableParagraph"/>
              <w:spacing w:before="40"/>
              <w:ind w:left="17"/>
              <w:rPr>
                <w:sz w:val="9"/>
              </w:rPr>
            </w:pPr>
            <w:r>
              <w:rPr>
                <w:sz w:val="9"/>
              </w:rPr>
              <w:t>Culvert Headwall Repair Scheme - (Local Levy)</w:t>
            </w:r>
          </w:p>
        </w:tc>
        <w:tc>
          <w:tcPr>
            <w:tcW w:w="530" w:type="dxa"/>
            <w:shd w:val="clear" w:color="auto" w:fill="D9D9D9"/>
          </w:tcPr>
          <w:p>
            <w:pPr>
              <w:pStyle w:val="TableParagraph"/>
              <w:spacing w:before="40"/>
              <w:ind w:left="18"/>
              <w:rPr>
                <w:sz w:val="9"/>
              </w:rPr>
            </w:pPr>
            <w:r>
              <w:rPr>
                <w:sz w:val="9"/>
              </w:rPr>
              <w:t>NA</w:t>
            </w:r>
          </w:p>
        </w:tc>
        <w:tc>
          <w:tcPr>
            <w:tcW w:w="993" w:type="dxa"/>
            <w:shd w:val="clear" w:color="auto" w:fill="D9D9D9"/>
          </w:tcPr>
          <w:p>
            <w:pPr>
              <w:pStyle w:val="TableParagraph"/>
              <w:spacing w:before="40"/>
              <w:ind w:left="18"/>
              <w:rPr>
                <w:sz w:val="9"/>
              </w:rPr>
            </w:pPr>
            <w:r>
              <w:rPr>
                <w:sz w:val="9"/>
              </w:rPr>
              <w:t>£36k</w:t>
            </w:r>
          </w:p>
        </w:tc>
        <w:tc>
          <w:tcPr>
            <w:tcW w:w="1243" w:type="dxa"/>
            <w:shd w:val="clear" w:color="auto" w:fill="D9D9D9"/>
          </w:tcPr>
          <w:p>
            <w:pPr>
              <w:pStyle w:val="TableParagraph"/>
              <w:spacing w:before="40"/>
              <w:ind w:left="18"/>
              <w:rPr>
                <w:sz w:val="9"/>
              </w:rPr>
            </w:pPr>
            <w:r>
              <w:rPr>
                <w:sz w:val="9"/>
              </w:rPr>
              <w:t>Otley</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Reduce risk of flooding</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309" w:hRule="atLeast"/>
        </w:trPr>
        <w:tc>
          <w:tcPr>
            <w:tcW w:w="271" w:type="dxa"/>
          </w:tcPr>
          <w:p>
            <w:pPr>
              <w:pStyle w:val="TableParagraph"/>
              <w:spacing w:before="88"/>
              <w:ind w:left="16"/>
              <w:rPr>
                <w:sz w:val="10"/>
              </w:rPr>
            </w:pPr>
            <w:r>
              <w:rPr>
                <w:w w:val="105"/>
                <w:sz w:val="10"/>
              </w:rPr>
              <w:t>S3</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1"/>
              <w:rPr>
                <w:sz w:val="8"/>
              </w:rPr>
            </w:pPr>
          </w:p>
          <w:p>
            <w:pPr>
              <w:pStyle w:val="TableParagraph"/>
              <w:ind w:left="12" w:right="8"/>
              <w:jc w:val="center"/>
              <w:rPr>
                <w:b/>
                <w:sz w:val="9"/>
              </w:rPr>
            </w:pPr>
            <w:r>
              <w:rPr>
                <w:b/>
                <w:sz w:val="9"/>
              </w:rPr>
              <w:t>Completed</w:t>
            </w:r>
          </w:p>
        </w:tc>
        <w:tc>
          <w:tcPr>
            <w:tcW w:w="1106" w:type="dxa"/>
            <w:shd w:val="clear" w:color="auto" w:fill="D9D9D9"/>
          </w:tcPr>
          <w:p>
            <w:pPr>
              <w:pStyle w:val="TableParagraph"/>
              <w:spacing w:before="1"/>
              <w:rPr>
                <w:sz w:val="8"/>
              </w:rPr>
            </w:pPr>
          </w:p>
          <w:p>
            <w:pPr>
              <w:pStyle w:val="TableParagraph"/>
              <w:ind w:left="429" w:right="425"/>
              <w:jc w:val="center"/>
              <w:rPr>
                <w:b/>
                <w:sz w:val="9"/>
              </w:rPr>
            </w:pPr>
            <w:r>
              <w:rPr>
                <w:b/>
                <w:sz w:val="9"/>
              </w:rPr>
              <w:t>2017</w:t>
            </w:r>
          </w:p>
        </w:tc>
        <w:tc>
          <w:tcPr>
            <w:tcW w:w="3040" w:type="dxa"/>
            <w:shd w:val="clear" w:color="auto" w:fill="D9D9D9"/>
          </w:tcPr>
          <w:p>
            <w:pPr>
              <w:pStyle w:val="TableParagraph"/>
              <w:spacing w:before="1"/>
              <w:rPr>
                <w:sz w:val="8"/>
              </w:rPr>
            </w:pPr>
          </w:p>
          <w:p>
            <w:pPr>
              <w:pStyle w:val="TableParagraph"/>
              <w:ind w:left="17"/>
              <w:rPr>
                <w:sz w:val="9"/>
              </w:rPr>
            </w:pPr>
            <w:r>
              <w:rPr>
                <w:sz w:val="9"/>
              </w:rPr>
              <w:t>Leeds Flood Alleviation Scheme Phase 1, River Aire City Centre</w:t>
            </w:r>
          </w:p>
        </w:tc>
        <w:tc>
          <w:tcPr>
            <w:tcW w:w="530" w:type="dxa"/>
            <w:shd w:val="clear" w:color="auto" w:fill="D9D9D9"/>
          </w:tcPr>
          <w:p>
            <w:pPr>
              <w:pStyle w:val="TableParagraph"/>
              <w:spacing w:before="1"/>
              <w:rPr>
                <w:sz w:val="8"/>
              </w:rPr>
            </w:pPr>
          </w:p>
          <w:p>
            <w:pPr>
              <w:pStyle w:val="TableParagraph"/>
              <w:ind w:left="18"/>
              <w:rPr>
                <w:sz w:val="9"/>
              </w:rPr>
            </w:pPr>
            <w:r>
              <w:rPr>
                <w:sz w:val="9"/>
              </w:rPr>
              <w:t>100%</w:t>
            </w:r>
          </w:p>
        </w:tc>
        <w:tc>
          <w:tcPr>
            <w:tcW w:w="993" w:type="dxa"/>
            <w:shd w:val="clear" w:color="auto" w:fill="D9D9D9"/>
          </w:tcPr>
          <w:p>
            <w:pPr>
              <w:pStyle w:val="TableParagraph"/>
              <w:spacing w:before="1"/>
              <w:rPr>
                <w:sz w:val="8"/>
              </w:rPr>
            </w:pPr>
          </w:p>
          <w:p>
            <w:pPr>
              <w:pStyle w:val="TableParagraph"/>
              <w:ind w:left="18"/>
              <w:rPr>
                <w:sz w:val="9"/>
              </w:rPr>
            </w:pPr>
            <w:r>
              <w:rPr>
                <w:sz w:val="9"/>
              </w:rPr>
              <w:t>£50m</w:t>
            </w:r>
          </w:p>
        </w:tc>
        <w:tc>
          <w:tcPr>
            <w:tcW w:w="1243" w:type="dxa"/>
            <w:shd w:val="clear" w:color="auto" w:fill="D9D9D9"/>
          </w:tcPr>
          <w:p>
            <w:pPr>
              <w:pStyle w:val="TableParagraph"/>
              <w:spacing w:before="1"/>
              <w:rPr>
                <w:sz w:val="8"/>
              </w:rPr>
            </w:pPr>
          </w:p>
          <w:p>
            <w:pPr>
              <w:pStyle w:val="TableParagraph"/>
              <w:ind w:left="19"/>
              <w:rPr>
                <w:sz w:val="9"/>
              </w:rPr>
            </w:pPr>
            <w:r>
              <w:rPr>
                <w:sz w:val="9"/>
              </w:rPr>
              <w:t>River Aire - City Centre</w:t>
            </w:r>
          </w:p>
        </w:tc>
        <w:tc>
          <w:tcPr>
            <w:tcW w:w="1505" w:type="dxa"/>
            <w:shd w:val="clear" w:color="auto" w:fill="D9D9D9"/>
          </w:tcPr>
          <w:p>
            <w:pPr>
              <w:pStyle w:val="TableParagraph"/>
              <w:spacing w:line="256" w:lineRule="auto" w:before="38"/>
              <w:ind w:left="19"/>
              <w:rPr>
                <w:sz w:val="9"/>
              </w:rPr>
            </w:pPr>
            <w:r>
              <w:rPr>
                <w:sz w:val="9"/>
              </w:rPr>
              <w:t>3. Studies, schemes, assessments and plans</w:t>
            </w:r>
          </w:p>
        </w:tc>
        <w:tc>
          <w:tcPr>
            <w:tcW w:w="3768" w:type="dxa"/>
            <w:shd w:val="clear" w:color="auto" w:fill="D9D9D9"/>
          </w:tcPr>
          <w:p>
            <w:pPr>
              <w:pStyle w:val="TableParagraph"/>
              <w:spacing w:before="1"/>
              <w:rPr>
                <w:sz w:val="8"/>
              </w:rPr>
            </w:pPr>
          </w:p>
          <w:p>
            <w:pPr>
              <w:pStyle w:val="TableParagraph"/>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1"/>
              <w:rPr>
                <w:sz w:val="8"/>
              </w:rPr>
            </w:pPr>
          </w:p>
          <w:p>
            <w:pPr>
              <w:pStyle w:val="TableParagraph"/>
              <w:ind w:left="19"/>
              <w:rPr>
                <w:sz w:val="9"/>
              </w:rPr>
            </w:pPr>
            <w:r>
              <w:rPr>
                <w:sz w:val="9"/>
              </w:rPr>
              <w:t>Scheme Completed</w:t>
            </w:r>
          </w:p>
        </w:tc>
        <w:tc>
          <w:tcPr>
            <w:tcW w:w="2096" w:type="dxa"/>
            <w:shd w:val="clear" w:color="auto" w:fill="D9D9D9"/>
          </w:tcPr>
          <w:p>
            <w:pPr>
              <w:pStyle w:val="TableParagraph"/>
              <w:spacing w:before="1"/>
              <w:rPr>
                <w:sz w:val="8"/>
              </w:rPr>
            </w:pPr>
          </w:p>
          <w:p>
            <w:pPr>
              <w:pStyle w:val="TableParagraph"/>
              <w:ind w:left="19"/>
              <w:rPr>
                <w:sz w:val="9"/>
              </w:rPr>
            </w:pPr>
            <w:r>
              <w:rPr>
                <w:sz w:val="9"/>
              </w:rPr>
              <w:t>Reduce flood risk from River Aire</w:t>
            </w:r>
          </w:p>
        </w:tc>
        <w:tc>
          <w:tcPr>
            <w:tcW w:w="822" w:type="dxa"/>
            <w:shd w:val="clear" w:color="auto" w:fill="D9D9D9"/>
          </w:tcPr>
          <w:p>
            <w:pPr>
              <w:pStyle w:val="TableParagraph"/>
              <w:spacing w:line="89" w:lineRule="exact"/>
              <w:ind w:left="18"/>
              <w:rPr>
                <w:sz w:val="9"/>
              </w:rPr>
            </w:pPr>
            <w:r>
              <w:rPr>
                <w:sz w:val="9"/>
              </w:rPr>
              <w:t>LCC Civil</w:t>
            </w:r>
          </w:p>
          <w:p>
            <w:pPr>
              <w:pStyle w:val="TableParagraph"/>
              <w:spacing w:line="110" w:lineRule="atLeast"/>
              <w:ind w:left="18" w:right="33"/>
              <w:rPr>
                <w:sz w:val="9"/>
              </w:rPr>
            </w:pPr>
            <w:r>
              <w:rPr>
                <w:w w:val="95"/>
                <w:sz w:val="9"/>
              </w:rPr>
              <w:t>Engineering </w:t>
            </w:r>
            <w:r>
              <w:rPr>
                <w:sz w:val="9"/>
              </w:rPr>
              <w:t>Projects</w:t>
            </w:r>
          </w:p>
        </w:tc>
        <w:tc>
          <w:tcPr>
            <w:tcW w:w="1000" w:type="dxa"/>
            <w:shd w:val="clear" w:color="auto" w:fill="D9D9D9"/>
          </w:tcPr>
          <w:p>
            <w:pPr>
              <w:pStyle w:val="TableParagraph"/>
              <w:spacing w:before="1"/>
              <w:rPr>
                <w:sz w:val="8"/>
              </w:rPr>
            </w:pPr>
          </w:p>
          <w:p>
            <w:pPr>
              <w:pStyle w:val="TableParagraph"/>
              <w:ind w:left="17"/>
              <w:rPr>
                <w:sz w:val="9"/>
              </w:rPr>
            </w:pPr>
            <w:r>
              <w:rPr>
                <w:sz w:val="9"/>
              </w:rPr>
              <w:t>Environment Agency</w:t>
            </w:r>
          </w:p>
        </w:tc>
        <w:tc>
          <w:tcPr>
            <w:tcW w:w="599" w:type="dxa"/>
            <w:shd w:val="clear" w:color="auto" w:fill="D9D9D9"/>
          </w:tcPr>
          <w:p>
            <w:pPr>
              <w:pStyle w:val="TableParagraph"/>
              <w:spacing w:before="1"/>
              <w:rPr>
                <w:sz w:val="8"/>
              </w:rPr>
            </w:pPr>
          </w:p>
          <w:p>
            <w:pPr>
              <w:pStyle w:val="TableParagraph"/>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S34</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2017</w:t>
            </w:r>
          </w:p>
        </w:tc>
        <w:tc>
          <w:tcPr>
            <w:tcW w:w="3040" w:type="dxa"/>
            <w:shd w:val="clear" w:color="auto" w:fill="D9D9D9"/>
          </w:tcPr>
          <w:p>
            <w:pPr>
              <w:pStyle w:val="TableParagraph"/>
              <w:spacing w:before="40"/>
              <w:ind w:left="17"/>
              <w:rPr>
                <w:sz w:val="9"/>
              </w:rPr>
            </w:pPr>
            <w:r>
              <w:rPr>
                <w:sz w:val="9"/>
              </w:rPr>
              <w:t>Glebelands Recreation Ground</w:t>
            </w:r>
          </w:p>
        </w:tc>
        <w:tc>
          <w:tcPr>
            <w:tcW w:w="530" w:type="dxa"/>
            <w:shd w:val="clear" w:color="auto" w:fill="D9D9D9"/>
          </w:tcPr>
          <w:p>
            <w:pPr>
              <w:pStyle w:val="TableParagraph"/>
              <w:spacing w:before="40"/>
              <w:ind w:left="18"/>
              <w:rPr>
                <w:sz w:val="9"/>
              </w:rPr>
            </w:pPr>
            <w:r>
              <w:rPr>
                <w:sz w:val="9"/>
              </w:rPr>
              <w:t>101%</w:t>
            </w:r>
          </w:p>
        </w:tc>
        <w:tc>
          <w:tcPr>
            <w:tcW w:w="993" w:type="dxa"/>
            <w:shd w:val="clear" w:color="auto" w:fill="D9D9D9"/>
          </w:tcPr>
          <w:p>
            <w:pPr>
              <w:pStyle w:val="TableParagraph"/>
              <w:spacing w:before="40"/>
              <w:ind w:left="18"/>
              <w:rPr>
                <w:sz w:val="9"/>
              </w:rPr>
            </w:pPr>
            <w:r>
              <w:rPr>
                <w:sz w:val="9"/>
              </w:rPr>
              <w:t>£70k</w:t>
            </w:r>
          </w:p>
        </w:tc>
        <w:tc>
          <w:tcPr>
            <w:tcW w:w="1243" w:type="dxa"/>
            <w:shd w:val="clear" w:color="auto" w:fill="D9D9D9"/>
          </w:tcPr>
          <w:p>
            <w:pPr>
              <w:pStyle w:val="TableParagraph"/>
              <w:spacing w:before="40"/>
              <w:ind w:left="19"/>
              <w:rPr>
                <w:sz w:val="9"/>
              </w:rPr>
            </w:pPr>
            <w:r>
              <w:rPr>
                <w:sz w:val="9"/>
              </w:rPr>
              <w:t>Garforth</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Reduce risk of flooding</w:t>
            </w:r>
          </w:p>
        </w:tc>
        <w:tc>
          <w:tcPr>
            <w:tcW w:w="822" w:type="dxa"/>
            <w:shd w:val="clear" w:color="auto" w:fill="D9D9D9"/>
          </w:tcPr>
          <w:p>
            <w:pPr>
              <w:pStyle w:val="TableParagraph"/>
              <w:spacing w:line="89" w:lineRule="exact"/>
              <w:ind w:left="18"/>
              <w:rPr>
                <w:sz w:val="9"/>
              </w:rPr>
            </w:pPr>
            <w:r>
              <w:rPr>
                <w:sz w:val="9"/>
              </w:rPr>
              <w:t>LCC Parks and</w:t>
            </w:r>
          </w:p>
          <w:p>
            <w:pPr>
              <w:pStyle w:val="TableParagraph"/>
              <w:spacing w:line="85" w:lineRule="exact" w:before="7"/>
              <w:ind w:left="18"/>
              <w:rPr>
                <w:sz w:val="9"/>
              </w:rPr>
            </w:pPr>
            <w:r>
              <w:rPr>
                <w:sz w:val="9"/>
              </w:rPr>
              <w:t>Countryside</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S36</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2017</w:t>
            </w:r>
          </w:p>
        </w:tc>
        <w:tc>
          <w:tcPr>
            <w:tcW w:w="3040" w:type="dxa"/>
            <w:shd w:val="clear" w:color="auto" w:fill="D9D9D9"/>
          </w:tcPr>
          <w:p>
            <w:pPr>
              <w:pStyle w:val="TableParagraph"/>
              <w:spacing w:before="40"/>
              <w:ind w:left="17"/>
              <w:rPr>
                <w:sz w:val="9"/>
              </w:rPr>
            </w:pPr>
            <w:r>
              <w:rPr>
                <w:sz w:val="9"/>
              </w:rPr>
              <w:t>Barley Hill Recreation Ground Phase 2</w:t>
            </w:r>
          </w:p>
        </w:tc>
        <w:tc>
          <w:tcPr>
            <w:tcW w:w="530" w:type="dxa"/>
            <w:shd w:val="clear" w:color="auto" w:fill="D9D9D9"/>
          </w:tcPr>
          <w:p>
            <w:pPr>
              <w:pStyle w:val="TableParagraph"/>
              <w:spacing w:before="40"/>
              <w:ind w:left="18"/>
              <w:rPr>
                <w:sz w:val="9"/>
              </w:rPr>
            </w:pPr>
            <w:r>
              <w:rPr>
                <w:sz w:val="9"/>
              </w:rPr>
              <w:t>NA</w:t>
            </w:r>
          </w:p>
        </w:tc>
        <w:tc>
          <w:tcPr>
            <w:tcW w:w="993" w:type="dxa"/>
            <w:shd w:val="clear" w:color="auto" w:fill="D9D9D9"/>
          </w:tcPr>
          <w:p>
            <w:pPr>
              <w:pStyle w:val="TableParagraph"/>
              <w:spacing w:before="40"/>
              <w:ind w:left="18"/>
              <w:rPr>
                <w:sz w:val="9"/>
              </w:rPr>
            </w:pPr>
            <w:r>
              <w:rPr>
                <w:sz w:val="9"/>
              </w:rPr>
              <w:t>£160k</w:t>
            </w:r>
          </w:p>
        </w:tc>
        <w:tc>
          <w:tcPr>
            <w:tcW w:w="1243" w:type="dxa"/>
            <w:shd w:val="clear" w:color="auto" w:fill="D9D9D9"/>
          </w:tcPr>
          <w:p>
            <w:pPr>
              <w:pStyle w:val="TableParagraph"/>
              <w:spacing w:before="40"/>
              <w:ind w:left="19"/>
              <w:rPr>
                <w:sz w:val="9"/>
              </w:rPr>
            </w:pPr>
            <w:r>
              <w:rPr>
                <w:sz w:val="9"/>
              </w:rPr>
              <w:t>West Garforth</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Reduce risk of flooding</w:t>
            </w:r>
          </w:p>
        </w:tc>
        <w:tc>
          <w:tcPr>
            <w:tcW w:w="822" w:type="dxa"/>
            <w:shd w:val="clear" w:color="auto" w:fill="D9D9D9"/>
          </w:tcPr>
          <w:p>
            <w:pPr>
              <w:pStyle w:val="TableParagraph"/>
              <w:spacing w:line="89" w:lineRule="exact"/>
              <w:ind w:left="18"/>
              <w:rPr>
                <w:sz w:val="9"/>
              </w:rPr>
            </w:pPr>
            <w:r>
              <w:rPr>
                <w:sz w:val="9"/>
              </w:rPr>
              <w:t>LCC Parks and</w:t>
            </w:r>
          </w:p>
          <w:p>
            <w:pPr>
              <w:pStyle w:val="TableParagraph"/>
              <w:spacing w:line="85" w:lineRule="exact" w:before="7"/>
              <w:ind w:left="18"/>
              <w:rPr>
                <w:sz w:val="9"/>
              </w:rPr>
            </w:pPr>
            <w:r>
              <w:rPr>
                <w:sz w:val="9"/>
              </w:rPr>
              <w:t>Countryside</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S2</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2017</w:t>
            </w:r>
          </w:p>
        </w:tc>
        <w:tc>
          <w:tcPr>
            <w:tcW w:w="3040" w:type="dxa"/>
            <w:shd w:val="clear" w:color="auto" w:fill="D9D9D9"/>
          </w:tcPr>
          <w:p>
            <w:pPr>
              <w:pStyle w:val="TableParagraph"/>
              <w:spacing w:before="40"/>
              <w:ind w:left="17"/>
              <w:rPr>
                <w:sz w:val="9"/>
              </w:rPr>
            </w:pPr>
            <w:r>
              <w:rPr>
                <w:sz w:val="9"/>
              </w:rPr>
              <w:t>Ramsden Street, Kippax, Flood Alleviation Scheme - (Local Levy &amp; FDGiA)</w:t>
            </w:r>
          </w:p>
        </w:tc>
        <w:tc>
          <w:tcPr>
            <w:tcW w:w="530" w:type="dxa"/>
            <w:shd w:val="clear" w:color="auto" w:fill="D9D9D9"/>
          </w:tcPr>
          <w:p>
            <w:pPr>
              <w:pStyle w:val="TableParagraph"/>
              <w:spacing w:before="40"/>
              <w:ind w:left="18"/>
              <w:rPr>
                <w:sz w:val="9"/>
              </w:rPr>
            </w:pPr>
            <w:r>
              <w:rPr>
                <w:sz w:val="9"/>
              </w:rPr>
              <w:t>NA</w:t>
            </w:r>
          </w:p>
        </w:tc>
        <w:tc>
          <w:tcPr>
            <w:tcW w:w="993" w:type="dxa"/>
            <w:shd w:val="clear" w:color="auto" w:fill="D9D9D9"/>
          </w:tcPr>
          <w:p>
            <w:pPr>
              <w:pStyle w:val="TableParagraph"/>
              <w:spacing w:before="40"/>
              <w:ind w:left="19"/>
              <w:rPr>
                <w:sz w:val="9"/>
              </w:rPr>
            </w:pPr>
            <w:r>
              <w:rPr>
                <w:sz w:val="9"/>
              </w:rPr>
              <w:t>£220k</w:t>
            </w:r>
          </w:p>
        </w:tc>
        <w:tc>
          <w:tcPr>
            <w:tcW w:w="1243" w:type="dxa"/>
            <w:shd w:val="clear" w:color="auto" w:fill="D9D9D9"/>
          </w:tcPr>
          <w:p>
            <w:pPr>
              <w:pStyle w:val="TableParagraph"/>
              <w:spacing w:before="40"/>
              <w:ind w:left="19"/>
              <w:rPr>
                <w:sz w:val="9"/>
              </w:rPr>
            </w:pPr>
            <w:r>
              <w:rPr>
                <w:sz w:val="9"/>
              </w:rPr>
              <w:t>Kippax</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Completed</w:t>
            </w:r>
          </w:p>
        </w:tc>
        <w:tc>
          <w:tcPr>
            <w:tcW w:w="2096" w:type="dxa"/>
            <w:shd w:val="clear" w:color="auto" w:fill="D9D9D9"/>
          </w:tcPr>
          <w:p>
            <w:pPr>
              <w:pStyle w:val="TableParagraph"/>
              <w:spacing w:before="40"/>
              <w:ind w:left="19"/>
              <w:rPr>
                <w:sz w:val="9"/>
              </w:rPr>
            </w:pPr>
            <w:r>
              <w:rPr>
                <w:sz w:val="9"/>
              </w:rPr>
              <w:t>Reduce risk of flooding</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520" w:hRule="atLeast"/>
        </w:trPr>
        <w:tc>
          <w:tcPr>
            <w:tcW w:w="271" w:type="dxa"/>
          </w:tcPr>
          <w:p>
            <w:pPr>
              <w:pStyle w:val="TableParagraph"/>
              <w:spacing w:before="10"/>
              <w:rPr>
                <w:sz w:val="16"/>
              </w:rPr>
            </w:pPr>
          </w:p>
          <w:p>
            <w:pPr>
              <w:pStyle w:val="TableParagraph"/>
              <w:ind w:left="16"/>
              <w:rPr>
                <w:sz w:val="10"/>
              </w:rPr>
            </w:pPr>
            <w:r>
              <w:rPr>
                <w:w w:val="105"/>
                <w:sz w:val="10"/>
              </w:rPr>
              <w:t>S14</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rPr>
                <w:sz w:val="10"/>
              </w:rPr>
            </w:pPr>
          </w:p>
          <w:p>
            <w:pPr>
              <w:pStyle w:val="TableParagraph"/>
              <w:spacing w:before="84"/>
              <w:ind w:left="12" w:right="8"/>
              <w:jc w:val="center"/>
              <w:rPr>
                <w:b/>
                <w:sz w:val="9"/>
              </w:rPr>
            </w:pPr>
            <w:r>
              <w:rPr>
                <w:b/>
                <w:sz w:val="9"/>
              </w:rPr>
              <w:t>Completed</w:t>
            </w:r>
          </w:p>
        </w:tc>
        <w:tc>
          <w:tcPr>
            <w:tcW w:w="1106" w:type="dxa"/>
            <w:shd w:val="clear" w:color="auto" w:fill="D9D9D9"/>
          </w:tcPr>
          <w:p>
            <w:pPr>
              <w:pStyle w:val="TableParagraph"/>
              <w:rPr>
                <w:sz w:val="10"/>
              </w:rPr>
            </w:pPr>
          </w:p>
          <w:p>
            <w:pPr>
              <w:pStyle w:val="TableParagraph"/>
              <w:spacing w:before="84"/>
              <w:ind w:left="429" w:right="425"/>
              <w:jc w:val="center"/>
              <w:rPr>
                <w:b/>
                <w:sz w:val="9"/>
              </w:rPr>
            </w:pPr>
            <w:r>
              <w:rPr>
                <w:b/>
                <w:sz w:val="9"/>
              </w:rPr>
              <w:t>2017</w:t>
            </w:r>
          </w:p>
        </w:tc>
        <w:tc>
          <w:tcPr>
            <w:tcW w:w="3040" w:type="dxa"/>
            <w:shd w:val="clear" w:color="auto" w:fill="D9D9D9"/>
          </w:tcPr>
          <w:p>
            <w:pPr>
              <w:pStyle w:val="TableParagraph"/>
              <w:spacing w:before="5"/>
              <w:rPr>
                <w:sz w:val="12"/>
              </w:rPr>
            </w:pPr>
          </w:p>
          <w:p>
            <w:pPr>
              <w:pStyle w:val="TableParagraph"/>
              <w:spacing w:line="256" w:lineRule="auto"/>
              <w:ind w:left="17"/>
              <w:rPr>
                <w:sz w:val="9"/>
              </w:rPr>
            </w:pPr>
            <w:r>
              <w:rPr>
                <w:sz w:val="9"/>
              </w:rPr>
              <w:t>Carry out flood warning feasibility studies for Wortley Beck and Meanwood Beck and implement findings.</w:t>
            </w:r>
          </w:p>
        </w:tc>
        <w:tc>
          <w:tcPr>
            <w:tcW w:w="530" w:type="dxa"/>
            <w:shd w:val="clear" w:color="auto" w:fill="D9D9D9"/>
          </w:tcPr>
          <w:p>
            <w:pPr>
              <w:pStyle w:val="TableParagraph"/>
              <w:rPr>
                <w:sz w:val="10"/>
              </w:rPr>
            </w:pPr>
          </w:p>
          <w:p>
            <w:pPr>
              <w:pStyle w:val="TableParagraph"/>
              <w:spacing w:before="84"/>
              <w:ind w:left="18"/>
              <w:rPr>
                <w:sz w:val="9"/>
              </w:rPr>
            </w:pPr>
            <w:r>
              <w:rPr>
                <w:sz w:val="9"/>
              </w:rPr>
              <w:t>NA</w:t>
            </w:r>
          </w:p>
        </w:tc>
        <w:tc>
          <w:tcPr>
            <w:tcW w:w="993" w:type="dxa"/>
            <w:shd w:val="clear" w:color="auto" w:fill="D9D9D9"/>
          </w:tcPr>
          <w:p>
            <w:pPr>
              <w:pStyle w:val="TableParagraph"/>
              <w:rPr>
                <w:sz w:val="10"/>
              </w:rPr>
            </w:pPr>
          </w:p>
          <w:p>
            <w:pPr>
              <w:pStyle w:val="TableParagraph"/>
              <w:spacing w:before="84"/>
              <w:ind w:left="18"/>
              <w:rPr>
                <w:sz w:val="9"/>
              </w:rPr>
            </w:pPr>
            <w:r>
              <w:rPr>
                <w:sz w:val="9"/>
              </w:rPr>
              <w:t>£10k</w:t>
            </w:r>
          </w:p>
        </w:tc>
        <w:tc>
          <w:tcPr>
            <w:tcW w:w="1243" w:type="dxa"/>
            <w:shd w:val="clear" w:color="auto" w:fill="D9D9D9"/>
          </w:tcPr>
          <w:p>
            <w:pPr>
              <w:pStyle w:val="TableParagraph"/>
              <w:spacing w:before="5"/>
              <w:rPr>
                <w:sz w:val="12"/>
              </w:rPr>
            </w:pPr>
          </w:p>
          <w:p>
            <w:pPr>
              <w:pStyle w:val="TableParagraph"/>
              <w:spacing w:line="256" w:lineRule="auto"/>
              <w:ind w:left="19"/>
              <w:rPr>
                <w:sz w:val="9"/>
              </w:rPr>
            </w:pPr>
            <w:r>
              <w:rPr>
                <w:sz w:val="9"/>
              </w:rPr>
              <w:t>Wortley Beck and Meanwood Beck</w:t>
            </w:r>
          </w:p>
        </w:tc>
        <w:tc>
          <w:tcPr>
            <w:tcW w:w="1505" w:type="dxa"/>
            <w:shd w:val="clear" w:color="auto" w:fill="D9D9D9"/>
          </w:tcPr>
          <w:p>
            <w:pPr>
              <w:pStyle w:val="TableParagraph"/>
              <w:spacing w:before="5"/>
              <w:rPr>
                <w:sz w:val="12"/>
              </w:rPr>
            </w:pPr>
          </w:p>
          <w:p>
            <w:pPr>
              <w:pStyle w:val="TableParagraph"/>
              <w:spacing w:line="256" w:lineRule="auto"/>
              <w:ind w:left="19"/>
              <w:rPr>
                <w:sz w:val="9"/>
              </w:rPr>
            </w:pPr>
            <w:r>
              <w:rPr>
                <w:sz w:val="9"/>
              </w:rPr>
              <w:t>1. Flood awareness, response and recovery</w:t>
            </w:r>
          </w:p>
        </w:tc>
        <w:tc>
          <w:tcPr>
            <w:tcW w:w="3768" w:type="dxa"/>
            <w:shd w:val="clear" w:color="auto" w:fill="D9D9D9"/>
          </w:tcPr>
          <w:p>
            <w:pPr>
              <w:pStyle w:val="TableParagraph"/>
              <w:rPr>
                <w:sz w:val="10"/>
              </w:rPr>
            </w:pPr>
          </w:p>
          <w:p>
            <w:pPr>
              <w:pStyle w:val="TableParagraph"/>
              <w:spacing w:before="84"/>
              <w:ind w:left="19"/>
              <w:rPr>
                <w:sz w:val="9"/>
              </w:rPr>
            </w:pPr>
            <w:r>
              <w:rPr>
                <w:sz w:val="9"/>
              </w:rPr>
              <w:t>6. Improve understanding of local flood risk and seek to decrease local flood risk.</w:t>
            </w:r>
          </w:p>
        </w:tc>
        <w:tc>
          <w:tcPr>
            <w:tcW w:w="4678" w:type="dxa"/>
            <w:shd w:val="clear" w:color="auto" w:fill="D9D9D9"/>
          </w:tcPr>
          <w:p>
            <w:pPr>
              <w:pStyle w:val="TableParagraph"/>
              <w:rPr>
                <w:sz w:val="10"/>
              </w:rPr>
            </w:pPr>
          </w:p>
          <w:p>
            <w:pPr>
              <w:pStyle w:val="TableParagraph"/>
              <w:spacing w:before="84"/>
              <w:ind w:left="19"/>
              <w:rPr>
                <w:sz w:val="9"/>
              </w:rPr>
            </w:pPr>
            <w:r>
              <w:rPr>
                <w:sz w:val="9"/>
              </w:rPr>
              <w:t>This measure is listed in the Aire Catchment Flood Risk Management Plan</w:t>
            </w:r>
          </w:p>
        </w:tc>
        <w:tc>
          <w:tcPr>
            <w:tcW w:w="2096" w:type="dxa"/>
            <w:shd w:val="clear" w:color="auto" w:fill="D9D9D9"/>
          </w:tcPr>
          <w:p>
            <w:pPr>
              <w:pStyle w:val="TableParagraph"/>
              <w:spacing w:line="84" w:lineRule="exact"/>
              <w:ind w:left="19"/>
              <w:rPr>
                <w:sz w:val="9"/>
              </w:rPr>
            </w:pPr>
            <w:r>
              <w:rPr>
                <w:sz w:val="9"/>
              </w:rPr>
              <w:t>Establish the potential for advanced warning of</w:t>
            </w:r>
          </w:p>
          <w:p>
            <w:pPr>
              <w:pStyle w:val="TableParagraph"/>
              <w:spacing w:line="110" w:lineRule="atLeast"/>
              <w:ind w:left="19" w:right="15"/>
              <w:rPr>
                <w:sz w:val="9"/>
              </w:rPr>
            </w:pPr>
            <w:r>
              <w:rPr>
                <w:sz w:val="9"/>
              </w:rPr>
              <w:t>flooding. Develop more accurate flood warnings for tributaries of the River Aire which will result in reduction of economic damages and improve community safety</w:t>
            </w:r>
          </w:p>
        </w:tc>
        <w:tc>
          <w:tcPr>
            <w:tcW w:w="822" w:type="dxa"/>
            <w:shd w:val="clear" w:color="auto" w:fill="D9D9D9"/>
          </w:tcPr>
          <w:p>
            <w:pPr>
              <w:pStyle w:val="TableParagraph"/>
              <w:spacing w:before="5"/>
              <w:rPr>
                <w:sz w:val="12"/>
              </w:rPr>
            </w:pPr>
          </w:p>
          <w:p>
            <w:pPr>
              <w:pStyle w:val="TableParagraph"/>
              <w:spacing w:line="256" w:lineRule="auto"/>
              <w:ind w:left="18" w:right="33"/>
              <w:rPr>
                <w:sz w:val="9"/>
              </w:rPr>
            </w:pPr>
            <w:r>
              <w:rPr>
                <w:w w:val="95"/>
                <w:sz w:val="9"/>
              </w:rPr>
              <w:t>Environment </w:t>
            </w:r>
            <w:r>
              <w:rPr>
                <w:sz w:val="9"/>
              </w:rPr>
              <w:t>Agency</w:t>
            </w:r>
          </w:p>
        </w:tc>
        <w:tc>
          <w:tcPr>
            <w:tcW w:w="1000" w:type="dxa"/>
            <w:shd w:val="clear" w:color="auto" w:fill="D9D9D9"/>
          </w:tcPr>
          <w:p>
            <w:pPr>
              <w:pStyle w:val="TableParagraph"/>
              <w:rPr>
                <w:sz w:val="10"/>
              </w:rPr>
            </w:pPr>
          </w:p>
          <w:p>
            <w:pPr>
              <w:pStyle w:val="TableParagraph"/>
              <w:spacing w:before="84"/>
              <w:ind w:left="17"/>
              <w:rPr>
                <w:sz w:val="9"/>
              </w:rPr>
            </w:pPr>
            <w:r>
              <w:rPr>
                <w:sz w:val="9"/>
              </w:rPr>
              <w:t>Leeds City Council</w:t>
            </w:r>
          </w:p>
        </w:tc>
        <w:tc>
          <w:tcPr>
            <w:tcW w:w="599" w:type="dxa"/>
            <w:shd w:val="clear" w:color="auto" w:fill="D9D9D9"/>
          </w:tcPr>
          <w:p>
            <w:pPr>
              <w:pStyle w:val="TableParagraph"/>
              <w:rPr>
                <w:sz w:val="10"/>
              </w:rPr>
            </w:pPr>
          </w:p>
          <w:p>
            <w:pPr>
              <w:pStyle w:val="TableParagraph"/>
              <w:spacing w:before="84"/>
              <w:ind w:left="15"/>
              <w:rPr>
                <w:sz w:val="9"/>
              </w:rPr>
            </w:pPr>
            <w:r>
              <w:rPr>
                <w:sz w:val="9"/>
              </w:rPr>
              <w:t>17/10/2018</w:t>
            </w:r>
          </w:p>
        </w:tc>
      </w:tr>
      <w:tr>
        <w:trPr>
          <w:trHeight w:val="197" w:hRule="atLeast"/>
        </w:trPr>
        <w:tc>
          <w:tcPr>
            <w:tcW w:w="271" w:type="dxa"/>
          </w:tcPr>
          <w:p>
            <w:pPr>
              <w:pStyle w:val="TableParagraph"/>
              <w:spacing w:before="30"/>
              <w:ind w:left="16"/>
              <w:rPr>
                <w:sz w:val="10"/>
              </w:rPr>
            </w:pPr>
            <w:r>
              <w:rPr>
                <w:w w:val="105"/>
                <w:sz w:val="10"/>
              </w:rPr>
              <w:t>S35</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37"/>
              <w:ind w:left="12" w:right="8"/>
              <w:jc w:val="center"/>
              <w:rPr>
                <w:b/>
                <w:sz w:val="9"/>
              </w:rPr>
            </w:pPr>
            <w:r>
              <w:rPr>
                <w:b/>
                <w:sz w:val="9"/>
              </w:rPr>
              <w:t>Completed</w:t>
            </w:r>
          </w:p>
        </w:tc>
        <w:tc>
          <w:tcPr>
            <w:tcW w:w="1106" w:type="dxa"/>
            <w:shd w:val="clear" w:color="auto" w:fill="D9D9D9"/>
          </w:tcPr>
          <w:p>
            <w:pPr>
              <w:pStyle w:val="TableParagraph"/>
              <w:spacing w:before="37"/>
              <w:ind w:left="429" w:right="425"/>
              <w:jc w:val="center"/>
              <w:rPr>
                <w:b/>
                <w:sz w:val="9"/>
              </w:rPr>
            </w:pPr>
            <w:r>
              <w:rPr>
                <w:b/>
                <w:sz w:val="9"/>
              </w:rPr>
              <w:t>2018</w:t>
            </w:r>
          </w:p>
        </w:tc>
        <w:tc>
          <w:tcPr>
            <w:tcW w:w="3040" w:type="dxa"/>
            <w:shd w:val="clear" w:color="auto" w:fill="D9D9D9"/>
          </w:tcPr>
          <w:p>
            <w:pPr>
              <w:pStyle w:val="TableParagraph"/>
              <w:spacing w:before="37"/>
              <w:ind w:left="17"/>
              <w:rPr>
                <w:sz w:val="9"/>
              </w:rPr>
            </w:pPr>
            <w:r>
              <w:rPr>
                <w:sz w:val="9"/>
              </w:rPr>
              <w:t>Westfields, Allerton Bywater</w:t>
            </w:r>
          </w:p>
        </w:tc>
        <w:tc>
          <w:tcPr>
            <w:tcW w:w="530" w:type="dxa"/>
            <w:shd w:val="clear" w:color="auto" w:fill="D9D9D9"/>
          </w:tcPr>
          <w:p>
            <w:pPr>
              <w:pStyle w:val="TableParagraph"/>
              <w:spacing w:before="37"/>
              <w:ind w:left="18"/>
              <w:rPr>
                <w:sz w:val="9"/>
              </w:rPr>
            </w:pPr>
            <w:r>
              <w:rPr>
                <w:sz w:val="9"/>
              </w:rPr>
              <w:t>101%</w:t>
            </w:r>
          </w:p>
        </w:tc>
        <w:tc>
          <w:tcPr>
            <w:tcW w:w="993" w:type="dxa"/>
            <w:shd w:val="clear" w:color="auto" w:fill="D9D9D9"/>
          </w:tcPr>
          <w:p>
            <w:pPr>
              <w:pStyle w:val="TableParagraph"/>
              <w:spacing w:before="37"/>
              <w:ind w:left="18"/>
              <w:rPr>
                <w:sz w:val="9"/>
              </w:rPr>
            </w:pPr>
            <w:r>
              <w:rPr>
                <w:sz w:val="9"/>
              </w:rPr>
              <w:t>£600k</w:t>
            </w:r>
          </w:p>
        </w:tc>
        <w:tc>
          <w:tcPr>
            <w:tcW w:w="1243" w:type="dxa"/>
            <w:shd w:val="clear" w:color="auto" w:fill="D9D9D9"/>
          </w:tcPr>
          <w:p>
            <w:pPr>
              <w:pStyle w:val="TableParagraph"/>
              <w:spacing w:before="37"/>
              <w:ind w:left="19"/>
              <w:rPr>
                <w:sz w:val="9"/>
              </w:rPr>
            </w:pPr>
            <w:r>
              <w:rPr>
                <w:sz w:val="9"/>
              </w:rPr>
              <w:t>Allerton Bywater</w:t>
            </w:r>
          </w:p>
        </w:tc>
        <w:tc>
          <w:tcPr>
            <w:tcW w:w="1505" w:type="dxa"/>
            <w:shd w:val="clear" w:color="auto" w:fill="D9D9D9"/>
          </w:tcPr>
          <w:p>
            <w:pPr>
              <w:pStyle w:val="TableParagraph"/>
              <w:spacing w:line="85"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37"/>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37"/>
              <w:ind w:left="19"/>
              <w:rPr>
                <w:sz w:val="9"/>
              </w:rPr>
            </w:pPr>
            <w:r>
              <w:rPr>
                <w:sz w:val="9"/>
              </w:rPr>
              <w:t>Scheme Completed</w:t>
            </w:r>
          </w:p>
        </w:tc>
        <w:tc>
          <w:tcPr>
            <w:tcW w:w="2096" w:type="dxa"/>
            <w:shd w:val="clear" w:color="auto" w:fill="D9D9D9"/>
          </w:tcPr>
          <w:p>
            <w:pPr>
              <w:pStyle w:val="TableParagraph"/>
              <w:spacing w:before="37"/>
              <w:ind w:left="19"/>
              <w:rPr>
                <w:sz w:val="9"/>
              </w:rPr>
            </w:pPr>
            <w:r>
              <w:rPr>
                <w:sz w:val="9"/>
              </w:rPr>
              <w:t>Reduce risk of flooding</w:t>
            </w:r>
          </w:p>
        </w:tc>
        <w:tc>
          <w:tcPr>
            <w:tcW w:w="822" w:type="dxa"/>
            <w:shd w:val="clear" w:color="auto" w:fill="D9D9D9"/>
          </w:tcPr>
          <w:p>
            <w:pPr>
              <w:pStyle w:val="TableParagraph"/>
              <w:spacing w:line="85"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37"/>
              <w:ind w:left="17"/>
              <w:rPr>
                <w:sz w:val="9"/>
              </w:rPr>
            </w:pPr>
            <w:r>
              <w:rPr>
                <w:sz w:val="9"/>
              </w:rPr>
              <w:t>Environment Agency</w:t>
            </w:r>
          </w:p>
        </w:tc>
        <w:tc>
          <w:tcPr>
            <w:tcW w:w="599" w:type="dxa"/>
            <w:shd w:val="clear" w:color="auto" w:fill="D9D9D9"/>
          </w:tcPr>
          <w:p>
            <w:pPr>
              <w:pStyle w:val="TableParagraph"/>
              <w:spacing w:before="37"/>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S32</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8"/>
              <w:jc w:val="center"/>
              <w:rPr>
                <w:b/>
                <w:sz w:val="9"/>
              </w:rPr>
            </w:pPr>
            <w:r>
              <w:rPr>
                <w:b/>
                <w:sz w:val="9"/>
              </w:rPr>
              <w:t>Completed</w:t>
            </w:r>
          </w:p>
        </w:tc>
        <w:tc>
          <w:tcPr>
            <w:tcW w:w="1106" w:type="dxa"/>
            <w:shd w:val="clear" w:color="auto" w:fill="D9D9D9"/>
          </w:tcPr>
          <w:p>
            <w:pPr>
              <w:pStyle w:val="TableParagraph"/>
              <w:spacing w:before="40"/>
              <w:ind w:left="429" w:right="425"/>
              <w:jc w:val="center"/>
              <w:rPr>
                <w:b/>
                <w:sz w:val="9"/>
              </w:rPr>
            </w:pPr>
            <w:r>
              <w:rPr>
                <w:b/>
                <w:sz w:val="9"/>
              </w:rPr>
              <w:t>2016</w:t>
            </w:r>
          </w:p>
        </w:tc>
        <w:tc>
          <w:tcPr>
            <w:tcW w:w="3040" w:type="dxa"/>
            <w:shd w:val="clear" w:color="auto" w:fill="D9D9D9"/>
          </w:tcPr>
          <w:p>
            <w:pPr>
              <w:pStyle w:val="TableParagraph"/>
              <w:spacing w:before="40"/>
              <w:ind w:left="17"/>
              <w:rPr>
                <w:sz w:val="9"/>
              </w:rPr>
            </w:pPr>
            <w:r>
              <w:rPr>
                <w:sz w:val="9"/>
              </w:rPr>
              <w:t>Hawthorn Terrace Flood Alleviation Scheme Phase 1</w:t>
            </w:r>
          </w:p>
        </w:tc>
        <w:tc>
          <w:tcPr>
            <w:tcW w:w="530" w:type="dxa"/>
            <w:shd w:val="clear" w:color="auto" w:fill="D9D9D9"/>
          </w:tcPr>
          <w:p>
            <w:pPr>
              <w:pStyle w:val="TableParagraph"/>
              <w:spacing w:before="40"/>
              <w:ind w:left="18"/>
              <w:rPr>
                <w:sz w:val="9"/>
              </w:rPr>
            </w:pPr>
            <w:r>
              <w:rPr>
                <w:sz w:val="9"/>
              </w:rPr>
              <w:t>125%</w:t>
            </w:r>
          </w:p>
        </w:tc>
        <w:tc>
          <w:tcPr>
            <w:tcW w:w="993" w:type="dxa"/>
            <w:shd w:val="clear" w:color="auto" w:fill="D9D9D9"/>
          </w:tcPr>
          <w:p>
            <w:pPr>
              <w:pStyle w:val="TableParagraph"/>
              <w:spacing w:before="40"/>
              <w:ind w:left="19"/>
              <w:rPr>
                <w:sz w:val="9"/>
              </w:rPr>
            </w:pPr>
            <w:r>
              <w:rPr>
                <w:sz w:val="9"/>
              </w:rPr>
              <w:t>£47k</w:t>
            </w:r>
          </w:p>
        </w:tc>
        <w:tc>
          <w:tcPr>
            <w:tcW w:w="1243" w:type="dxa"/>
            <w:shd w:val="clear" w:color="auto" w:fill="D9D9D9"/>
          </w:tcPr>
          <w:p>
            <w:pPr>
              <w:pStyle w:val="TableParagraph"/>
              <w:spacing w:before="40"/>
              <w:ind w:left="19"/>
              <w:rPr>
                <w:sz w:val="9"/>
              </w:rPr>
            </w:pPr>
            <w:r>
              <w:rPr>
                <w:sz w:val="9"/>
              </w:rPr>
              <w:t>West Garforth</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line="89" w:lineRule="exact"/>
              <w:ind w:left="19"/>
              <w:rPr>
                <w:sz w:val="9"/>
              </w:rPr>
            </w:pPr>
            <w:r>
              <w:rPr>
                <w:sz w:val="9"/>
              </w:rPr>
              <w:t>Initial scheme completed, but further defects with existing assets and connected infrastructure identified so furthe</w:t>
            </w:r>
          </w:p>
          <w:p>
            <w:pPr>
              <w:pStyle w:val="TableParagraph"/>
              <w:spacing w:line="85" w:lineRule="exact" w:before="7"/>
              <w:ind w:left="19"/>
              <w:rPr>
                <w:sz w:val="9"/>
              </w:rPr>
            </w:pPr>
            <w:r>
              <w:rPr>
                <w:sz w:val="9"/>
              </w:rPr>
              <w:t>works needed and being designed</w:t>
            </w:r>
          </w:p>
        </w:tc>
        <w:tc>
          <w:tcPr>
            <w:tcW w:w="2096" w:type="dxa"/>
            <w:shd w:val="clear" w:color="auto" w:fill="D9D9D9"/>
          </w:tcPr>
          <w:p>
            <w:pPr>
              <w:pStyle w:val="TableParagraph"/>
              <w:spacing w:before="40"/>
              <w:ind w:left="19"/>
              <w:rPr>
                <w:sz w:val="9"/>
              </w:rPr>
            </w:pPr>
            <w:r>
              <w:rPr>
                <w:sz w:val="9"/>
              </w:rPr>
              <w:t>Reduced risk of flooding</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414" w:hRule="atLeast"/>
        </w:trPr>
        <w:tc>
          <w:tcPr>
            <w:tcW w:w="271" w:type="dxa"/>
          </w:tcPr>
          <w:p>
            <w:pPr>
              <w:pStyle w:val="TableParagraph"/>
              <w:spacing w:before="3"/>
              <w:rPr>
                <w:sz w:val="12"/>
              </w:rPr>
            </w:pPr>
          </w:p>
          <w:p>
            <w:pPr>
              <w:pStyle w:val="TableParagraph"/>
              <w:ind w:left="16"/>
              <w:rPr>
                <w:sz w:val="10"/>
              </w:rPr>
            </w:pPr>
            <w:r>
              <w:rPr>
                <w:w w:val="105"/>
                <w:sz w:val="10"/>
              </w:rPr>
              <w:t>S20</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8"/>
              <w:rPr>
                <w:sz w:val="12"/>
              </w:rPr>
            </w:pPr>
          </w:p>
          <w:p>
            <w:pPr>
              <w:pStyle w:val="TableParagraph"/>
              <w:ind w:left="11" w:right="11"/>
              <w:jc w:val="center"/>
              <w:rPr>
                <w:b/>
                <w:sz w:val="9"/>
              </w:rPr>
            </w:pPr>
            <w:r>
              <w:rPr>
                <w:b/>
                <w:sz w:val="9"/>
              </w:rPr>
              <w:t>Superceded</w:t>
            </w:r>
          </w:p>
        </w:tc>
        <w:tc>
          <w:tcPr>
            <w:tcW w:w="1106" w:type="dxa"/>
            <w:shd w:val="clear" w:color="auto" w:fill="D9D9D9"/>
          </w:tcPr>
          <w:p>
            <w:pPr>
              <w:pStyle w:val="TableParagraph"/>
              <w:spacing w:before="8"/>
              <w:rPr>
                <w:sz w:val="12"/>
              </w:rPr>
            </w:pPr>
          </w:p>
          <w:p>
            <w:pPr>
              <w:pStyle w:val="TableParagraph"/>
              <w:ind w:left="429" w:right="424"/>
              <w:jc w:val="center"/>
              <w:rPr>
                <w:b/>
                <w:sz w:val="9"/>
              </w:rPr>
            </w:pPr>
            <w:r>
              <w:rPr>
                <w:b/>
                <w:sz w:val="9"/>
              </w:rPr>
              <w:t>2020</w:t>
            </w:r>
          </w:p>
        </w:tc>
        <w:tc>
          <w:tcPr>
            <w:tcW w:w="3040" w:type="dxa"/>
            <w:shd w:val="clear" w:color="auto" w:fill="D9D9D9"/>
          </w:tcPr>
          <w:p>
            <w:pPr>
              <w:pStyle w:val="TableParagraph"/>
              <w:spacing w:before="10"/>
              <w:rPr>
                <w:sz w:val="7"/>
              </w:rPr>
            </w:pPr>
          </w:p>
          <w:p>
            <w:pPr>
              <w:pStyle w:val="TableParagraph"/>
              <w:spacing w:line="256" w:lineRule="auto"/>
              <w:ind w:left="17"/>
              <w:rPr>
                <w:sz w:val="9"/>
              </w:rPr>
            </w:pPr>
            <w:r>
              <w:rPr>
                <w:sz w:val="9"/>
              </w:rPr>
              <w:t>Investigate the interaction between the Leeds and Liverpool Canal and the River Aire.</w:t>
            </w:r>
          </w:p>
        </w:tc>
        <w:tc>
          <w:tcPr>
            <w:tcW w:w="530" w:type="dxa"/>
            <w:shd w:val="clear" w:color="auto" w:fill="D9D9D9"/>
          </w:tcPr>
          <w:p>
            <w:pPr>
              <w:pStyle w:val="TableParagraph"/>
              <w:spacing w:before="8"/>
              <w:rPr>
                <w:sz w:val="12"/>
              </w:rPr>
            </w:pPr>
          </w:p>
          <w:p>
            <w:pPr>
              <w:pStyle w:val="TableParagraph"/>
              <w:ind w:left="18"/>
              <w:rPr>
                <w:sz w:val="9"/>
              </w:rPr>
            </w:pPr>
            <w:r>
              <w:rPr>
                <w:sz w:val="9"/>
              </w:rPr>
              <w:t>TBC</w:t>
            </w:r>
          </w:p>
        </w:tc>
        <w:tc>
          <w:tcPr>
            <w:tcW w:w="993" w:type="dxa"/>
            <w:shd w:val="clear" w:color="auto" w:fill="D9D9D9"/>
          </w:tcPr>
          <w:p>
            <w:pPr>
              <w:pStyle w:val="TableParagraph"/>
              <w:spacing w:before="8"/>
              <w:rPr>
                <w:sz w:val="12"/>
              </w:rPr>
            </w:pPr>
          </w:p>
          <w:p>
            <w:pPr>
              <w:pStyle w:val="TableParagraph"/>
              <w:ind w:left="19"/>
              <w:rPr>
                <w:sz w:val="9"/>
              </w:rPr>
            </w:pPr>
            <w:r>
              <w:rPr>
                <w:sz w:val="9"/>
              </w:rPr>
              <w:t>£10k</w:t>
            </w:r>
          </w:p>
        </w:tc>
        <w:tc>
          <w:tcPr>
            <w:tcW w:w="1243" w:type="dxa"/>
            <w:shd w:val="clear" w:color="auto" w:fill="D9D9D9"/>
          </w:tcPr>
          <w:p>
            <w:pPr>
              <w:pStyle w:val="TableParagraph"/>
              <w:spacing w:before="8"/>
              <w:rPr>
                <w:sz w:val="12"/>
              </w:rPr>
            </w:pPr>
          </w:p>
          <w:p>
            <w:pPr>
              <w:pStyle w:val="TableParagraph"/>
              <w:ind w:left="19"/>
              <w:rPr>
                <w:sz w:val="9"/>
              </w:rPr>
            </w:pPr>
            <w:r>
              <w:rPr>
                <w:sz w:val="9"/>
              </w:rPr>
              <w:t>River</w:t>
            </w:r>
            <w:r>
              <w:rPr>
                <w:spacing w:val="-8"/>
                <w:sz w:val="9"/>
              </w:rPr>
              <w:t> </w:t>
            </w:r>
            <w:r>
              <w:rPr>
                <w:sz w:val="9"/>
              </w:rPr>
              <w:t>Aire</w:t>
            </w:r>
            <w:r>
              <w:rPr>
                <w:spacing w:val="-7"/>
                <w:sz w:val="9"/>
              </w:rPr>
              <w:t> </w:t>
            </w:r>
            <w:r>
              <w:rPr>
                <w:sz w:val="9"/>
              </w:rPr>
              <w:t>and</w:t>
            </w:r>
            <w:r>
              <w:rPr>
                <w:spacing w:val="-7"/>
                <w:sz w:val="9"/>
              </w:rPr>
              <w:t> </w:t>
            </w:r>
            <w:r>
              <w:rPr>
                <w:sz w:val="9"/>
              </w:rPr>
              <w:t>Liverpool</w:t>
            </w:r>
            <w:r>
              <w:rPr>
                <w:spacing w:val="-7"/>
                <w:sz w:val="9"/>
              </w:rPr>
              <w:t> </w:t>
            </w:r>
            <w:r>
              <w:rPr>
                <w:sz w:val="9"/>
              </w:rPr>
              <w:t>Canal</w:t>
            </w:r>
          </w:p>
        </w:tc>
        <w:tc>
          <w:tcPr>
            <w:tcW w:w="1505" w:type="dxa"/>
            <w:shd w:val="clear" w:color="auto" w:fill="D9D9D9"/>
          </w:tcPr>
          <w:p>
            <w:pPr>
              <w:pStyle w:val="TableParagraph"/>
              <w:spacing w:before="10"/>
              <w:rPr>
                <w:sz w:val="7"/>
              </w:rPr>
            </w:pPr>
          </w:p>
          <w:p>
            <w:pPr>
              <w:pStyle w:val="TableParagraph"/>
              <w:spacing w:line="256" w:lineRule="auto"/>
              <w:ind w:left="19"/>
              <w:rPr>
                <w:sz w:val="9"/>
              </w:rPr>
            </w:pPr>
            <w:r>
              <w:rPr>
                <w:sz w:val="9"/>
              </w:rPr>
              <w:t>3. Studies, schemes, assessments and plans</w:t>
            </w:r>
          </w:p>
        </w:tc>
        <w:tc>
          <w:tcPr>
            <w:tcW w:w="3768" w:type="dxa"/>
            <w:shd w:val="clear" w:color="auto" w:fill="D9D9D9"/>
          </w:tcPr>
          <w:p>
            <w:pPr>
              <w:pStyle w:val="TableParagraph"/>
              <w:spacing w:before="8"/>
              <w:rPr>
                <w:sz w:val="12"/>
              </w:rPr>
            </w:pPr>
          </w:p>
          <w:p>
            <w:pPr>
              <w:pStyle w:val="TableParagraph"/>
              <w:ind w:left="19"/>
              <w:rPr>
                <w:sz w:val="9"/>
              </w:rPr>
            </w:pPr>
            <w:r>
              <w:rPr>
                <w:sz w:val="9"/>
              </w:rPr>
              <w:t>6. Improve understanding of local flood risk and seek to decrease local flood risk.</w:t>
            </w:r>
          </w:p>
        </w:tc>
        <w:tc>
          <w:tcPr>
            <w:tcW w:w="4678" w:type="dxa"/>
            <w:shd w:val="clear" w:color="auto" w:fill="D9D9D9"/>
          </w:tcPr>
          <w:p>
            <w:pPr>
              <w:pStyle w:val="TableParagraph"/>
              <w:spacing w:line="256" w:lineRule="auto" w:before="35"/>
              <w:ind w:left="19" w:right="-29"/>
              <w:jc w:val="both"/>
              <w:rPr>
                <w:sz w:val="9"/>
              </w:rPr>
            </w:pPr>
            <w:r>
              <w:rPr>
                <w:sz w:val="9"/>
              </w:rPr>
              <w:t>This</w:t>
            </w:r>
            <w:r>
              <w:rPr>
                <w:spacing w:val="-6"/>
                <w:sz w:val="9"/>
              </w:rPr>
              <w:t> </w:t>
            </w:r>
            <w:r>
              <w:rPr>
                <w:sz w:val="9"/>
              </w:rPr>
              <w:t>study</w:t>
            </w:r>
            <w:r>
              <w:rPr>
                <w:spacing w:val="-5"/>
                <w:sz w:val="9"/>
              </w:rPr>
              <w:t> </w:t>
            </w:r>
            <w:r>
              <w:rPr>
                <w:sz w:val="9"/>
              </w:rPr>
              <w:t>should</w:t>
            </w:r>
            <w:r>
              <w:rPr>
                <w:spacing w:val="-6"/>
                <w:sz w:val="9"/>
              </w:rPr>
              <w:t> </w:t>
            </w:r>
            <w:r>
              <w:rPr>
                <w:sz w:val="9"/>
              </w:rPr>
              <w:t>identify</w:t>
            </w:r>
            <w:r>
              <w:rPr>
                <w:spacing w:val="-5"/>
                <w:sz w:val="9"/>
              </w:rPr>
              <w:t> </w:t>
            </w:r>
            <w:r>
              <w:rPr>
                <w:sz w:val="9"/>
              </w:rPr>
              <w:t>the</w:t>
            </w:r>
            <w:r>
              <w:rPr>
                <w:spacing w:val="-6"/>
                <w:sz w:val="9"/>
              </w:rPr>
              <w:t> </w:t>
            </w:r>
            <w:r>
              <w:rPr>
                <w:sz w:val="9"/>
              </w:rPr>
              <w:t>potential</w:t>
            </w:r>
            <w:r>
              <w:rPr>
                <w:spacing w:val="-5"/>
                <w:sz w:val="9"/>
              </w:rPr>
              <w:t> </w:t>
            </w:r>
            <w:r>
              <w:rPr>
                <w:sz w:val="9"/>
              </w:rPr>
              <w:t>for</w:t>
            </w:r>
            <w:r>
              <w:rPr>
                <w:spacing w:val="-5"/>
                <w:sz w:val="9"/>
              </w:rPr>
              <w:t> </w:t>
            </w:r>
            <w:r>
              <w:rPr>
                <w:sz w:val="9"/>
              </w:rPr>
              <w:t>managing</w:t>
            </w:r>
            <w:r>
              <w:rPr>
                <w:spacing w:val="-6"/>
                <w:sz w:val="9"/>
              </w:rPr>
              <w:t> </w:t>
            </w:r>
            <w:r>
              <w:rPr>
                <w:sz w:val="9"/>
              </w:rPr>
              <w:t>this</w:t>
            </w:r>
            <w:r>
              <w:rPr>
                <w:spacing w:val="-5"/>
                <w:sz w:val="9"/>
              </w:rPr>
              <w:t> </w:t>
            </w:r>
            <w:r>
              <w:rPr>
                <w:sz w:val="9"/>
              </w:rPr>
              <w:t>interaction</w:t>
            </w:r>
            <w:r>
              <w:rPr>
                <w:spacing w:val="-6"/>
                <w:sz w:val="9"/>
              </w:rPr>
              <w:t> </w:t>
            </w:r>
            <w:r>
              <w:rPr>
                <w:sz w:val="9"/>
              </w:rPr>
              <w:t>to</w:t>
            </w:r>
            <w:r>
              <w:rPr>
                <w:spacing w:val="-5"/>
                <w:sz w:val="9"/>
              </w:rPr>
              <w:t> </w:t>
            </w:r>
            <w:r>
              <w:rPr>
                <w:sz w:val="9"/>
              </w:rPr>
              <w:t>ensure</w:t>
            </w:r>
            <w:r>
              <w:rPr>
                <w:spacing w:val="-5"/>
                <w:sz w:val="9"/>
              </w:rPr>
              <w:t> </w:t>
            </w:r>
            <w:r>
              <w:rPr>
                <w:sz w:val="9"/>
              </w:rPr>
              <w:t>that</w:t>
            </w:r>
            <w:r>
              <w:rPr>
                <w:spacing w:val="-6"/>
                <w:sz w:val="9"/>
              </w:rPr>
              <w:t> </w:t>
            </w:r>
            <w:r>
              <w:rPr>
                <w:sz w:val="9"/>
              </w:rPr>
              <w:t>flood</w:t>
            </w:r>
            <w:r>
              <w:rPr>
                <w:spacing w:val="-5"/>
                <w:sz w:val="9"/>
              </w:rPr>
              <w:t> </w:t>
            </w:r>
            <w:r>
              <w:rPr>
                <w:sz w:val="9"/>
              </w:rPr>
              <w:t>risk</w:t>
            </w:r>
            <w:r>
              <w:rPr>
                <w:spacing w:val="-6"/>
                <w:sz w:val="9"/>
              </w:rPr>
              <w:t> </w:t>
            </w:r>
            <w:r>
              <w:rPr>
                <w:sz w:val="9"/>
              </w:rPr>
              <w:t>is</w:t>
            </w:r>
            <w:r>
              <w:rPr>
                <w:spacing w:val="-5"/>
                <w:sz w:val="9"/>
              </w:rPr>
              <w:t> </w:t>
            </w:r>
            <w:r>
              <w:rPr>
                <w:sz w:val="9"/>
              </w:rPr>
              <w:t>managed</w:t>
            </w:r>
            <w:r>
              <w:rPr>
                <w:spacing w:val="-6"/>
                <w:sz w:val="9"/>
              </w:rPr>
              <w:t> </w:t>
            </w:r>
            <w:r>
              <w:rPr>
                <w:sz w:val="9"/>
              </w:rPr>
              <w:t>effectively.</w:t>
            </w:r>
            <w:r>
              <w:rPr>
                <w:spacing w:val="-5"/>
                <w:sz w:val="9"/>
              </w:rPr>
              <w:t> </w:t>
            </w:r>
            <w:r>
              <w:rPr>
                <w:sz w:val="9"/>
              </w:rPr>
              <w:t>Thi measure</w:t>
            </w:r>
            <w:r>
              <w:rPr>
                <w:spacing w:val="-5"/>
                <w:sz w:val="9"/>
              </w:rPr>
              <w:t> </w:t>
            </w:r>
            <w:r>
              <w:rPr>
                <w:sz w:val="9"/>
              </w:rPr>
              <w:t>is</w:t>
            </w:r>
            <w:r>
              <w:rPr>
                <w:spacing w:val="-5"/>
                <w:sz w:val="9"/>
              </w:rPr>
              <w:t> </w:t>
            </w:r>
            <w:r>
              <w:rPr>
                <w:sz w:val="9"/>
              </w:rPr>
              <w:t>listed</w:t>
            </w:r>
            <w:r>
              <w:rPr>
                <w:spacing w:val="-4"/>
                <w:sz w:val="9"/>
              </w:rPr>
              <w:t> </w:t>
            </w:r>
            <w:r>
              <w:rPr>
                <w:sz w:val="9"/>
              </w:rPr>
              <w:t>in</w:t>
            </w:r>
            <w:r>
              <w:rPr>
                <w:spacing w:val="-5"/>
                <w:sz w:val="9"/>
              </w:rPr>
              <w:t> </w:t>
            </w:r>
            <w:r>
              <w:rPr>
                <w:sz w:val="9"/>
              </w:rPr>
              <w:t>the</w:t>
            </w:r>
            <w:r>
              <w:rPr>
                <w:spacing w:val="-4"/>
                <w:sz w:val="9"/>
              </w:rPr>
              <w:t> </w:t>
            </w:r>
            <w:r>
              <w:rPr>
                <w:sz w:val="9"/>
              </w:rPr>
              <w:t>Aire</w:t>
            </w:r>
            <w:r>
              <w:rPr>
                <w:spacing w:val="-5"/>
                <w:sz w:val="9"/>
              </w:rPr>
              <w:t> </w:t>
            </w:r>
            <w:r>
              <w:rPr>
                <w:sz w:val="9"/>
              </w:rPr>
              <w:t>Aire</w:t>
            </w:r>
            <w:r>
              <w:rPr>
                <w:spacing w:val="-4"/>
                <w:sz w:val="9"/>
              </w:rPr>
              <w:t> </w:t>
            </w:r>
            <w:r>
              <w:rPr>
                <w:sz w:val="9"/>
              </w:rPr>
              <w:t>Catchment</w:t>
            </w:r>
            <w:r>
              <w:rPr>
                <w:spacing w:val="-5"/>
                <w:sz w:val="9"/>
              </w:rPr>
              <w:t> </w:t>
            </w:r>
            <w:r>
              <w:rPr>
                <w:sz w:val="9"/>
              </w:rPr>
              <w:t>Flood</w:t>
            </w:r>
            <w:r>
              <w:rPr>
                <w:spacing w:val="-4"/>
                <w:sz w:val="9"/>
              </w:rPr>
              <w:t> </w:t>
            </w:r>
            <w:r>
              <w:rPr>
                <w:sz w:val="9"/>
              </w:rPr>
              <w:t>Risk</w:t>
            </w:r>
            <w:r>
              <w:rPr>
                <w:spacing w:val="-5"/>
                <w:sz w:val="9"/>
              </w:rPr>
              <w:t> </w:t>
            </w:r>
            <w:r>
              <w:rPr>
                <w:sz w:val="9"/>
              </w:rPr>
              <w:t>Management</w:t>
            </w:r>
            <w:r>
              <w:rPr>
                <w:spacing w:val="-5"/>
                <w:sz w:val="9"/>
              </w:rPr>
              <w:t> </w:t>
            </w:r>
            <w:r>
              <w:rPr>
                <w:sz w:val="9"/>
              </w:rPr>
              <w:t>Plan</w:t>
            </w:r>
            <w:r>
              <w:rPr>
                <w:spacing w:val="-4"/>
                <w:sz w:val="9"/>
              </w:rPr>
              <w:t> </w:t>
            </w:r>
            <w:r>
              <w:rPr>
                <w:sz w:val="9"/>
              </w:rPr>
              <w:t>for</w:t>
            </w:r>
            <w:r>
              <w:rPr>
                <w:spacing w:val="-5"/>
                <w:sz w:val="9"/>
              </w:rPr>
              <w:t> </w:t>
            </w:r>
            <w:r>
              <w:rPr>
                <w:sz w:val="9"/>
              </w:rPr>
              <w:t>the</w:t>
            </w:r>
            <w:r>
              <w:rPr>
                <w:spacing w:val="-4"/>
                <w:sz w:val="9"/>
              </w:rPr>
              <w:t> </w:t>
            </w:r>
            <w:r>
              <w:rPr>
                <w:sz w:val="9"/>
              </w:rPr>
              <w:t>Leeds</w:t>
            </w:r>
            <w:r>
              <w:rPr>
                <w:spacing w:val="-5"/>
                <w:sz w:val="9"/>
              </w:rPr>
              <w:t> </w:t>
            </w:r>
            <w:r>
              <w:rPr>
                <w:sz w:val="9"/>
              </w:rPr>
              <w:t>Policy</w:t>
            </w:r>
            <w:r>
              <w:rPr>
                <w:spacing w:val="-4"/>
                <w:sz w:val="9"/>
              </w:rPr>
              <w:t> </w:t>
            </w:r>
            <w:r>
              <w:rPr>
                <w:sz w:val="9"/>
              </w:rPr>
              <w:t>Unit</w:t>
            </w:r>
            <w:r>
              <w:rPr>
                <w:spacing w:val="-5"/>
                <w:sz w:val="9"/>
              </w:rPr>
              <w:t> </w:t>
            </w:r>
            <w:r>
              <w:rPr>
                <w:sz w:val="9"/>
              </w:rPr>
              <w:t>-</w:t>
            </w:r>
            <w:r>
              <w:rPr>
                <w:spacing w:val="-4"/>
                <w:sz w:val="9"/>
              </w:rPr>
              <w:t> </w:t>
            </w:r>
            <w:r>
              <w:rPr>
                <w:sz w:val="9"/>
              </w:rPr>
              <w:t>to</w:t>
            </w:r>
            <w:r>
              <w:rPr>
                <w:spacing w:val="-5"/>
                <w:sz w:val="9"/>
              </w:rPr>
              <w:t> </w:t>
            </w:r>
            <w:r>
              <w:rPr>
                <w:sz w:val="9"/>
              </w:rPr>
              <w:t>be</w:t>
            </w:r>
            <w:r>
              <w:rPr>
                <w:spacing w:val="-5"/>
                <w:sz w:val="9"/>
              </w:rPr>
              <w:t> </w:t>
            </w:r>
            <w:r>
              <w:rPr>
                <w:sz w:val="9"/>
              </w:rPr>
              <w:t>progressed by</w:t>
            </w:r>
            <w:r>
              <w:rPr>
                <w:spacing w:val="-3"/>
                <w:sz w:val="9"/>
              </w:rPr>
              <w:t> </w:t>
            </w:r>
            <w:r>
              <w:rPr>
                <w:sz w:val="9"/>
              </w:rPr>
              <w:t>2030.</w:t>
            </w:r>
            <w:r>
              <w:rPr>
                <w:spacing w:val="-2"/>
                <w:sz w:val="9"/>
              </w:rPr>
              <w:t> </w:t>
            </w:r>
            <w:r>
              <w:rPr>
                <w:sz w:val="9"/>
              </w:rPr>
              <w:t>-</w:t>
            </w:r>
            <w:r>
              <w:rPr>
                <w:spacing w:val="-2"/>
                <w:sz w:val="9"/>
              </w:rPr>
              <w:t> </w:t>
            </w:r>
            <w:r>
              <w:rPr>
                <w:sz w:val="9"/>
              </w:rPr>
              <w:t>this</w:t>
            </w:r>
            <w:r>
              <w:rPr>
                <w:spacing w:val="-2"/>
                <w:sz w:val="9"/>
              </w:rPr>
              <w:t> </w:t>
            </w:r>
            <w:r>
              <w:rPr>
                <w:sz w:val="9"/>
              </w:rPr>
              <w:t>has</w:t>
            </w:r>
            <w:r>
              <w:rPr>
                <w:spacing w:val="-2"/>
                <w:sz w:val="9"/>
              </w:rPr>
              <w:t> </w:t>
            </w:r>
            <w:r>
              <w:rPr>
                <w:sz w:val="9"/>
              </w:rPr>
              <w:t>now</w:t>
            </w:r>
            <w:r>
              <w:rPr>
                <w:spacing w:val="-2"/>
                <w:sz w:val="9"/>
              </w:rPr>
              <w:t> </w:t>
            </w:r>
            <w:r>
              <w:rPr>
                <w:sz w:val="9"/>
              </w:rPr>
              <w:t>been</w:t>
            </w:r>
            <w:r>
              <w:rPr>
                <w:spacing w:val="-2"/>
                <w:sz w:val="9"/>
              </w:rPr>
              <w:t> </w:t>
            </w:r>
            <w:r>
              <w:rPr>
                <w:sz w:val="9"/>
              </w:rPr>
              <w:t>included</w:t>
            </w:r>
            <w:r>
              <w:rPr>
                <w:spacing w:val="-2"/>
                <w:sz w:val="9"/>
              </w:rPr>
              <w:t> </w:t>
            </w:r>
            <w:r>
              <w:rPr>
                <w:sz w:val="9"/>
              </w:rPr>
              <w:t>in</w:t>
            </w:r>
            <w:r>
              <w:rPr>
                <w:spacing w:val="-2"/>
                <w:sz w:val="9"/>
              </w:rPr>
              <w:t> </w:t>
            </w:r>
            <w:r>
              <w:rPr>
                <w:sz w:val="9"/>
              </w:rPr>
              <w:t>the</w:t>
            </w:r>
            <w:r>
              <w:rPr>
                <w:spacing w:val="-2"/>
                <w:sz w:val="9"/>
              </w:rPr>
              <w:t> </w:t>
            </w:r>
            <w:r>
              <w:rPr>
                <w:sz w:val="9"/>
              </w:rPr>
              <w:t>scope</w:t>
            </w:r>
            <w:r>
              <w:rPr>
                <w:spacing w:val="-2"/>
                <w:sz w:val="9"/>
              </w:rPr>
              <w:t> </w:t>
            </w:r>
            <w:r>
              <w:rPr>
                <w:sz w:val="9"/>
              </w:rPr>
              <w:t>of</w:t>
            </w:r>
            <w:r>
              <w:rPr>
                <w:spacing w:val="-2"/>
                <w:sz w:val="9"/>
              </w:rPr>
              <w:t> </w:t>
            </w:r>
            <w:r>
              <w:rPr>
                <w:sz w:val="9"/>
              </w:rPr>
              <w:t>Phase</w:t>
            </w:r>
            <w:r>
              <w:rPr>
                <w:spacing w:val="-2"/>
                <w:sz w:val="9"/>
              </w:rPr>
              <w:t> </w:t>
            </w:r>
            <w:r>
              <w:rPr>
                <w:sz w:val="9"/>
              </w:rPr>
              <w:t>2</w:t>
            </w:r>
            <w:r>
              <w:rPr>
                <w:spacing w:val="-2"/>
                <w:sz w:val="9"/>
              </w:rPr>
              <w:t> </w:t>
            </w:r>
            <w:r>
              <w:rPr>
                <w:sz w:val="9"/>
              </w:rPr>
              <w:t>of</w:t>
            </w:r>
            <w:r>
              <w:rPr>
                <w:spacing w:val="-2"/>
                <w:sz w:val="9"/>
              </w:rPr>
              <w:t> </w:t>
            </w:r>
            <w:r>
              <w:rPr>
                <w:sz w:val="9"/>
              </w:rPr>
              <w:t>the</w:t>
            </w:r>
            <w:r>
              <w:rPr>
                <w:spacing w:val="-2"/>
                <w:sz w:val="9"/>
              </w:rPr>
              <w:t> </w:t>
            </w:r>
            <w:r>
              <w:rPr>
                <w:sz w:val="9"/>
              </w:rPr>
              <w:t>Leeds</w:t>
            </w:r>
            <w:r>
              <w:rPr>
                <w:spacing w:val="-2"/>
                <w:sz w:val="9"/>
              </w:rPr>
              <w:t> </w:t>
            </w:r>
            <w:r>
              <w:rPr>
                <w:sz w:val="9"/>
              </w:rPr>
              <w:t>Flood</w:t>
            </w:r>
            <w:r>
              <w:rPr>
                <w:spacing w:val="-2"/>
                <w:sz w:val="9"/>
              </w:rPr>
              <w:t> </w:t>
            </w:r>
            <w:r>
              <w:rPr>
                <w:sz w:val="9"/>
              </w:rPr>
              <w:t>Alleviation</w:t>
            </w:r>
            <w:r>
              <w:rPr>
                <w:spacing w:val="-2"/>
                <w:sz w:val="9"/>
              </w:rPr>
              <w:t> </w:t>
            </w:r>
            <w:r>
              <w:rPr>
                <w:sz w:val="9"/>
              </w:rPr>
              <w:t>Scheme</w:t>
            </w:r>
          </w:p>
        </w:tc>
        <w:tc>
          <w:tcPr>
            <w:tcW w:w="2096" w:type="dxa"/>
            <w:shd w:val="clear" w:color="auto" w:fill="D9D9D9"/>
          </w:tcPr>
          <w:p>
            <w:pPr>
              <w:pStyle w:val="TableParagraph"/>
              <w:spacing w:line="256" w:lineRule="auto" w:before="35"/>
              <w:ind w:left="19" w:right="-5" w:hanging="9"/>
              <w:rPr>
                <w:sz w:val="9"/>
              </w:rPr>
            </w:pPr>
            <w:r>
              <w:rPr>
                <w:spacing w:val="-3"/>
                <w:sz w:val="9"/>
              </w:rPr>
              <w:t>sInvestigate</w:t>
            </w:r>
            <w:r>
              <w:rPr>
                <w:spacing w:val="-6"/>
                <w:sz w:val="9"/>
              </w:rPr>
              <w:t> </w:t>
            </w:r>
            <w:r>
              <w:rPr>
                <w:sz w:val="9"/>
              </w:rPr>
              <w:t>this</w:t>
            </w:r>
            <w:r>
              <w:rPr>
                <w:spacing w:val="-6"/>
                <w:sz w:val="9"/>
              </w:rPr>
              <w:t> </w:t>
            </w:r>
            <w:r>
              <w:rPr>
                <w:sz w:val="9"/>
              </w:rPr>
              <w:t>relationship</w:t>
            </w:r>
            <w:r>
              <w:rPr>
                <w:spacing w:val="-6"/>
                <w:sz w:val="9"/>
              </w:rPr>
              <w:t> </w:t>
            </w:r>
            <w:r>
              <w:rPr>
                <w:sz w:val="9"/>
              </w:rPr>
              <w:t>to</w:t>
            </w:r>
            <w:r>
              <w:rPr>
                <w:spacing w:val="-6"/>
                <w:sz w:val="9"/>
              </w:rPr>
              <w:t> </w:t>
            </w:r>
            <w:r>
              <w:rPr>
                <w:sz w:val="9"/>
              </w:rPr>
              <w:t>improve</w:t>
            </w:r>
            <w:r>
              <w:rPr>
                <w:spacing w:val="-5"/>
                <w:sz w:val="9"/>
              </w:rPr>
              <w:t> </w:t>
            </w:r>
            <w:r>
              <w:rPr>
                <w:sz w:val="9"/>
              </w:rPr>
              <w:t>knowledge</w:t>
            </w:r>
            <w:r>
              <w:rPr>
                <w:spacing w:val="-6"/>
                <w:sz w:val="9"/>
              </w:rPr>
              <w:t> </w:t>
            </w:r>
            <w:r>
              <w:rPr>
                <w:sz w:val="9"/>
              </w:rPr>
              <w:t>of the risk of flooding posed by the Leeds &amp; Liverpool canal</w:t>
            </w:r>
          </w:p>
        </w:tc>
        <w:tc>
          <w:tcPr>
            <w:tcW w:w="822" w:type="dxa"/>
            <w:shd w:val="clear" w:color="auto" w:fill="D9D9D9"/>
          </w:tcPr>
          <w:p>
            <w:pPr>
              <w:pStyle w:val="TableParagraph"/>
              <w:spacing w:before="10"/>
              <w:rPr>
                <w:sz w:val="7"/>
              </w:rPr>
            </w:pPr>
          </w:p>
          <w:p>
            <w:pPr>
              <w:pStyle w:val="TableParagraph"/>
              <w:spacing w:line="256" w:lineRule="auto"/>
              <w:ind w:left="18" w:right="33"/>
              <w:rPr>
                <w:sz w:val="9"/>
              </w:rPr>
            </w:pPr>
            <w:r>
              <w:rPr>
                <w:w w:val="95"/>
                <w:sz w:val="9"/>
              </w:rPr>
              <w:t>Environment </w:t>
            </w:r>
            <w:r>
              <w:rPr>
                <w:sz w:val="9"/>
              </w:rPr>
              <w:t>Agency</w:t>
            </w:r>
          </w:p>
        </w:tc>
        <w:tc>
          <w:tcPr>
            <w:tcW w:w="1000" w:type="dxa"/>
            <w:shd w:val="clear" w:color="auto" w:fill="D9D9D9"/>
          </w:tcPr>
          <w:p>
            <w:pPr>
              <w:pStyle w:val="TableParagraph"/>
              <w:spacing w:before="8"/>
              <w:rPr>
                <w:sz w:val="12"/>
              </w:rPr>
            </w:pPr>
          </w:p>
          <w:p>
            <w:pPr>
              <w:pStyle w:val="TableParagraph"/>
              <w:ind w:left="17"/>
              <w:rPr>
                <w:sz w:val="9"/>
              </w:rPr>
            </w:pPr>
            <w:r>
              <w:rPr>
                <w:sz w:val="9"/>
              </w:rPr>
              <w:t>Canal &amp; River Trust</w:t>
            </w:r>
          </w:p>
        </w:tc>
        <w:tc>
          <w:tcPr>
            <w:tcW w:w="599" w:type="dxa"/>
            <w:shd w:val="clear" w:color="auto" w:fill="D9D9D9"/>
          </w:tcPr>
          <w:p>
            <w:pPr>
              <w:pStyle w:val="TableParagraph"/>
              <w:spacing w:before="8"/>
              <w:rPr>
                <w:sz w:val="12"/>
              </w:rPr>
            </w:pPr>
          </w:p>
          <w:p>
            <w:pPr>
              <w:pStyle w:val="TableParagraph"/>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S8</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7"/>
              <w:jc w:val="center"/>
              <w:rPr>
                <w:b/>
                <w:sz w:val="9"/>
              </w:rPr>
            </w:pPr>
            <w:r>
              <w:rPr>
                <w:b/>
                <w:sz w:val="9"/>
              </w:rPr>
              <w:t>Transferred</w:t>
            </w:r>
          </w:p>
        </w:tc>
        <w:tc>
          <w:tcPr>
            <w:tcW w:w="1106" w:type="dxa"/>
            <w:shd w:val="clear" w:color="auto" w:fill="D9D9D9"/>
          </w:tcPr>
          <w:p>
            <w:pPr>
              <w:pStyle w:val="TableParagraph"/>
              <w:spacing w:before="40"/>
              <w:ind w:left="429" w:right="421"/>
              <w:jc w:val="center"/>
              <w:rPr>
                <w:b/>
                <w:sz w:val="9"/>
              </w:rPr>
            </w:pPr>
            <w:r>
              <w:rPr>
                <w:b/>
                <w:sz w:val="9"/>
              </w:rPr>
              <w:t>NA</w:t>
            </w:r>
          </w:p>
        </w:tc>
        <w:tc>
          <w:tcPr>
            <w:tcW w:w="3040" w:type="dxa"/>
            <w:shd w:val="clear" w:color="auto" w:fill="D9D9D9"/>
          </w:tcPr>
          <w:p>
            <w:pPr>
              <w:pStyle w:val="TableParagraph"/>
              <w:spacing w:before="40"/>
              <w:ind w:left="17"/>
              <w:rPr>
                <w:sz w:val="9"/>
              </w:rPr>
            </w:pPr>
            <w:r>
              <w:rPr>
                <w:sz w:val="9"/>
              </w:rPr>
              <w:t>Cotton Mill Beck Culvert, Valley Road</w:t>
            </w:r>
          </w:p>
        </w:tc>
        <w:tc>
          <w:tcPr>
            <w:tcW w:w="530" w:type="dxa"/>
            <w:shd w:val="clear" w:color="auto" w:fill="D9D9D9"/>
          </w:tcPr>
          <w:p>
            <w:pPr>
              <w:pStyle w:val="TableParagraph"/>
              <w:spacing w:before="40"/>
              <w:ind w:left="18"/>
              <w:rPr>
                <w:sz w:val="9"/>
              </w:rPr>
            </w:pPr>
            <w:r>
              <w:rPr>
                <w:sz w:val="9"/>
              </w:rPr>
              <w:t>NA</w:t>
            </w:r>
          </w:p>
        </w:tc>
        <w:tc>
          <w:tcPr>
            <w:tcW w:w="993" w:type="dxa"/>
            <w:shd w:val="clear" w:color="auto" w:fill="D9D9D9"/>
          </w:tcPr>
          <w:p>
            <w:pPr>
              <w:pStyle w:val="TableParagraph"/>
              <w:spacing w:before="40"/>
              <w:ind w:left="18"/>
              <w:rPr>
                <w:sz w:val="9"/>
              </w:rPr>
            </w:pPr>
            <w:r>
              <w:rPr>
                <w:sz w:val="9"/>
              </w:rPr>
              <w:t>£25k</w:t>
            </w:r>
          </w:p>
        </w:tc>
        <w:tc>
          <w:tcPr>
            <w:tcW w:w="1243" w:type="dxa"/>
            <w:shd w:val="clear" w:color="auto" w:fill="D9D9D9"/>
          </w:tcPr>
          <w:p>
            <w:pPr>
              <w:pStyle w:val="TableParagraph"/>
              <w:spacing w:before="40"/>
              <w:ind w:left="19"/>
              <w:rPr>
                <w:sz w:val="9"/>
              </w:rPr>
            </w:pPr>
            <w:r>
              <w:rPr>
                <w:sz w:val="9"/>
              </w:rPr>
              <w:t>Morley</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before="40"/>
              <w:ind w:left="19"/>
              <w:rPr>
                <w:sz w:val="9"/>
              </w:rPr>
            </w:pPr>
            <w:r>
              <w:rPr>
                <w:sz w:val="9"/>
              </w:rPr>
              <w:t>Scheme transferred to Network Rail for Review</w:t>
            </w:r>
          </w:p>
        </w:tc>
        <w:tc>
          <w:tcPr>
            <w:tcW w:w="2096" w:type="dxa"/>
            <w:shd w:val="clear" w:color="auto" w:fill="D9D9D9"/>
          </w:tcPr>
          <w:p>
            <w:pPr>
              <w:pStyle w:val="TableParagraph"/>
              <w:spacing w:before="40"/>
              <w:ind w:left="19"/>
              <w:rPr>
                <w:sz w:val="9"/>
              </w:rPr>
            </w:pPr>
            <w:r>
              <w:rPr>
                <w:sz w:val="9"/>
              </w:rPr>
              <w:t>Reduce risk of flooding</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201" w:hRule="atLeast"/>
        </w:trPr>
        <w:tc>
          <w:tcPr>
            <w:tcW w:w="271" w:type="dxa"/>
          </w:tcPr>
          <w:p>
            <w:pPr>
              <w:pStyle w:val="TableParagraph"/>
              <w:spacing w:before="33"/>
              <w:ind w:left="16"/>
              <w:rPr>
                <w:sz w:val="10"/>
              </w:rPr>
            </w:pPr>
            <w:r>
              <w:rPr>
                <w:w w:val="105"/>
                <w:sz w:val="10"/>
              </w:rPr>
              <w:t>S13</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40"/>
              <w:ind w:left="12" w:right="7"/>
              <w:jc w:val="center"/>
              <w:rPr>
                <w:b/>
                <w:sz w:val="9"/>
              </w:rPr>
            </w:pPr>
            <w:r>
              <w:rPr>
                <w:b/>
                <w:sz w:val="9"/>
              </w:rPr>
              <w:t>Transferred</w:t>
            </w:r>
          </w:p>
        </w:tc>
        <w:tc>
          <w:tcPr>
            <w:tcW w:w="1106" w:type="dxa"/>
            <w:shd w:val="clear" w:color="auto" w:fill="D9D9D9"/>
          </w:tcPr>
          <w:p>
            <w:pPr>
              <w:pStyle w:val="TableParagraph"/>
              <w:spacing w:before="40"/>
              <w:ind w:left="429" w:right="421"/>
              <w:jc w:val="center"/>
              <w:rPr>
                <w:b/>
                <w:sz w:val="9"/>
              </w:rPr>
            </w:pPr>
            <w:r>
              <w:rPr>
                <w:b/>
                <w:sz w:val="9"/>
              </w:rPr>
              <w:t>NA</w:t>
            </w:r>
          </w:p>
        </w:tc>
        <w:tc>
          <w:tcPr>
            <w:tcW w:w="3040" w:type="dxa"/>
            <w:shd w:val="clear" w:color="auto" w:fill="D9D9D9"/>
          </w:tcPr>
          <w:p>
            <w:pPr>
              <w:pStyle w:val="TableParagraph"/>
              <w:spacing w:before="40"/>
              <w:ind w:left="17"/>
              <w:rPr>
                <w:sz w:val="9"/>
              </w:rPr>
            </w:pPr>
            <w:r>
              <w:rPr>
                <w:sz w:val="9"/>
              </w:rPr>
              <w:t>Wakefield Road Flood Alleviation Scheme (transferred to S31)</w:t>
            </w:r>
          </w:p>
        </w:tc>
        <w:tc>
          <w:tcPr>
            <w:tcW w:w="530" w:type="dxa"/>
            <w:shd w:val="clear" w:color="auto" w:fill="D9D9D9"/>
          </w:tcPr>
          <w:p>
            <w:pPr>
              <w:pStyle w:val="TableParagraph"/>
              <w:spacing w:before="40"/>
              <w:ind w:left="19"/>
              <w:rPr>
                <w:sz w:val="9"/>
              </w:rPr>
            </w:pPr>
            <w:r>
              <w:rPr>
                <w:sz w:val="9"/>
              </w:rPr>
              <w:t>102%</w:t>
            </w:r>
          </w:p>
        </w:tc>
        <w:tc>
          <w:tcPr>
            <w:tcW w:w="993" w:type="dxa"/>
            <w:shd w:val="clear" w:color="auto" w:fill="D9D9D9"/>
          </w:tcPr>
          <w:p>
            <w:pPr>
              <w:pStyle w:val="TableParagraph"/>
              <w:spacing w:before="40"/>
              <w:ind w:left="19"/>
              <w:rPr>
                <w:sz w:val="9"/>
              </w:rPr>
            </w:pPr>
            <w:r>
              <w:rPr>
                <w:sz w:val="9"/>
              </w:rPr>
              <w:t>£190k</w:t>
            </w:r>
          </w:p>
        </w:tc>
        <w:tc>
          <w:tcPr>
            <w:tcW w:w="1243" w:type="dxa"/>
            <w:shd w:val="clear" w:color="auto" w:fill="D9D9D9"/>
          </w:tcPr>
          <w:p>
            <w:pPr>
              <w:pStyle w:val="TableParagraph"/>
              <w:spacing w:before="40"/>
              <w:ind w:left="19"/>
              <w:rPr>
                <w:sz w:val="9"/>
              </w:rPr>
            </w:pPr>
            <w:r>
              <w:rPr>
                <w:sz w:val="9"/>
              </w:rPr>
              <w:t>West Garforth</w:t>
            </w:r>
          </w:p>
        </w:tc>
        <w:tc>
          <w:tcPr>
            <w:tcW w:w="1505" w:type="dxa"/>
            <w:shd w:val="clear" w:color="auto" w:fill="D9D9D9"/>
          </w:tcPr>
          <w:p>
            <w:pPr>
              <w:pStyle w:val="TableParagraph"/>
              <w:spacing w:line="89" w:lineRule="exact"/>
              <w:ind w:left="19"/>
              <w:rPr>
                <w:sz w:val="9"/>
              </w:rPr>
            </w:pPr>
            <w:r>
              <w:rPr>
                <w:sz w:val="9"/>
              </w:rPr>
              <w:t>3. Studies, schemes, assessments</w:t>
            </w:r>
          </w:p>
          <w:p>
            <w:pPr>
              <w:pStyle w:val="TableParagraph"/>
              <w:spacing w:line="85" w:lineRule="exact" w:before="7"/>
              <w:ind w:left="19"/>
              <w:rPr>
                <w:sz w:val="9"/>
              </w:rPr>
            </w:pPr>
            <w:r>
              <w:rPr>
                <w:sz w:val="9"/>
              </w:rPr>
              <w:t>and plans</w:t>
            </w:r>
          </w:p>
        </w:tc>
        <w:tc>
          <w:tcPr>
            <w:tcW w:w="3768" w:type="dxa"/>
            <w:shd w:val="clear" w:color="auto" w:fill="D9D9D9"/>
          </w:tcPr>
          <w:p>
            <w:pPr>
              <w:pStyle w:val="TableParagraph"/>
              <w:spacing w:before="40"/>
              <w:ind w:left="19"/>
              <w:rPr>
                <w:sz w:val="9"/>
              </w:rPr>
            </w:pPr>
            <w:r>
              <w:rPr>
                <w:sz w:val="9"/>
              </w:rPr>
              <w:t>6. Improve understanding of local flood risk and seek to decrease local flood risk.</w:t>
            </w:r>
          </w:p>
        </w:tc>
        <w:tc>
          <w:tcPr>
            <w:tcW w:w="4678" w:type="dxa"/>
            <w:shd w:val="clear" w:color="auto" w:fill="D9D9D9"/>
          </w:tcPr>
          <w:p>
            <w:pPr>
              <w:pStyle w:val="TableParagraph"/>
              <w:spacing w:line="89" w:lineRule="exact"/>
              <w:ind w:left="19"/>
              <w:rPr>
                <w:sz w:val="9"/>
              </w:rPr>
            </w:pPr>
            <w:r>
              <w:rPr>
                <w:sz w:val="9"/>
              </w:rPr>
              <w:t>Restricted</w:t>
            </w:r>
            <w:r>
              <w:rPr>
                <w:spacing w:val="-6"/>
                <w:sz w:val="9"/>
              </w:rPr>
              <w:t> </w:t>
            </w:r>
            <w:r>
              <w:rPr>
                <w:sz w:val="9"/>
              </w:rPr>
              <w:t>culvert</w:t>
            </w:r>
            <w:r>
              <w:rPr>
                <w:spacing w:val="-6"/>
                <w:sz w:val="9"/>
              </w:rPr>
              <w:t> </w:t>
            </w:r>
            <w:r>
              <w:rPr>
                <w:sz w:val="9"/>
              </w:rPr>
              <w:t>and</w:t>
            </w:r>
            <w:r>
              <w:rPr>
                <w:spacing w:val="-6"/>
                <w:sz w:val="9"/>
              </w:rPr>
              <w:t> </w:t>
            </w:r>
            <w:r>
              <w:rPr>
                <w:sz w:val="9"/>
              </w:rPr>
              <w:t>surface</w:t>
            </w:r>
            <w:r>
              <w:rPr>
                <w:spacing w:val="-5"/>
                <w:sz w:val="9"/>
              </w:rPr>
              <w:t> </w:t>
            </w:r>
            <w:r>
              <w:rPr>
                <w:sz w:val="9"/>
              </w:rPr>
              <w:t>water</w:t>
            </w:r>
            <w:r>
              <w:rPr>
                <w:spacing w:val="-6"/>
                <w:sz w:val="9"/>
              </w:rPr>
              <w:t> </w:t>
            </w:r>
            <w:r>
              <w:rPr>
                <w:sz w:val="9"/>
              </w:rPr>
              <w:t>flow.</w:t>
            </w:r>
            <w:r>
              <w:rPr>
                <w:spacing w:val="-6"/>
                <w:sz w:val="9"/>
              </w:rPr>
              <w:t> </w:t>
            </w:r>
            <w:r>
              <w:rPr>
                <w:sz w:val="9"/>
              </w:rPr>
              <w:t>Install</w:t>
            </w:r>
            <w:r>
              <w:rPr>
                <w:spacing w:val="-5"/>
                <w:sz w:val="9"/>
              </w:rPr>
              <w:t> </w:t>
            </w:r>
            <w:r>
              <w:rPr>
                <w:sz w:val="9"/>
              </w:rPr>
              <w:t>new</w:t>
            </w:r>
            <w:r>
              <w:rPr>
                <w:spacing w:val="-6"/>
                <w:sz w:val="9"/>
              </w:rPr>
              <w:t> </w:t>
            </w:r>
            <w:r>
              <w:rPr>
                <w:sz w:val="9"/>
              </w:rPr>
              <w:t>culvert</w:t>
            </w:r>
            <w:r>
              <w:rPr>
                <w:spacing w:val="-6"/>
                <w:sz w:val="9"/>
              </w:rPr>
              <w:t> </w:t>
            </w:r>
            <w:r>
              <w:rPr>
                <w:sz w:val="9"/>
              </w:rPr>
              <w:t>and</w:t>
            </w:r>
            <w:r>
              <w:rPr>
                <w:spacing w:val="-6"/>
                <w:sz w:val="9"/>
              </w:rPr>
              <w:t> </w:t>
            </w:r>
            <w:r>
              <w:rPr>
                <w:sz w:val="9"/>
              </w:rPr>
              <w:t>widen</w:t>
            </w:r>
            <w:r>
              <w:rPr>
                <w:spacing w:val="-5"/>
                <w:sz w:val="9"/>
              </w:rPr>
              <w:t> </w:t>
            </w:r>
            <w:r>
              <w:rPr>
                <w:sz w:val="9"/>
              </w:rPr>
              <w:t>highway</w:t>
            </w:r>
            <w:r>
              <w:rPr>
                <w:spacing w:val="-6"/>
                <w:sz w:val="9"/>
              </w:rPr>
              <w:t> </w:t>
            </w:r>
            <w:r>
              <w:rPr>
                <w:sz w:val="9"/>
              </w:rPr>
              <w:t>ditch,</w:t>
            </w:r>
            <w:r>
              <w:rPr>
                <w:spacing w:val="-6"/>
                <w:sz w:val="9"/>
              </w:rPr>
              <w:t> </w:t>
            </w:r>
            <w:r>
              <w:rPr>
                <w:sz w:val="9"/>
              </w:rPr>
              <w:t>design</w:t>
            </w:r>
            <w:r>
              <w:rPr>
                <w:spacing w:val="-5"/>
                <w:sz w:val="9"/>
              </w:rPr>
              <w:t> </w:t>
            </w:r>
            <w:r>
              <w:rPr>
                <w:sz w:val="9"/>
              </w:rPr>
              <w:t>being</w:t>
            </w:r>
            <w:r>
              <w:rPr>
                <w:spacing w:val="-6"/>
                <w:sz w:val="9"/>
              </w:rPr>
              <w:t> </w:t>
            </w:r>
            <w:r>
              <w:rPr>
                <w:sz w:val="9"/>
              </w:rPr>
              <w:t>reviewed</w:t>
            </w:r>
            <w:r>
              <w:rPr>
                <w:spacing w:val="-6"/>
                <w:sz w:val="9"/>
              </w:rPr>
              <w:t> </w:t>
            </w:r>
            <w:r>
              <w:rPr>
                <w:sz w:val="9"/>
              </w:rPr>
              <w:t>in</w:t>
            </w:r>
            <w:r>
              <w:rPr>
                <w:spacing w:val="-6"/>
                <w:sz w:val="9"/>
              </w:rPr>
              <w:t> </w:t>
            </w:r>
            <w:r>
              <w:rPr>
                <w:sz w:val="9"/>
              </w:rPr>
              <w:t>line</w:t>
            </w:r>
            <w:r>
              <w:rPr>
                <w:spacing w:val="-5"/>
                <w:sz w:val="9"/>
              </w:rPr>
              <w:t> </w:t>
            </w:r>
            <w:r>
              <w:rPr>
                <w:sz w:val="9"/>
              </w:rPr>
              <w:t>wi</w:t>
            </w:r>
          </w:p>
          <w:p>
            <w:pPr>
              <w:pStyle w:val="TableParagraph"/>
              <w:spacing w:line="85" w:lineRule="exact" w:before="7"/>
              <w:ind w:left="19"/>
              <w:rPr>
                <w:sz w:val="9"/>
              </w:rPr>
            </w:pPr>
            <w:r>
              <w:rPr>
                <w:sz w:val="9"/>
              </w:rPr>
              <w:t>the findings from the Lin Dyke study as per the above lin</w:t>
            </w:r>
          </w:p>
        </w:tc>
        <w:tc>
          <w:tcPr>
            <w:tcW w:w="2096" w:type="dxa"/>
            <w:shd w:val="clear" w:color="auto" w:fill="D9D9D9"/>
          </w:tcPr>
          <w:p>
            <w:pPr>
              <w:pStyle w:val="TableParagraph"/>
              <w:spacing w:before="40"/>
              <w:ind w:left="19"/>
              <w:rPr>
                <w:sz w:val="9"/>
              </w:rPr>
            </w:pPr>
            <w:r>
              <w:rPr>
                <w:sz w:val="9"/>
              </w:rPr>
              <w:t>Reduce risk of flooding</w:t>
            </w:r>
          </w:p>
        </w:tc>
        <w:tc>
          <w:tcPr>
            <w:tcW w:w="822" w:type="dxa"/>
            <w:shd w:val="clear" w:color="auto" w:fill="D9D9D9"/>
          </w:tcPr>
          <w:p>
            <w:pPr>
              <w:pStyle w:val="TableParagraph"/>
              <w:spacing w:line="89" w:lineRule="exact"/>
              <w:ind w:left="18"/>
              <w:rPr>
                <w:sz w:val="9"/>
              </w:rPr>
            </w:pPr>
            <w:r>
              <w:rPr>
                <w:sz w:val="9"/>
              </w:rPr>
              <w:t>LCC Flood Risk</w:t>
            </w:r>
          </w:p>
          <w:p>
            <w:pPr>
              <w:pStyle w:val="TableParagraph"/>
              <w:spacing w:line="85" w:lineRule="exact" w:before="7"/>
              <w:ind w:left="18"/>
              <w:rPr>
                <w:sz w:val="9"/>
              </w:rPr>
            </w:pPr>
            <w:r>
              <w:rPr>
                <w:sz w:val="9"/>
              </w:rPr>
              <w:t>Management</w:t>
            </w:r>
          </w:p>
        </w:tc>
        <w:tc>
          <w:tcPr>
            <w:tcW w:w="1000" w:type="dxa"/>
            <w:shd w:val="clear" w:color="auto" w:fill="D9D9D9"/>
          </w:tcPr>
          <w:p>
            <w:pPr>
              <w:pStyle w:val="TableParagraph"/>
              <w:spacing w:before="40"/>
              <w:ind w:left="17"/>
              <w:rPr>
                <w:sz w:val="9"/>
              </w:rPr>
            </w:pPr>
            <w:r>
              <w:rPr>
                <w:sz w:val="9"/>
              </w:rPr>
              <w:t>Environment Agency</w:t>
            </w:r>
          </w:p>
        </w:tc>
        <w:tc>
          <w:tcPr>
            <w:tcW w:w="599" w:type="dxa"/>
            <w:shd w:val="clear" w:color="auto" w:fill="D9D9D9"/>
          </w:tcPr>
          <w:p>
            <w:pPr>
              <w:pStyle w:val="TableParagraph"/>
              <w:spacing w:before="40"/>
              <w:ind w:left="15"/>
              <w:rPr>
                <w:sz w:val="9"/>
              </w:rPr>
            </w:pPr>
            <w:r>
              <w:rPr>
                <w:sz w:val="9"/>
              </w:rPr>
              <w:t>17/10/2018</w:t>
            </w:r>
          </w:p>
        </w:tc>
      </w:tr>
      <w:tr>
        <w:trPr>
          <w:trHeight w:val="309" w:hRule="atLeast"/>
        </w:trPr>
        <w:tc>
          <w:tcPr>
            <w:tcW w:w="271" w:type="dxa"/>
          </w:tcPr>
          <w:p>
            <w:pPr>
              <w:pStyle w:val="TableParagraph"/>
              <w:spacing w:before="88"/>
              <w:ind w:left="16"/>
              <w:rPr>
                <w:sz w:val="10"/>
              </w:rPr>
            </w:pPr>
            <w:r>
              <w:rPr>
                <w:w w:val="105"/>
                <w:sz w:val="10"/>
              </w:rPr>
              <w:t>S6</w:t>
            </w:r>
          </w:p>
        </w:tc>
        <w:tc>
          <w:tcPr>
            <w:tcW w:w="494" w:type="dxa"/>
            <w:shd w:val="clear" w:color="auto" w:fill="D9D9D9"/>
          </w:tcPr>
          <w:p>
            <w:pPr>
              <w:pStyle w:val="TableParagraph"/>
              <w:rPr>
                <w:rFonts w:ascii="Times New Roman"/>
                <w:sz w:val="8"/>
              </w:rPr>
            </w:pPr>
          </w:p>
        </w:tc>
        <w:tc>
          <w:tcPr>
            <w:tcW w:w="979" w:type="dxa"/>
            <w:shd w:val="clear" w:color="auto" w:fill="D9D9D9"/>
          </w:tcPr>
          <w:p>
            <w:pPr>
              <w:pStyle w:val="TableParagraph"/>
              <w:spacing w:before="1"/>
              <w:rPr>
                <w:sz w:val="8"/>
              </w:rPr>
            </w:pPr>
          </w:p>
          <w:p>
            <w:pPr>
              <w:pStyle w:val="TableParagraph"/>
              <w:ind w:left="12" w:right="7"/>
              <w:jc w:val="center"/>
              <w:rPr>
                <w:b/>
                <w:sz w:val="9"/>
              </w:rPr>
            </w:pPr>
            <w:r>
              <w:rPr>
                <w:b/>
                <w:sz w:val="9"/>
              </w:rPr>
              <w:t>Transferred</w:t>
            </w:r>
          </w:p>
        </w:tc>
        <w:tc>
          <w:tcPr>
            <w:tcW w:w="1106" w:type="dxa"/>
            <w:shd w:val="clear" w:color="auto" w:fill="D9D9D9"/>
          </w:tcPr>
          <w:p>
            <w:pPr>
              <w:pStyle w:val="TableParagraph"/>
              <w:spacing w:before="1"/>
              <w:rPr>
                <w:sz w:val="8"/>
              </w:rPr>
            </w:pPr>
          </w:p>
          <w:p>
            <w:pPr>
              <w:pStyle w:val="TableParagraph"/>
              <w:ind w:left="429" w:right="421"/>
              <w:jc w:val="center"/>
              <w:rPr>
                <w:b/>
                <w:sz w:val="9"/>
              </w:rPr>
            </w:pPr>
            <w:r>
              <w:rPr>
                <w:b/>
                <w:sz w:val="9"/>
              </w:rPr>
              <w:t>NA</w:t>
            </w:r>
          </w:p>
        </w:tc>
        <w:tc>
          <w:tcPr>
            <w:tcW w:w="3040" w:type="dxa"/>
            <w:shd w:val="clear" w:color="auto" w:fill="D9D9D9"/>
          </w:tcPr>
          <w:p>
            <w:pPr>
              <w:pStyle w:val="TableParagraph"/>
              <w:spacing w:before="1"/>
              <w:rPr>
                <w:sz w:val="8"/>
              </w:rPr>
            </w:pPr>
          </w:p>
          <w:p>
            <w:pPr>
              <w:pStyle w:val="TableParagraph"/>
              <w:ind w:left="17"/>
              <w:rPr>
                <w:sz w:val="9"/>
              </w:rPr>
            </w:pPr>
            <w:r>
              <w:rPr>
                <w:sz w:val="9"/>
              </w:rPr>
              <w:t>Mickletown (Pit Lane) Flood Embankment (transferred to S9)</w:t>
            </w:r>
          </w:p>
        </w:tc>
        <w:tc>
          <w:tcPr>
            <w:tcW w:w="530" w:type="dxa"/>
            <w:shd w:val="clear" w:color="auto" w:fill="D9D9D9"/>
          </w:tcPr>
          <w:p>
            <w:pPr>
              <w:pStyle w:val="TableParagraph"/>
              <w:spacing w:before="1"/>
              <w:rPr>
                <w:sz w:val="8"/>
              </w:rPr>
            </w:pPr>
          </w:p>
          <w:p>
            <w:pPr>
              <w:pStyle w:val="TableParagraph"/>
              <w:ind w:left="18"/>
              <w:rPr>
                <w:sz w:val="9"/>
              </w:rPr>
            </w:pPr>
            <w:r>
              <w:rPr>
                <w:sz w:val="9"/>
              </w:rPr>
              <w:t>153%</w:t>
            </w:r>
          </w:p>
        </w:tc>
        <w:tc>
          <w:tcPr>
            <w:tcW w:w="993" w:type="dxa"/>
            <w:shd w:val="clear" w:color="auto" w:fill="D9D9D9"/>
          </w:tcPr>
          <w:p>
            <w:pPr>
              <w:pStyle w:val="TableParagraph"/>
              <w:spacing w:before="1"/>
              <w:rPr>
                <w:sz w:val="8"/>
              </w:rPr>
            </w:pPr>
          </w:p>
          <w:p>
            <w:pPr>
              <w:pStyle w:val="TableParagraph"/>
              <w:ind w:left="19"/>
              <w:rPr>
                <w:sz w:val="9"/>
              </w:rPr>
            </w:pPr>
            <w:r>
              <w:rPr>
                <w:sz w:val="9"/>
              </w:rPr>
              <w:t>£400k</w:t>
            </w:r>
          </w:p>
        </w:tc>
        <w:tc>
          <w:tcPr>
            <w:tcW w:w="1243" w:type="dxa"/>
            <w:shd w:val="clear" w:color="auto" w:fill="D9D9D9"/>
          </w:tcPr>
          <w:p>
            <w:pPr>
              <w:pStyle w:val="TableParagraph"/>
              <w:spacing w:before="1"/>
              <w:rPr>
                <w:sz w:val="8"/>
              </w:rPr>
            </w:pPr>
          </w:p>
          <w:p>
            <w:pPr>
              <w:pStyle w:val="TableParagraph"/>
              <w:ind w:left="19"/>
              <w:rPr>
                <w:sz w:val="9"/>
              </w:rPr>
            </w:pPr>
            <w:r>
              <w:rPr>
                <w:sz w:val="9"/>
              </w:rPr>
              <w:t>Mickletown</w:t>
            </w:r>
          </w:p>
        </w:tc>
        <w:tc>
          <w:tcPr>
            <w:tcW w:w="1505" w:type="dxa"/>
            <w:shd w:val="clear" w:color="auto" w:fill="D9D9D9"/>
          </w:tcPr>
          <w:p>
            <w:pPr>
              <w:pStyle w:val="TableParagraph"/>
              <w:spacing w:line="256" w:lineRule="auto" w:before="38"/>
              <w:ind w:left="19"/>
              <w:rPr>
                <w:sz w:val="9"/>
              </w:rPr>
            </w:pPr>
            <w:r>
              <w:rPr>
                <w:sz w:val="9"/>
              </w:rPr>
              <w:t>3. Studies, schemes, assessments and plans</w:t>
            </w:r>
          </w:p>
        </w:tc>
        <w:tc>
          <w:tcPr>
            <w:tcW w:w="3768" w:type="dxa"/>
            <w:shd w:val="clear" w:color="auto" w:fill="D9D9D9"/>
          </w:tcPr>
          <w:p>
            <w:pPr>
              <w:pStyle w:val="TableParagraph"/>
              <w:spacing w:before="1"/>
              <w:rPr>
                <w:sz w:val="8"/>
              </w:rPr>
            </w:pPr>
          </w:p>
          <w:p>
            <w:pPr>
              <w:pStyle w:val="TableParagraph"/>
              <w:ind w:left="19"/>
              <w:rPr>
                <w:sz w:val="9"/>
              </w:rPr>
            </w:pPr>
            <w:r>
              <w:rPr>
                <w:sz w:val="9"/>
              </w:rPr>
              <w:t>6. Improve understanding of local flood risk and seek to decrease local flood risk.</w:t>
            </w:r>
          </w:p>
        </w:tc>
        <w:tc>
          <w:tcPr>
            <w:tcW w:w="4678" w:type="dxa"/>
            <w:shd w:val="clear" w:color="auto" w:fill="D9D9D9"/>
          </w:tcPr>
          <w:p>
            <w:pPr>
              <w:pStyle w:val="TableParagraph"/>
              <w:spacing w:line="89" w:lineRule="exact"/>
              <w:ind w:left="19"/>
              <w:rPr>
                <w:sz w:val="9"/>
              </w:rPr>
            </w:pPr>
            <w:r>
              <w:rPr>
                <w:sz w:val="9"/>
              </w:rPr>
              <w:t>Assessment of a proposed setback bank is being Carried out, funding from FCRM GiA and Developer Contribution.</w:t>
            </w:r>
          </w:p>
          <w:p>
            <w:pPr>
              <w:pStyle w:val="TableParagraph"/>
              <w:spacing w:line="110" w:lineRule="atLeast"/>
              <w:ind w:left="19" w:right="112"/>
              <w:rPr>
                <w:sz w:val="9"/>
              </w:rPr>
            </w:pPr>
            <w:r>
              <w:rPr>
                <w:sz w:val="9"/>
              </w:rPr>
              <w:t>Being taken forward separatley from larger scheme - Lower Mickletown Road Flood Embankment, relies on much delayed Lower Aire Modelling work now being reviewed by LCC consultants</w:t>
            </w:r>
          </w:p>
        </w:tc>
        <w:tc>
          <w:tcPr>
            <w:tcW w:w="2096" w:type="dxa"/>
            <w:shd w:val="clear" w:color="auto" w:fill="D9D9D9"/>
          </w:tcPr>
          <w:p>
            <w:pPr>
              <w:pStyle w:val="TableParagraph"/>
              <w:spacing w:before="1"/>
              <w:rPr>
                <w:sz w:val="8"/>
              </w:rPr>
            </w:pPr>
          </w:p>
          <w:p>
            <w:pPr>
              <w:pStyle w:val="TableParagraph"/>
              <w:ind w:left="19"/>
              <w:rPr>
                <w:sz w:val="9"/>
              </w:rPr>
            </w:pPr>
            <w:r>
              <w:rPr>
                <w:sz w:val="9"/>
              </w:rPr>
              <w:t>Reduce risk of flooding</w:t>
            </w:r>
          </w:p>
        </w:tc>
        <w:tc>
          <w:tcPr>
            <w:tcW w:w="822" w:type="dxa"/>
            <w:shd w:val="clear" w:color="auto" w:fill="D9D9D9"/>
          </w:tcPr>
          <w:p>
            <w:pPr>
              <w:pStyle w:val="TableParagraph"/>
              <w:spacing w:line="256" w:lineRule="auto" w:before="38"/>
              <w:ind w:left="18"/>
              <w:rPr>
                <w:sz w:val="9"/>
              </w:rPr>
            </w:pPr>
            <w:r>
              <w:rPr>
                <w:sz w:val="9"/>
              </w:rPr>
              <w:t>LCC Flood Risk Management</w:t>
            </w:r>
          </w:p>
        </w:tc>
        <w:tc>
          <w:tcPr>
            <w:tcW w:w="1000" w:type="dxa"/>
            <w:shd w:val="clear" w:color="auto" w:fill="D9D9D9"/>
          </w:tcPr>
          <w:p>
            <w:pPr>
              <w:pStyle w:val="TableParagraph"/>
              <w:spacing w:before="1"/>
              <w:rPr>
                <w:sz w:val="8"/>
              </w:rPr>
            </w:pPr>
          </w:p>
          <w:p>
            <w:pPr>
              <w:pStyle w:val="TableParagraph"/>
              <w:ind w:left="17"/>
              <w:rPr>
                <w:sz w:val="9"/>
              </w:rPr>
            </w:pPr>
            <w:r>
              <w:rPr>
                <w:sz w:val="9"/>
              </w:rPr>
              <w:t>Environment Agency</w:t>
            </w:r>
          </w:p>
        </w:tc>
        <w:tc>
          <w:tcPr>
            <w:tcW w:w="599" w:type="dxa"/>
            <w:shd w:val="clear" w:color="auto" w:fill="D9D9D9"/>
          </w:tcPr>
          <w:p>
            <w:pPr>
              <w:pStyle w:val="TableParagraph"/>
              <w:spacing w:before="1"/>
              <w:rPr>
                <w:sz w:val="8"/>
              </w:rPr>
            </w:pPr>
          </w:p>
          <w:p>
            <w:pPr>
              <w:pStyle w:val="TableParagraph"/>
              <w:ind w:left="15"/>
              <w:rPr>
                <w:sz w:val="9"/>
              </w:rPr>
            </w:pPr>
            <w:r>
              <w:rPr>
                <w:sz w:val="9"/>
              </w:rPr>
              <w:t>17/10/2018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10"/>
        <w:rPr>
          <w:sz w:val="8"/>
        </w:rPr>
      </w:pPr>
    </w:p>
    <w:p>
      <w:pPr>
        <w:tabs>
          <w:tab w:pos="22264" w:val="left" w:leader="none"/>
        </w:tabs>
        <w:spacing w:before="0"/>
        <w:ind w:left="11060" w:right="0" w:firstLine="0"/>
        <w:jc w:val="left"/>
        <w:rPr>
          <w:sz w:val="7"/>
        </w:rPr>
      </w:pPr>
      <w:r>
        <w:rPr>
          <w:w w:val="105"/>
          <w:sz w:val="7"/>
        </w:rPr>
        <w:t>Appendix C - List of</w:t>
      </w:r>
      <w:r>
        <w:rPr>
          <w:spacing w:val="6"/>
          <w:w w:val="105"/>
          <w:sz w:val="7"/>
        </w:rPr>
        <w:t> </w:t>
      </w:r>
      <w:r>
        <w:rPr>
          <w:w w:val="105"/>
          <w:sz w:val="7"/>
        </w:rPr>
        <w:t>Measures</w:t>
      </w:r>
      <w:r>
        <w:rPr>
          <w:spacing w:val="1"/>
          <w:w w:val="105"/>
          <w:sz w:val="7"/>
        </w:rPr>
        <w:t> </w:t>
      </w:r>
      <w:r>
        <w:rPr>
          <w:w w:val="105"/>
          <w:sz w:val="7"/>
        </w:rPr>
        <w:t>v2.xlsx</w:t>
      </w:r>
      <w:r>
        <w:rPr>
          <w:rFonts w:ascii="Times New Roman"/>
          <w:w w:val="105"/>
          <w:sz w:val="7"/>
        </w:rPr>
        <w:tab/>
      </w:r>
      <w:r>
        <w:rPr>
          <w:w w:val="105"/>
          <w:sz w:val="7"/>
        </w:rPr>
        <w:t>Page 2</w:t>
      </w:r>
    </w:p>
    <w:p>
      <w:pPr>
        <w:spacing w:after="0"/>
        <w:jc w:val="left"/>
        <w:rPr>
          <w:sz w:val="7"/>
        </w:rPr>
        <w:sectPr>
          <w:footerReference w:type="even" r:id="rId91"/>
          <w:pgSz w:w="23820" w:h="16840" w:orient="landscape"/>
          <w:pgMar w:footer="0" w:header="0" w:top="800" w:bottom="280" w:left="24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59"/>
        <w:ind w:left="161" w:right="0" w:firstLine="0"/>
        <w:jc w:val="left"/>
        <w:rPr>
          <w:sz w:val="121"/>
        </w:rPr>
      </w:pPr>
      <w:r>
        <w:rPr/>
        <w:drawing>
          <wp:anchor distT="0" distB="0" distL="0" distR="0" allowOverlap="1" layoutInCell="1" locked="0" behindDoc="0" simplePos="0" relativeHeight="3976">
            <wp:simplePos x="0" y="0"/>
            <wp:positionH relativeFrom="page">
              <wp:posOffset>4647651</wp:posOffset>
            </wp:positionH>
            <wp:positionV relativeFrom="paragraph">
              <wp:posOffset>224837</wp:posOffset>
            </wp:positionV>
            <wp:extent cx="457146" cy="533331"/>
            <wp:effectExtent l="0" t="0" r="0" b="0"/>
            <wp:wrapNone/>
            <wp:docPr id="69" name="image48.jpeg" descr=""/>
            <wp:cNvGraphicFramePr>
              <a:graphicFrameLocks noChangeAspect="1"/>
            </wp:cNvGraphicFramePr>
            <a:graphic>
              <a:graphicData uri="http://schemas.openxmlformats.org/drawingml/2006/picture">
                <pic:pic>
                  <pic:nvPicPr>
                    <pic:cNvPr id="70" name="image48.jpeg"/>
                    <pic:cNvPicPr/>
                  </pic:nvPicPr>
                  <pic:blipFill>
                    <a:blip r:embed="rId93" cstate="print"/>
                    <a:stretch>
                      <a:fillRect/>
                    </a:stretch>
                  </pic:blipFill>
                  <pic:spPr>
                    <a:xfrm>
                      <a:off x="0" y="0"/>
                      <a:ext cx="457146" cy="533331"/>
                    </a:xfrm>
                    <a:prstGeom prst="rect">
                      <a:avLst/>
                    </a:prstGeom>
                  </pic:spPr>
                </pic:pic>
              </a:graphicData>
            </a:graphic>
          </wp:anchor>
        </w:drawing>
      </w:r>
      <w:bookmarkStart w:name="END3_Page_55" w:id="103"/>
      <w:bookmarkEnd w:id="103"/>
      <w:r>
        <w:rPr/>
      </w:r>
      <w:r>
        <w:rPr>
          <w:color w:val="FD4B3F"/>
          <w:w w:val="105"/>
          <w:sz w:val="121"/>
        </w:rPr>
        <w:t>Appendix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r>
        <w:rPr/>
        <w:drawing>
          <wp:anchor distT="0" distB="0" distL="0" distR="0" allowOverlap="1" layoutInCell="1" locked="0" behindDoc="0" simplePos="0" relativeHeight="122">
            <wp:simplePos x="0" y="0"/>
            <wp:positionH relativeFrom="page">
              <wp:posOffset>888895</wp:posOffset>
            </wp:positionH>
            <wp:positionV relativeFrom="paragraph">
              <wp:posOffset>199067</wp:posOffset>
            </wp:positionV>
            <wp:extent cx="5054688" cy="88677"/>
            <wp:effectExtent l="0" t="0" r="0" b="0"/>
            <wp:wrapTopAndBottom/>
            <wp:docPr id="71" name="image38.png" descr=""/>
            <wp:cNvGraphicFramePr>
              <a:graphicFrameLocks noChangeAspect="1"/>
            </wp:cNvGraphicFramePr>
            <a:graphic>
              <a:graphicData uri="http://schemas.openxmlformats.org/drawingml/2006/picture">
                <pic:pic>
                  <pic:nvPicPr>
                    <pic:cNvPr id="72" name="image38.png"/>
                    <pic:cNvPicPr/>
                  </pic:nvPicPr>
                  <pic:blipFill>
                    <a:blip r:embed="rId56" cstate="print"/>
                    <a:stretch>
                      <a:fillRect/>
                    </a:stretch>
                  </pic:blipFill>
                  <pic:spPr>
                    <a:xfrm>
                      <a:off x="0" y="0"/>
                      <a:ext cx="5054688" cy="88677"/>
                    </a:xfrm>
                    <a:prstGeom prst="rect">
                      <a:avLst/>
                    </a:prstGeom>
                  </pic:spPr>
                </pic:pic>
              </a:graphicData>
            </a:graphic>
          </wp:anchor>
        </w:drawing>
      </w:r>
    </w:p>
    <w:p>
      <w:pPr>
        <w:pStyle w:val="BodyText"/>
      </w:pPr>
    </w:p>
    <w:p>
      <w:pPr>
        <w:tabs>
          <w:tab w:pos="1415" w:val="left" w:leader="none"/>
          <w:tab w:pos="3375" w:val="left" w:leader="none"/>
          <w:tab w:pos="4194" w:val="left" w:leader="none"/>
        </w:tabs>
        <w:spacing w:line="211" w:lineRule="auto" w:before="61"/>
        <w:ind w:left="135" w:right="1823" w:firstLine="0"/>
        <w:jc w:val="left"/>
        <w:rPr>
          <w:rFonts w:ascii="Calibri"/>
          <w:sz w:val="52"/>
        </w:rPr>
      </w:pPr>
      <w:r>
        <w:rPr>
          <w:rFonts w:ascii="Calibri"/>
          <w:w w:val="125"/>
          <w:sz w:val="52"/>
        </w:rPr>
        <w:t>KEY</w:t>
        <w:tab/>
        <w:t>LOCAL</w:t>
        <w:tab/>
        <w:t>FLOOD RISK </w:t>
      </w:r>
      <w:r>
        <w:rPr>
          <w:rFonts w:ascii="Calibri"/>
          <w:w w:val="120"/>
          <w:sz w:val="52"/>
        </w:rPr>
        <w:t>MANAGEMENT</w:t>
        <w:tab/>
      </w:r>
      <w:r>
        <w:rPr>
          <w:rFonts w:ascii="Calibri"/>
          <w:spacing w:val="-1"/>
          <w:w w:val="125"/>
          <w:sz w:val="52"/>
        </w:rPr>
        <w:t>CONTACTS</w:t>
      </w:r>
    </w:p>
    <w:p>
      <w:pPr>
        <w:spacing w:after="0" w:line="211" w:lineRule="auto"/>
        <w:jc w:val="left"/>
        <w:rPr>
          <w:rFonts w:ascii="Calibri"/>
          <w:sz w:val="52"/>
        </w:rPr>
        <w:sectPr>
          <w:footerReference w:type="default" r:id="rId92"/>
          <w:pgSz w:w="11920" w:h="16840"/>
          <w:pgMar w:footer="0" w:header="0" w:top="1580" w:bottom="280" w:left="1280" w:right="1680"/>
        </w:sectPr>
      </w:pPr>
    </w:p>
    <w:tbl>
      <w:tblPr>
        <w:tblW w:w="0" w:type="auto"/>
        <w:jc w:val="left"/>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983"/>
        <w:gridCol w:w="5729"/>
        <w:gridCol w:w="5326"/>
        <w:gridCol w:w="1668"/>
      </w:tblGrid>
      <w:tr>
        <w:trPr>
          <w:trHeight w:val="269" w:hRule="atLeast"/>
        </w:trPr>
        <w:tc>
          <w:tcPr>
            <w:tcW w:w="15706" w:type="dxa"/>
            <w:gridSpan w:val="4"/>
            <w:shd w:val="clear" w:color="auto" w:fill="F9423A"/>
          </w:tcPr>
          <w:p>
            <w:pPr>
              <w:pStyle w:val="TableParagraph"/>
              <w:spacing w:line="249" w:lineRule="exact"/>
              <w:ind w:left="39"/>
              <w:rPr>
                <w:sz w:val="24"/>
              </w:rPr>
            </w:pPr>
            <w:bookmarkStart w:name="Appendix D - Key local flood risk manage" w:id="104"/>
            <w:bookmarkEnd w:id="104"/>
            <w:r>
              <w:rPr/>
            </w:r>
            <w:r>
              <w:rPr>
                <w:color w:val="FFFFFF"/>
                <w:sz w:val="24"/>
              </w:rPr>
              <w:t>Appendix D - Key Local Flood Risk Management Contacts</w:t>
            </w:r>
          </w:p>
        </w:tc>
      </w:tr>
      <w:tr>
        <w:trPr>
          <w:trHeight w:val="257" w:hRule="atLeast"/>
        </w:trPr>
        <w:tc>
          <w:tcPr>
            <w:tcW w:w="2983" w:type="dxa"/>
            <w:tcBorders>
              <w:left w:val="single" w:sz="8" w:space="0" w:color="000000"/>
              <w:bottom w:val="single" w:sz="8" w:space="0" w:color="000000"/>
              <w:right w:val="single" w:sz="8" w:space="0" w:color="000000"/>
            </w:tcBorders>
          </w:tcPr>
          <w:p>
            <w:pPr>
              <w:pStyle w:val="TableParagraph"/>
              <w:spacing w:line="231" w:lineRule="exact"/>
              <w:ind w:left="50"/>
              <w:rPr>
                <w:sz w:val="22"/>
              </w:rPr>
            </w:pPr>
            <w:r>
              <w:rPr>
                <w:color w:val="F9423A"/>
                <w:sz w:val="22"/>
              </w:rPr>
              <w:t>Organisation</w:t>
            </w:r>
          </w:p>
        </w:tc>
        <w:tc>
          <w:tcPr>
            <w:tcW w:w="5729" w:type="dxa"/>
            <w:tcBorders>
              <w:left w:val="single" w:sz="8" w:space="0" w:color="000000"/>
              <w:bottom w:val="single" w:sz="8" w:space="0" w:color="000000"/>
              <w:right w:val="single" w:sz="8" w:space="0" w:color="000000"/>
            </w:tcBorders>
          </w:tcPr>
          <w:p>
            <w:pPr>
              <w:pStyle w:val="TableParagraph"/>
              <w:spacing w:line="228" w:lineRule="exact"/>
              <w:ind w:left="50"/>
              <w:rPr>
                <w:sz w:val="22"/>
              </w:rPr>
            </w:pPr>
            <w:r>
              <w:rPr>
                <w:color w:val="F9423A"/>
                <w:sz w:val="22"/>
              </w:rPr>
              <w:t>Office address</w:t>
            </w:r>
          </w:p>
        </w:tc>
        <w:tc>
          <w:tcPr>
            <w:tcW w:w="5326" w:type="dxa"/>
            <w:tcBorders>
              <w:left w:val="single" w:sz="8" w:space="0" w:color="000000"/>
              <w:bottom w:val="single" w:sz="8" w:space="0" w:color="000000"/>
              <w:right w:val="single" w:sz="8" w:space="0" w:color="000000"/>
            </w:tcBorders>
          </w:tcPr>
          <w:p>
            <w:pPr>
              <w:pStyle w:val="TableParagraph"/>
              <w:spacing w:line="228" w:lineRule="exact"/>
              <w:ind w:left="49"/>
              <w:rPr>
                <w:sz w:val="22"/>
              </w:rPr>
            </w:pPr>
            <w:r>
              <w:rPr>
                <w:color w:val="F9423A"/>
                <w:sz w:val="22"/>
              </w:rPr>
              <w:t>Department/Role</w:t>
            </w:r>
          </w:p>
        </w:tc>
        <w:tc>
          <w:tcPr>
            <w:tcW w:w="1668" w:type="dxa"/>
            <w:tcBorders>
              <w:left w:val="single" w:sz="8" w:space="0" w:color="000000"/>
              <w:bottom w:val="single" w:sz="8" w:space="0" w:color="000000"/>
              <w:right w:val="single" w:sz="8" w:space="0" w:color="000000"/>
            </w:tcBorders>
          </w:tcPr>
          <w:p>
            <w:pPr>
              <w:pStyle w:val="TableParagraph"/>
              <w:spacing w:line="228" w:lineRule="exact"/>
              <w:ind w:left="49"/>
              <w:rPr>
                <w:sz w:val="22"/>
              </w:rPr>
            </w:pPr>
            <w:r>
              <w:rPr>
                <w:color w:val="F9423A"/>
                <w:sz w:val="22"/>
              </w:rPr>
              <w:t>Name</w:t>
            </w:r>
          </w:p>
        </w:tc>
      </w:tr>
      <w:tr>
        <w:trPr>
          <w:trHeight w:val="270" w:hRule="atLeast"/>
        </w:trPr>
        <w:tc>
          <w:tcPr>
            <w:tcW w:w="2983" w:type="dxa"/>
            <w:vMerge w:val="restart"/>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line="217" w:lineRule="exact"/>
              <w:ind w:left="47"/>
              <w:rPr>
                <w:sz w:val="20"/>
              </w:rPr>
            </w:pPr>
            <w:r>
              <w:rPr>
                <w:sz w:val="20"/>
              </w:rPr>
              <w:t>Leeds City Council</w:t>
            </w:r>
          </w:p>
        </w:tc>
        <w:tc>
          <w:tcPr>
            <w:tcW w:w="5729"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before="6"/>
              <w:ind w:left="47"/>
              <w:rPr>
                <w:sz w:val="20"/>
              </w:rPr>
            </w:pPr>
            <w:r>
              <w:rPr>
                <w:sz w:val="20"/>
              </w:rPr>
              <w:t>St. George House. 40 Great George Street. Leeds. LS1 3DL</w:t>
            </w:r>
          </w:p>
        </w:tc>
        <w:tc>
          <w:tcPr>
            <w:tcW w:w="5326"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line="217" w:lineRule="exact"/>
              <w:ind w:left="47"/>
              <w:rPr>
                <w:sz w:val="20"/>
              </w:rPr>
            </w:pPr>
            <w:r>
              <w:rPr>
                <w:sz w:val="20"/>
              </w:rPr>
              <w:t>Flood Risk Management</w:t>
            </w:r>
          </w:p>
        </w:tc>
        <w:tc>
          <w:tcPr>
            <w:tcW w:w="1668"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before="6"/>
              <w:ind w:left="47"/>
              <w:rPr>
                <w:sz w:val="20"/>
              </w:rPr>
            </w:pPr>
            <w:r>
              <w:rPr>
                <w:sz w:val="20"/>
              </w:rPr>
              <w:t>Jonathan Moxon</w:t>
            </w:r>
          </w:p>
        </w:tc>
      </w:tr>
      <w:tr>
        <w:trPr>
          <w:trHeight w:val="270" w:hRule="atLeast"/>
        </w:trPr>
        <w:tc>
          <w:tcPr>
            <w:tcW w:w="2983" w:type="dxa"/>
            <w:vMerge/>
            <w:tcBorders>
              <w:top w:val="nil"/>
              <w:left w:val="single" w:sz="8" w:space="0" w:color="000000"/>
              <w:bottom w:val="single" w:sz="8" w:space="0" w:color="000000"/>
              <w:right w:val="single" w:sz="8" w:space="0" w:color="000000"/>
            </w:tcBorders>
            <w:shd w:val="clear" w:color="auto" w:fill="D8E6F0"/>
          </w:tcPr>
          <w:p>
            <w:pPr>
              <w:rPr>
                <w:sz w:val="2"/>
                <w:szCs w:val="2"/>
              </w:rPr>
            </w:pPr>
          </w:p>
        </w:tc>
        <w:tc>
          <w:tcPr>
            <w:tcW w:w="5729"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before="6"/>
              <w:ind w:left="47"/>
              <w:rPr>
                <w:sz w:val="20"/>
              </w:rPr>
            </w:pPr>
            <w:r>
              <w:rPr>
                <w:sz w:val="20"/>
              </w:rPr>
              <w:t>Merrion House, 110 Merrion Centre, Leeds, LS2 8BB</w:t>
            </w:r>
          </w:p>
        </w:tc>
        <w:tc>
          <w:tcPr>
            <w:tcW w:w="5326"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line="217" w:lineRule="exact"/>
              <w:ind w:left="47"/>
              <w:rPr>
                <w:sz w:val="20"/>
              </w:rPr>
            </w:pPr>
            <w:r>
              <w:rPr>
                <w:sz w:val="20"/>
              </w:rPr>
              <w:t>Planning and Development Control</w:t>
            </w:r>
          </w:p>
        </w:tc>
        <w:tc>
          <w:tcPr>
            <w:tcW w:w="1668"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before="6"/>
              <w:ind w:left="47"/>
              <w:rPr>
                <w:sz w:val="20"/>
              </w:rPr>
            </w:pPr>
            <w:r>
              <w:rPr>
                <w:sz w:val="20"/>
              </w:rPr>
              <w:t>Helen Miller</w:t>
            </w:r>
          </w:p>
        </w:tc>
      </w:tr>
      <w:tr>
        <w:trPr>
          <w:trHeight w:val="560" w:hRule="atLeast"/>
        </w:trPr>
        <w:tc>
          <w:tcPr>
            <w:tcW w:w="2983" w:type="dxa"/>
            <w:vMerge/>
            <w:tcBorders>
              <w:top w:val="nil"/>
              <w:left w:val="single" w:sz="8" w:space="0" w:color="000000"/>
              <w:bottom w:val="single" w:sz="8" w:space="0" w:color="000000"/>
              <w:right w:val="single" w:sz="8" w:space="0" w:color="000000"/>
            </w:tcBorders>
            <w:shd w:val="clear" w:color="auto" w:fill="D8E6F0"/>
          </w:tcPr>
          <w:p>
            <w:pPr>
              <w:rPr>
                <w:sz w:val="2"/>
                <w:szCs w:val="2"/>
              </w:rPr>
            </w:pPr>
          </w:p>
        </w:tc>
        <w:tc>
          <w:tcPr>
            <w:tcW w:w="5729"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line="217" w:lineRule="exact"/>
              <w:ind w:left="47"/>
              <w:rPr>
                <w:sz w:val="20"/>
              </w:rPr>
            </w:pPr>
            <w:r>
              <w:rPr>
                <w:sz w:val="20"/>
              </w:rPr>
              <w:t>Civic Hall, Calverley Street, Leeds, LS1 1UR</w:t>
            </w:r>
          </w:p>
        </w:tc>
        <w:tc>
          <w:tcPr>
            <w:tcW w:w="5326"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line="217" w:lineRule="exact"/>
              <w:ind w:left="45"/>
              <w:rPr>
                <w:sz w:val="20"/>
              </w:rPr>
            </w:pPr>
            <w:r>
              <w:rPr>
                <w:sz w:val="20"/>
              </w:rPr>
              <w:t>Resilience and Emergencies Team</w:t>
            </w:r>
          </w:p>
        </w:tc>
        <w:tc>
          <w:tcPr>
            <w:tcW w:w="1668"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line="217" w:lineRule="exact"/>
              <w:ind w:left="44"/>
              <w:rPr>
                <w:sz w:val="20"/>
              </w:rPr>
            </w:pPr>
            <w:r>
              <w:rPr>
                <w:sz w:val="20"/>
              </w:rPr>
              <w:t>Steve Thornton</w:t>
            </w:r>
          </w:p>
          <w:p>
            <w:pPr>
              <w:pStyle w:val="TableParagraph"/>
              <w:spacing w:before="60"/>
              <w:ind w:left="47"/>
              <w:rPr>
                <w:sz w:val="20"/>
              </w:rPr>
            </w:pPr>
            <w:r>
              <w:rPr>
                <w:sz w:val="20"/>
              </w:rPr>
              <w:t>Jim Grafton</w:t>
            </w:r>
          </w:p>
        </w:tc>
      </w:tr>
      <w:tr>
        <w:trPr>
          <w:trHeight w:val="270" w:hRule="atLeast"/>
        </w:trPr>
        <w:tc>
          <w:tcPr>
            <w:tcW w:w="2983"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17" w:lineRule="exact"/>
              <w:ind w:left="47"/>
              <w:rPr>
                <w:sz w:val="20"/>
              </w:rPr>
            </w:pPr>
            <w:r>
              <w:rPr>
                <w:sz w:val="20"/>
              </w:rPr>
              <w:t>Environment Agency</w:t>
            </w:r>
          </w:p>
        </w:tc>
        <w:tc>
          <w:tcPr>
            <w:tcW w:w="572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17" w:lineRule="exact"/>
              <w:ind w:left="47"/>
              <w:rPr>
                <w:sz w:val="20"/>
              </w:rPr>
            </w:pPr>
            <w:r>
              <w:rPr>
                <w:sz w:val="20"/>
              </w:rPr>
              <w:t>Lateral, 8 City Walk, Leeds, LS11 9AT</w:t>
            </w:r>
          </w:p>
        </w:tc>
        <w:tc>
          <w:tcPr>
            <w:tcW w:w="532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ind w:left="46"/>
              <w:rPr>
                <w:sz w:val="20"/>
              </w:rPr>
            </w:pPr>
            <w:r>
              <w:rPr>
                <w:sz w:val="20"/>
              </w:rPr>
              <w:t>Area Flood Risk Manager for West and South Yorkshire</w:t>
            </w:r>
          </w:p>
        </w:tc>
        <w:tc>
          <w:tcPr>
            <w:tcW w:w="1668" w:type="dxa"/>
            <w:tcBorders>
              <w:top w:val="single" w:sz="8" w:space="0" w:color="000000"/>
              <w:left w:val="single" w:sz="8" w:space="0" w:color="000000"/>
              <w:bottom w:val="single" w:sz="8" w:space="0" w:color="000000"/>
              <w:right w:val="single" w:sz="8" w:space="0" w:color="000000"/>
            </w:tcBorders>
          </w:tcPr>
          <w:p>
            <w:pPr>
              <w:pStyle w:val="TableParagraph"/>
              <w:spacing w:before="6"/>
              <w:ind w:left="47"/>
              <w:rPr>
                <w:sz w:val="20"/>
              </w:rPr>
            </w:pPr>
            <w:r>
              <w:rPr>
                <w:sz w:val="20"/>
              </w:rPr>
              <w:t>Adrian Gill</w:t>
            </w:r>
          </w:p>
        </w:tc>
      </w:tr>
      <w:tr>
        <w:trPr>
          <w:trHeight w:val="560" w:hRule="atLeast"/>
        </w:trPr>
        <w:tc>
          <w:tcPr>
            <w:tcW w:w="2983" w:type="dxa"/>
            <w:vMerge/>
            <w:tcBorders>
              <w:top w:val="nil"/>
              <w:left w:val="single" w:sz="8" w:space="0" w:color="000000"/>
              <w:bottom w:val="single" w:sz="8" w:space="0" w:color="000000"/>
              <w:right w:val="single" w:sz="8" w:space="0" w:color="000000"/>
            </w:tcBorders>
          </w:tcPr>
          <w:p>
            <w:pPr>
              <w:rPr>
                <w:sz w:val="2"/>
                <w:szCs w:val="2"/>
              </w:rPr>
            </w:pPr>
          </w:p>
        </w:tc>
        <w:tc>
          <w:tcPr>
            <w:tcW w:w="5729" w:type="dxa"/>
            <w:vMerge/>
            <w:tcBorders>
              <w:top w:val="nil"/>
              <w:left w:val="single" w:sz="8" w:space="0" w:color="000000"/>
              <w:bottom w:val="single" w:sz="8" w:space="0" w:color="000000"/>
              <w:right w:val="single" w:sz="8" w:space="0" w:color="000000"/>
            </w:tcBorders>
          </w:tcPr>
          <w:p>
            <w:pPr>
              <w:rPr>
                <w:sz w:val="2"/>
                <w:szCs w:val="2"/>
              </w:rPr>
            </w:pPr>
          </w:p>
        </w:tc>
        <w:tc>
          <w:tcPr>
            <w:tcW w:w="5326"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ind w:left="47"/>
              <w:rPr>
                <w:sz w:val="20"/>
              </w:rPr>
            </w:pPr>
            <w:r>
              <w:rPr>
                <w:sz w:val="20"/>
              </w:rPr>
              <w:t>Partnership and Strategic Overview</w:t>
            </w:r>
          </w:p>
        </w:tc>
        <w:tc>
          <w:tcPr>
            <w:tcW w:w="1668"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ind w:left="47"/>
              <w:rPr>
                <w:sz w:val="20"/>
              </w:rPr>
            </w:pPr>
            <w:r>
              <w:rPr>
                <w:sz w:val="20"/>
              </w:rPr>
              <w:t>John Woods</w:t>
            </w:r>
          </w:p>
          <w:p>
            <w:pPr>
              <w:pStyle w:val="TableParagraph"/>
              <w:spacing w:before="60"/>
              <w:ind w:left="47"/>
              <w:rPr>
                <w:sz w:val="20"/>
              </w:rPr>
            </w:pPr>
            <w:r>
              <w:rPr>
                <w:sz w:val="20"/>
              </w:rPr>
              <w:t>Luke Williams</w:t>
            </w:r>
          </w:p>
        </w:tc>
      </w:tr>
      <w:tr>
        <w:trPr>
          <w:trHeight w:val="270" w:hRule="atLeast"/>
        </w:trPr>
        <w:tc>
          <w:tcPr>
            <w:tcW w:w="2983"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line="217" w:lineRule="exact"/>
              <w:ind w:left="47"/>
              <w:rPr>
                <w:sz w:val="20"/>
              </w:rPr>
            </w:pPr>
            <w:r>
              <w:rPr>
                <w:sz w:val="20"/>
              </w:rPr>
              <w:t>Yorkshire Water Services Ltd</w:t>
            </w:r>
          </w:p>
        </w:tc>
        <w:tc>
          <w:tcPr>
            <w:tcW w:w="5729"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before="6"/>
              <w:ind w:left="47"/>
              <w:rPr>
                <w:sz w:val="20"/>
              </w:rPr>
            </w:pPr>
            <w:r>
              <w:rPr>
                <w:sz w:val="20"/>
              </w:rPr>
              <w:t>Western House, Western Way, Bradford BD6 2SZ</w:t>
            </w:r>
          </w:p>
        </w:tc>
        <w:tc>
          <w:tcPr>
            <w:tcW w:w="5326"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before="6"/>
              <w:ind w:left="48"/>
              <w:rPr>
                <w:sz w:val="20"/>
              </w:rPr>
            </w:pPr>
            <w:r>
              <w:rPr>
                <w:sz w:val="20"/>
              </w:rPr>
              <w:t>Flood Risk and Engagement</w:t>
            </w:r>
          </w:p>
        </w:tc>
        <w:tc>
          <w:tcPr>
            <w:tcW w:w="1668"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before="6"/>
              <w:ind w:left="47"/>
              <w:rPr>
                <w:sz w:val="20"/>
              </w:rPr>
            </w:pPr>
            <w:r>
              <w:rPr>
                <w:sz w:val="20"/>
              </w:rPr>
              <w:t>Leah Humphries</w:t>
            </w:r>
          </w:p>
        </w:tc>
      </w:tr>
      <w:tr>
        <w:trPr>
          <w:trHeight w:val="270" w:hRule="atLeast"/>
        </w:trPr>
        <w:tc>
          <w:tcPr>
            <w:tcW w:w="2983"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ind w:left="47"/>
              <w:rPr>
                <w:sz w:val="20"/>
              </w:rPr>
            </w:pPr>
            <w:r>
              <w:rPr>
                <w:sz w:val="20"/>
              </w:rPr>
              <w:t>Highways England</w:t>
            </w:r>
          </w:p>
        </w:tc>
        <w:tc>
          <w:tcPr>
            <w:tcW w:w="5729" w:type="dxa"/>
            <w:tcBorders>
              <w:top w:val="single" w:sz="8" w:space="0" w:color="000000"/>
              <w:left w:val="single" w:sz="8" w:space="0" w:color="000000"/>
              <w:bottom w:val="single" w:sz="8" w:space="0" w:color="000000"/>
              <w:right w:val="single" w:sz="8" w:space="0" w:color="000000"/>
            </w:tcBorders>
          </w:tcPr>
          <w:p>
            <w:pPr>
              <w:pStyle w:val="TableParagraph"/>
              <w:spacing w:before="6"/>
              <w:ind w:left="47"/>
              <w:rPr>
                <w:sz w:val="20"/>
              </w:rPr>
            </w:pPr>
            <w:r>
              <w:rPr>
                <w:sz w:val="20"/>
              </w:rPr>
              <w:t>Lateral, 8 City Walk, Leeds, LS11 9AT</w:t>
            </w:r>
          </w:p>
        </w:tc>
        <w:tc>
          <w:tcPr>
            <w:tcW w:w="5326" w:type="dxa"/>
            <w:tcBorders>
              <w:top w:val="single" w:sz="8" w:space="0" w:color="000000"/>
              <w:left w:val="single" w:sz="8" w:space="0" w:color="000000"/>
              <w:bottom w:val="single" w:sz="8" w:space="0" w:color="000000"/>
              <w:right w:val="single" w:sz="8" w:space="0" w:color="000000"/>
            </w:tcBorders>
          </w:tcPr>
          <w:p>
            <w:pPr>
              <w:pStyle w:val="TableParagraph"/>
              <w:spacing w:before="6"/>
              <w:ind w:left="46"/>
              <w:rPr>
                <w:sz w:val="20"/>
              </w:rPr>
            </w:pPr>
            <w:r>
              <w:rPr>
                <w:sz w:val="20"/>
              </w:rPr>
              <w:t>Regional Environmental Advisor</w:t>
            </w:r>
          </w:p>
        </w:tc>
        <w:tc>
          <w:tcPr>
            <w:tcW w:w="1668" w:type="dxa"/>
            <w:tcBorders>
              <w:top w:val="single" w:sz="8" w:space="0" w:color="000000"/>
              <w:left w:val="single" w:sz="8" w:space="0" w:color="000000"/>
              <w:bottom w:val="single" w:sz="8" w:space="0" w:color="000000"/>
              <w:right w:val="single" w:sz="8" w:space="0" w:color="000000"/>
            </w:tcBorders>
          </w:tcPr>
          <w:p>
            <w:pPr>
              <w:pStyle w:val="TableParagraph"/>
              <w:spacing w:before="6"/>
              <w:ind w:left="52"/>
              <w:jc w:val="center"/>
              <w:rPr>
                <w:sz w:val="20"/>
              </w:rPr>
            </w:pPr>
            <w:r>
              <w:rPr>
                <w:w w:val="99"/>
                <w:sz w:val="20"/>
              </w:rPr>
              <w:t>-</w:t>
            </w:r>
          </w:p>
        </w:tc>
      </w:tr>
      <w:tr>
        <w:trPr>
          <w:trHeight w:val="270" w:hRule="atLeast"/>
        </w:trPr>
        <w:tc>
          <w:tcPr>
            <w:tcW w:w="2983"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line="217" w:lineRule="exact"/>
              <w:ind w:left="47"/>
              <w:rPr>
                <w:sz w:val="20"/>
              </w:rPr>
            </w:pPr>
            <w:r>
              <w:rPr>
                <w:sz w:val="20"/>
              </w:rPr>
              <w:t>Ainsty Internal Drainage Board</w:t>
            </w:r>
          </w:p>
        </w:tc>
        <w:tc>
          <w:tcPr>
            <w:tcW w:w="5729"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before="6"/>
              <w:ind w:left="47"/>
              <w:rPr>
                <w:sz w:val="20"/>
              </w:rPr>
            </w:pPr>
            <w:r>
              <w:rPr>
                <w:sz w:val="20"/>
              </w:rPr>
              <w:t>Derwent House, Crockey Hill, York, YO19 4SR</w:t>
            </w:r>
          </w:p>
        </w:tc>
        <w:tc>
          <w:tcPr>
            <w:tcW w:w="5326"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before="6"/>
              <w:ind w:left="46"/>
              <w:rPr>
                <w:sz w:val="20"/>
              </w:rPr>
            </w:pPr>
            <w:r>
              <w:rPr>
                <w:sz w:val="20"/>
              </w:rPr>
              <w:t>Clerk</w:t>
            </w:r>
          </w:p>
        </w:tc>
        <w:tc>
          <w:tcPr>
            <w:tcW w:w="1668" w:type="dxa"/>
            <w:tcBorders>
              <w:top w:val="single" w:sz="8" w:space="0" w:color="000000"/>
              <w:left w:val="single" w:sz="8" w:space="0" w:color="000000"/>
              <w:bottom w:val="single" w:sz="8" w:space="0" w:color="000000"/>
              <w:right w:val="single" w:sz="8" w:space="0" w:color="000000"/>
            </w:tcBorders>
            <w:shd w:val="clear" w:color="auto" w:fill="D8E6F0"/>
          </w:tcPr>
          <w:p>
            <w:pPr>
              <w:pStyle w:val="TableParagraph"/>
              <w:spacing w:before="6"/>
              <w:ind w:left="46"/>
              <w:rPr>
                <w:sz w:val="20"/>
              </w:rPr>
            </w:pPr>
            <w:r>
              <w:rPr>
                <w:sz w:val="20"/>
              </w:rPr>
              <w:t>Williams Symons</w:t>
            </w:r>
          </w:p>
        </w:tc>
      </w:tr>
    </w:tbl>
    <w:p>
      <w:pPr>
        <w:spacing w:after="0"/>
        <w:rPr>
          <w:sz w:val="20"/>
        </w:rPr>
        <w:sectPr>
          <w:footerReference w:type="even" r:id="rId94"/>
          <w:pgSz w:w="23820" w:h="16840" w:orient="landscape"/>
          <w:pgMar w:footer="0" w:header="0" w:top="1080" w:bottom="280" w:left="880" w:right="346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rPr>
      </w:pPr>
    </w:p>
    <w:p>
      <w:pPr>
        <w:spacing w:before="59"/>
        <w:ind w:left="161" w:right="0" w:firstLine="0"/>
        <w:jc w:val="left"/>
        <w:rPr>
          <w:sz w:val="121"/>
        </w:rPr>
      </w:pPr>
      <w:r>
        <w:rPr/>
        <w:drawing>
          <wp:anchor distT="0" distB="0" distL="0" distR="0" allowOverlap="1" layoutInCell="1" locked="0" behindDoc="0" simplePos="0" relativeHeight="4024">
            <wp:simplePos x="0" y="0"/>
            <wp:positionH relativeFrom="page">
              <wp:posOffset>4647651</wp:posOffset>
            </wp:positionH>
            <wp:positionV relativeFrom="paragraph">
              <wp:posOffset>224837</wp:posOffset>
            </wp:positionV>
            <wp:extent cx="406351" cy="533331"/>
            <wp:effectExtent l="0" t="0" r="0" b="0"/>
            <wp:wrapNone/>
            <wp:docPr id="73" name="image49.jpeg" descr=""/>
            <wp:cNvGraphicFramePr>
              <a:graphicFrameLocks noChangeAspect="1"/>
            </wp:cNvGraphicFramePr>
            <a:graphic>
              <a:graphicData uri="http://schemas.openxmlformats.org/drawingml/2006/picture">
                <pic:pic>
                  <pic:nvPicPr>
                    <pic:cNvPr id="74" name="image49.jpeg"/>
                    <pic:cNvPicPr/>
                  </pic:nvPicPr>
                  <pic:blipFill>
                    <a:blip r:embed="rId96" cstate="print"/>
                    <a:stretch>
                      <a:fillRect/>
                    </a:stretch>
                  </pic:blipFill>
                  <pic:spPr>
                    <a:xfrm>
                      <a:off x="0" y="0"/>
                      <a:ext cx="406351" cy="533331"/>
                    </a:xfrm>
                    <a:prstGeom prst="rect">
                      <a:avLst/>
                    </a:prstGeom>
                  </pic:spPr>
                </pic:pic>
              </a:graphicData>
            </a:graphic>
          </wp:anchor>
        </w:drawing>
      </w:r>
      <w:bookmarkStart w:name="END3_Page_57" w:id="105"/>
      <w:bookmarkEnd w:id="105"/>
      <w:r>
        <w:rPr/>
      </w:r>
      <w:r>
        <w:rPr>
          <w:color w:val="F44442"/>
          <w:w w:val="105"/>
          <w:sz w:val="121"/>
        </w:rPr>
        <w:t>Appendix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r>
        <w:rPr/>
        <w:drawing>
          <wp:anchor distT="0" distB="0" distL="0" distR="0" allowOverlap="1" layoutInCell="1" locked="0" behindDoc="0" simplePos="0" relativeHeight="124">
            <wp:simplePos x="0" y="0"/>
            <wp:positionH relativeFrom="page">
              <wp:posOffset>888895</wp:posOffset>
            </wp:positionH>
            <wp:positionV relativeFrom="paragraph">
              <wp:posOffset>199192</wp:posOffset>
            </wp:positionV>
            <wp:extent cx="5054688" cy="88677"/>
            <wp:effectExtent l="0" t="0" r="0" b="0"/>
            <wp:wrapTopAndBottom/>
            <wp:docPr id="75" name="image38.png" descr=""/>
            <wp:cNvGraphicFramePr>
              <a:graphicFrameLocks noChangeAspect="1"/>
            </wp:cNvGraphicFramePr>
            <a:graphic>
              <a:graphicData uri="http://schemas.openxmlformats.org/drawingml/2006/picture">
                <pic:pic>
                  <pic:nvPicPr>
                    <pic:cNvPr id="76" name="image38.png"/>
                    <pic:cNvPicPr/>
                  </pic:nvPicPr>
                  <pic:blipFill>
                    <a:blip r:embed="rId56" cstate="print"/>
                    <a:stretch>
                      <a:fillRect/>
                    </a:stretch>
                  </pic:blipFill>
                  <pic:spPr>
                    <a:xfrm>
                      <a:off x="0" y="0"/>
                      <a:ext cx="5054688" cy="88677"/>
                    </a:xfrm>
                    <a:prstGeom prst="rect">
                      <a:avLst/>
                    </a:prstGeom>
                  </pic:spPr>
                </pic:pic>
              </a:graphicData>
            </a:graphic>
          </wp:anchor>
        </w:drawing>
      </w:r>
    </w:p>
    <w:p>
      <w:pPr>
        <w:pStyle w:val="BodyText"/>
        <w:spacing w:before="11"/>
      </w:pPr>
    </w:p>
    <w:p>
      <w:pPr>
        <w:tabs>
          <w:tab w:pos="1474" w:val="left" w:leader="none"/>
          <w:tab w:pos="2361" w:val="left" w:leader="none"/>
          <w:tab w:pos="5134" w:val="left" w:leader="none"/>
        </w:tabs>
        <w:spacing w:line="216" w:lineRule="auto" w:before="48"/>
        <w:ind w:left="142" w:right="542" w:hanging="6"/>
        <w:jc w:val="left"/>
        <w:rPr>
          <w:rFonts w:ascii="Calibri"/>
          <w:sz w:val="51"/>
        </w:rPr>
      </w:pPr>
      <w:r>
        <w:rPr>
          <w:rFonts w:ascii="Calibri"/>
          <w:w w:val="125"/>
          <w:sz w:val="51"/>
        </w:rPr>
        <w:t>MAP</w:t>
        <w:tab/>
        <w:t>OF</w:t>
        <w:tab/>
        <w:t>SCHEMES</w:t>
        <w:tab/>
      </w:r>
      <w:r>
        <w:rPr>
          <w:rFonts w:ascii="Calibri"/>
          <w:spacing w:val="-1"/>
          <w:w w:val="125"/>
          <w:sz w:val="51"/>
        </w:rPr>
        <w:t>COMPLETED </w:t>
      </w:r>
      <w:r>
        <w:rPr>
          <w:rFonts w:ascii="Calibri"/>
          <w:w w:val="125"/>
          <w:sz w:val="51"/>
        </w:rPr>
        <w:t>SINCE</w:t>
      </w:r>
      <w:r>
        <w:rPr>
          <w:rFonts w:ascii="Calibri"/>
          <w:spacing w:val="39"/>
          <w:w w:val="125"/>
          <w:sz w:val="51"/>
        </w:rPr>
        <w:t> </w:t>
      </w:r>
      <w:r>
        <w:rPr>
          <w:rFonts w:ascii="Calibri"/>
          <w:w w:val="125"/>
          <w:sz w:val="51"/>
        </w:rPr>
        <w:t>ZO11</w:t>
      </w:r>
    </w:p>
    <w:p>
      <w:pPr>
        <w:spacing w:after="0" w:line="216" w:lineRule="auto"/>
        <w:jc w:val="left"/>
        <w:rPr>
          <w:rFonts w:ascii="Calibri"/>
          <w:sz w:val="51"/>
        </w:rPr>
        <w:sectPr>
          <w:footerReference w:type="default" r:id="rId95"/>
          <w:pgSz w:w="11920" w:h="16840"/>
          <w:pgMar w:footer="0" w:header="0" w:top="1580" w:bottom="280" w:left="1280" w:right="1680"/>
        </w:sectPr>
      </w:pPr>
    </w:p>
    <w:tbl>
      <w:tblPr>
        <w:tblW w:w="0" w:type="auto"/>
        <w:jc w:val="left"/>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9"/>
        <w:gridCol w:w="23162"/>
      </w:tblGrid>
      <w:tr>
        <w:trPr>
          <w:trHeight w:val="841" w:hRule="atLeast"/>
        </w:trPr>
        <w:tc>
          <w:tcPr>
            <w:tcW w:w="499" w:type="dxa"/>
            <w:tcBorders>
              <w:bottom w:val="single" w:sz="4" w:space="0" w:color="000000"/>
              <w:right w:val="single" w:sz="4" w:space="0" w:color="000000"/>
            </w:tcBorders>
            <w:shd w:val="clear" w:color="auto" w:fill="FFFFFF"/>
          </w:tcPr>
          <w:p>
            <w:pPr>
              <w:pStyle w:val="TableParagraph"/>
              <w:spacing w:line="822" w:lineRule="exact"/>
              <w:ind w:left="83"/>
              <w:rPr>
                <w:rFonts w:ascii="ESRI North" w:hAnsi="ESRI North"/>
                <w:sz w:val="100"/>
              </w:rPr>
            </w:pPr>
            <w:bookmarkStart w:name="Appendix E - Map of schemes completed si" w:id="106"/>
            <w:bookmarkEnd w:id="106"/>
            <w:r>
              <w:rPr/>
            </w:r>
            <w:r>
              <w:rPr>
                <w:rFonts w:ascii="ESRI North" w:hAnsi="ESRI North"/>
                <w:w w:val="100"/>
                <w:sz w:val="100"/>
              </w:rPr>
              <w:t>¯</w:t>
            </w:r>
          </w:p>
        </w:tc>
        <w:tc>
          <w:tcPr>
            <w:tcW w:w="23162" w:type="dxa"/>
            <w:tcBorders>
              <w:left w:val="single" w:sz="4" w:space="0" w:color="000000"/>
              <w:bottom w:val="nil"/>
            </w:tcBorders>
          </w:tcPr>
          <w:p>
            <w:pPr>
              <w:pStyle w:val="TableParagraph"/>
              <w:rPr>
                <w:rFonts w:ascii="Times New Roman"/>
                <w:sz w:val="22"/>
              </w:rPr>
            </w:pPr>
          </w:p>
        </w:tc>
      </w:tr>
      <w:tr>
        <w:trPr>
          <w:trHeight w:val="14390" w:hRule="atLeast"/>
        </w:trPr>
        <w:tc>
          <w:tcPr>
            <w:tcW w:w="23661" w:type="dxa"/>
            <w:gridSpan w:val="2"/>
            <w:tcBorders>
              <w:top w:val="nil"/>
              <w:bottom w:val="single" w:sz="12" w:space="0" w:color="000000"/>
            </w:tcBorders>
          </w:tcPr>
          <w:p>
            <w:pPr>
              <w:pStyle w:val="TableParagraph"/>
              <w:rPr>
                <w:rFonts w:ascii="Calibri"/>
                <w:sz w:val="28"/>
              </w:rPr>
            </w:pPr>
          </w:p>
          <w:p>
            <w:pPr>
              <w:pStyle w:val="TableParagraph"/>
              <w:rPr>
                <w:rFonts w:ascii="Calibri"/>
                <w:sz w:val="28"/>
              </w:rPr>
            </w:pPr>
          </w:p>
          <w:p>
            <w:pPr>
              <w:pStyle w:val="TableParagraph"/>
              <w:rPr>
                <w:rFonts w:ascii="Calibri"/>
                <w:sz w:val="28"/>
              </w:rPr>
            </w:pPr>
          </w:p>
          <w:p>
            <w:pPr>
              <w:pStyle w:val="TableParagraph"/>
              <w:rPr>
                <w:rFonts w:ascii="Calibri"/>
                <w:sz w:val="28"/>
              </w:rPr>
            </w:pPr>
          </w:p>
          <w:p>
            <w:pPr>
              <w:pStyle w:val="TableParagraph"/>
              <w:spacing w:before="1"/>
              <w:rPr>
                <w:rFonts w:ascii="Calibri"/>
                <w:sz w:val="33"/>
              </w:rPr>
            </w:pPr>
          </w:p>
          <w:p>
            <w:pPr>
              <w:pStyle w:val="TableParagraph"/>
              <w:ind w:left="6194"/>
              <w:rPr>
                <w:sz w:val="25"/>
              </w:rPr>
            </w:pPr>
            <w:r>
              <w:rPr>
                <w:sz w:val="25"/>
              </w:rPr>
              <w:t>Culvert Headwall Repair Scheme</w:t>
            </w:r>
          </w:p>
          <w:p>
            <w:pPr>
              <w:pStyle w:val="TableParagraph"/>
              <w:rPr>
                <w:rFonts w:ascii="Calibri"/>
                <w:sz w:val="28"/>
              </w:rPr>
            </w:pPr>
          </w:p>
          <w:p>
            <w:pPr>
              <w:pStyle w:val="TableParagraph"/>
              <w:rPr>
                <w:rFonts w:ascii="Calibri"/>
                <w:sz w:val="28"/>
              </w:rPr>
            </w:pPr>
          </w:p>
          <w:p>
            <w:pPr>
              <w:pStyle w:val="TableParagraph"/>
              <w:rPr>
                <w:rFonts w:ascii="Calibri"/>
                <w:sz w:val="28"/>
              </w:rPr>
            </w:pPr>
          </w:p>
          <w:p>
            <w:pPr>
              <w:pStyle w:val="TableParagraph"/>
              <w:spacing w:before="173"/>
              <w:ind w:left="13886"/>
              <w:rPr>
                <w:sz w:val="25"/>
              </w:rPr>
            </w:pPr>
            <w:r>
              <w:rPr>
                <w:sz w:val="25"/>
              </w:rPr>
              <w:t>Church Lane, Bardsey</w:t>
            </w:r>
          </w:p>
          <w:p>
            <w:pPr>
              <w:pStyle w:val="TableParagraph"/>
              <w:rPr>
                <w:rFonts w:ascii="Calibri"/>
                <w:sz w:val="28"/>
              </w:rPr>
            </w:pPr>
          </w:p>
          <w:p>
            <w:pPr>
              <w:pStyle w:val="TableParagraph"/>
              <w:rPr>
                <w:rFonts w:ascii="Calibri"/>
                <w:sz w:val="28"/>
              </w:rPr>
            </w:pPr>
          </w:p>
          <w:p>
            <w:pPr>
              <w:pStyle w:val="TableParagraph"/>
              <w:rPr>
                <w:rFonts w:ascii="Calibri"/>
                <w:sz w:val="28"/>
              </w:rPr>
            </w:pPr>
          </w:p>
          <w:p>
            <w:pPr>
              <w:pStyle w:val="TableParagraph"/>
              <w:rPr>
                <w:rFonts w:ascii="Calibri"/>
                <w:sz w:val="28"/>
              </w:rPr>
            </w:pPr>
          </w:p>
          <w:p>
            <w:pPr>
              <w:pStyle w:val="TableParagraph"/>
              <w:rPr>
                <w:rFonts w:ascii="Calibri"/>
                <w:sz w:val="28"/>
              </w:rPr>
            </w:pPr>
          </w:p>
          <w:p>
            <w:pPr>
              <w:pStyle w:val="TableParagraph"/>
              <w:rPr>
                <w:rFonts w:ascii="Calibri"/>
                <w:sz w:val="28"/>
              </w:rPr>
            </w:pPr>
          </w:p>
          <w:p>
            <w:pPr>
              <w:pStyle w:val="TableParagraph"/>
              <w:rPr>
                <w:rFonts w:ascii="Calibri"/>
                <w:sz w:val="28"/>
              </w:rPr>
            </w:pPr>
          </w:p>
          <w:p>
            <w:pPr>
              <w:pStyle w:val="TableParagraph"/>
              <w:rPr>
                <w:rFonts w:ascii="Calibri"/>
                <w:sz w:val="28"/>
              </w:rPr>
            </w:pPr>
          </w:p>
          <w:p>
            <w:pPr>
              <w:pStyle w:val="TableParagraph"/>
              <w:spacing w:before="6"/>
              <w:rPr>
                <w:rFonts w:ascii="Calibri"/>
                <w:sz w:val="25"/>
              </w:rPr>
            </w:pPr>
          </w:p>
          <w:p>
            <w:pPr>
              <w:pStyle w:val="TableParagraph"/>
              <w:tabs>
                <w:tab w:pos="11749" w:val="left" w:leader="none"/>
              </w:tabs>
              <w:spacing w:before="1"/>
              <w:ind w:left="9002"/>
              <w:rPr>
                <w:sz w:val="25"/>
              </w:rPr>
            </w:pPr>
            <w:r>
              <w:rPr>
                <w:sz w:val="25"/>
              </w:rPr>
              <w:t>Newton</w:t>
            </w:r>
            <w:r>
              <w:rPr>
                <w:spacing w:val="4"/>
                <w:sz w:val="25"/>
              </w:rPr>
              <w:t> </w:t>
            </w:r>
            <w:r>
              <w:rPr>
                <w:sz w:val="25"/>
              </w:rPr>
              <w:t>Road</w:t>
            </w:r>
            <w:r>
              <w:rPr>
                <w:rFonts w:ascii="Times New Roman"/>
                <w:sz w:val="25"/>
              </w:rPr>
              <w:tab/>
            </w:r>
            <w:r>
              <w:rPr>
                <w:sz w:val="25"/>
              </w:rPr>
              <w:t>Wellhouse Drive Flood Alleviation</w:t>
            </w:r>
            <w:r>
              <w:rPr>
                <w:spacing w:val="-9"/>
                <w:sz w:val="25"/>
              </w:rPr>
              <w:t> </w:t>
            </w:r>
            <w:r>
              <w:rPr>
                <w:sz w:val="25"/>
              </w:rPr>
              <w:t>Scheme</w:t>
            </w:r>
          </w:p>
          <w:p>
            <w:pPr>
              <w:pStyle w:val="TableParagraph"/>
              <w:rPr>
                <w:rFonts w:ascii="Calibri"/>
                <w:sz w:val="28"/>
              </w:rPr>
            </w:pPr>
          </w:p>
          <w:p>
            <w:pPr>
              <w:pStyle w:val="TableParagraph"/>
              <w:spacing w:line="259" w:lineRule="exact" w:before="225"/>
              <w:ind w:right="4527"/>
              <w:jc w:val="right"/>
              <w:rPr>
                <w:sz w:val="25"/>
              </w:rPr>
            </w:pPr>
            <w:r>
              <w:rPr>
                <w:sz w:val="25"/>
              </w:rPr>
              <w:t>Barley Hill Recreation Ground</w:t>
            </w:r>
          </w:p>
          <w:p>
            <w:pPr>
              <w:pStyle w:val="TableParagraph"/>
              <w:spacing w:line="251" w:lineRule="exact"/>
              <w:ind w:left="9977" w:right="9400"/>
              <w:jc w:val="center"/>
              <w:rPr>
                <w:sz w:val="25"/>
              </w:rPr>
            </w:pPr>
            <w:r>
              <w:rPr>
                <w:sz w:val="25"/>
              </w:rPr>
              <w:t>Oakdene, Watercourse Improvements</w:t>
            </w:r>
          </w:p>
          <w:p>
            <w:pPr>
              <w:pStyle w:val="TableParagraph"/>
              <w:spacing w:line="279" w:lineRule="exact"/>
              <w:ind w:right="2376"/>
              <w:jc w:val="right"/>
              <w:rPr>
                <w:sz w:val="25"/>
              </w:rPr>
            </w:pPr>
            <w:r>
              <w:rPr>
                <w:sz w:val="25"/>
              </w:rPr>
              <w:t>Lowther Road, Gartforth - Culvert Improvements</w:t>
            </w:r>
          </w:p>
          <w:p>
            <w:pPr>
              <w:pStyle w:val="TableParagraph"/>
              <w:tabs>
                <w:tab w:pos="11423" w:val="left" w:leader="none"/>
                <w:tab w:pos="16105" w:val="left" w:leader="none"/>
              </w:tabs>
              <w:spacing w:before="149"/>
              <w:ind w:left="6765"/>
              <w:rPr>
                <w:sz w:val="25"/>
              </w:rPr>
            </w:pPr>
            <w:r>
              <w:rPr>
                <w:position w:val="-4"/>
                <w:sz w:val="25"/>
              </w:rPr>
              <w:t>Lower</w:t>
            </w:r>
            <w:r>
              <w:rPr>
                <w:spacing w:val="3"/>
                <w:position w:val="-4"/>
                <w:sz w:val="25"/>
              </w:rPr>
              <w:t> </w:t>
            </w:r>
            <w:r>
              <w:rPr>
                <w:position w:val="-4"/>
                <w:sz w:val="25"/>
              </w:rPr>
              <w:t>Wortley</w:t>
            </w:r>
            <w:r>
              <w:rPr>
                <w:rFonts w:ascii="Times New Roman"/>
                <w:position w:val="-4"/>
                <w:sz w:val="25"/>
              </w:rPr>
              <w:tab/>
            </w:r>
            <w:r>
              <w:rPr>
                <w:position w:val="12"/>
                <w:sz w:val="25"/>
              </w:rPr>
              <w:t>Leeds </w:t>
            </w:r>
            <w:r>
              <w:rPr>
                <w:spacing w:val="-5"/>
                <w:position w:val="12"/>
                <w:sz w:val="25"/>
              </w:rPr>
              <w:t>FAS</w:t>
            </w:r>
            <w:r>
              <w:rPr>
                <w:spacing w:val="7"/>
                <w:position w:val="12"/>
                <w:sz w:val="25"/>
              </w:rPr>
              <w:t> </w:t>
            </w:r>
            <w:r>
              <w:rPr>
                <w:position w:val="12"/>
                <w:sz w:val="25"/>
              </w:rPr>
              <w:t>Phase</w:t>
            </w:r>
            <w:r>
              <w:rPr>
                <w:spacing w:val="3"/>
                <w:position w:val="12"/>
                <w:sz w:val="25"/>
              </w:rPr>
              <w:t> </w:t>
            </w:r>
            <w:r>
              <w:rPr>
                <w:position w:val="12"/>
                <w:sz w:val="25"/>
              </w:rPr>
              <w:t>1</w:t>
            </w:r>
            <w:r>
              <w:rPr>
                <w:rFonts w:ascii="Times New Roman"/>
                <w:position w:val="12"/>
                <w:sz w:val="25"/>
              </w:rPr>
              <w:tab/>
            </w:r>
            <w:r>
              <w:rPr>
                <w:sz w:val="25"/>
              </w:rPr>
              <w:t>Glebelands Recreation</w:t>
            </w:r>
            <w:r>
              <w:rPr>
                <w:spacing w:val="3"/>
                <w:sz w:val="25"/>
              </w:rPr>
              <w:t> </w:t>
            </w:r>
            <w:r>
              <w:rPr>
                <w:sz w:val="25"/>
              </w:rPr>
              <w:t>Ground</w:t>
            </w:r>
          </w:p>
          <w:p>
            <w:pPr>
              <w:pStyle w:val="TableParagraph"/>
              <w:spacing w:line="500" w:lineRule="atLeast" w:before="60"/>
              <w:ind w:left="15863" w:right="1362" w:hanging="512"/>
              <w:rPr>
                <w:sz w:val="25"/>
              </w:rPr>
            </w:pPr>
            <w:r>
              <w:rPr>
                <w:sz w:val="25"/>
              </w:rPr>
              <w:t>Hawthorn Terrace Flood Alleviation Scheme Phase 1 Ramsden Street, Kippax, Flood Alleviation Scheme</w:t>
            </w:r>
          </w:p>
          <w:p>
            <w:pPr>
              <w:pStyle w:val="TableParagraph"/>
              <w:spacing w:before="93"/>
              <w:ind w:left="6966"/>
              <w:rPr>
                <w:sz w:val="25"/>
              </w:rPr>
            </w:pPr>
            <w:r>
              <w:rPr>
                <w:sz w:val="25"/>
              </w:rPr>
              <w:t>Dean Park Drive, Drighlington</w:t>
            </w:r>
          </w:p>
          <w:p>
            <w:pPr>
              <w:pStyle w:val="TableParagraph"/>
              <w:spacing w:before="99"/>
              <w:ind w:right="4338"/>
              <w:jc w:val="right"/>
              <w:rPr>
                <w:sz w:val="25"/>
              </w:rPr>
            </w:pPr>
            <w:r>
              <w:rPr>
                <w:sz w:val="25"/>
              </w:rPr>
              <w:t>Westfields, Allerton Bywater</w:t>
            </w:r>
          </w:p>
          <w:p>
            <w:pPr>
              <w:pStyle w:val="TableParagraph"/>
              <w:rPr>
                <w:rFonts w:ascii="Calibri"/>
                <w:sz w:val="20"/>
              </w:rPr>
            </w:pPr>
          </w:p>
          <w:p>
            <w:pPr>
              <w:pStyle w:val="TableParagraph"/>
              <w:rPr>
                <w:rFonts w:ascii="Calibri"/>
                <w:sz w:val="20"/>
              </w:rPr>
            </w:pPr>
          </w:p>
          <w:p>
            <w:pPr>
              <w:pStyle w:val="TableParagraph"/>
              <w:rPr>
                <w:rFonts w:ascii="Calibri"/>
                <w:sz w:val="20"/>
              </w:rPr>
            </w:pPr>
          </w:p>
          <w:p>
            <w:pPr>
              <w:pStyle w:val="TableParagraph"/>
              <w:spacing w:before="1"/>
              <w:rPr>
                <w:rFonts w:ascii="Calibri"/>
                <w:sz w:val="27"/>
              </w:rPr>
            </w:pPr>
          </w:p>
          <w:p>
            <w:pPr>
              <w:pStyle w:val="TableParagraph"/>
              <w:ind w:left="-1" w:right="-65"/>
              <w:rPr>
                <w:rFonts w:ascii="Calibri"/>
                <w:sz w:val="20"/>
              </w:rPr>
            </w:pPr>
            <w:r>
              <w:rPr>
                <w:rFonts w:ascii="Calibri"/>
                <w:sz w:val="20"/>
              </w:rPr>
              <w:drawing>
                <wp:inline distT="0" distB="0" distL="0" distR="0">
                  <wp:extent cx="15028164" cy="1458468"/>
                  <wp:effectExtent l="0" t="0" r="0" b="0"/>
                  <wp:docPr id="77" name="image50.png" descr=""/>
                  <wp:cNvGraphicFramePr>
                    <a:graphicFrameLocks noChangeAspect="1"/>
                  </wp:cNvGraphicFramePr>
                  <a:graphic>
                    <a:graphicData uri="http://schemas.openxmlformats.org/drawingml/2006/picture">
                      <pic:pic>
                        <pic:nvPicPr>
                          <pic:cNvPr id="78" name="image50.png"/>
                          <pic:cNvPicPr/>
                        </pic:nvPicPr>
                        <pic:blipFill>
                          <a:blip r:embed="rId98" cstate="print"/>
                          <a:stretch>
                            <a:fillRect/>
                          </a:stretch>
                        </pic:blipFill>
                        <pic:spPr>
                          <a:xfrm>
                            <a:off x="0" y="0"/>
                            <a:ext cx="15028164" cy="1458468"/>
                          </a:xfrm>
                          <a:prstGeom prst="rect">
                            <a:avLst/>
                          </a:prstGeom>
                        </pic:spPr>
                      </pic:pic>
                    </a:graphicData>
                  </a:graphic>
                </wp:inline>
              </w:drawing>
            </w:r>
            <w:r>
              <w:rPr>
                <w:rFonts w:ascii="Calibri"/>
                <w:sz w:val="20"/>
              </w:rPr>
            </w:r>
          </w:p>
          <w:p>
            <w:pPr>
              <w:pStyle w:val="TableParagraph"/>
              <w:spacing w:before="8"/>
              <w:rPr>
                <w:rFonts w:ascii="Calibri"/>
                <w:sz w:val="29"/>
              </w:rPr>
            </w:pPr>
          </w:p>
        </w:tc>
      </w:tr>
      <w:tr>
        <w:trPr>
          <w:trHeight w:val="1248" w:hRule="atLeast"/>
        </w:trPr>
        <w:tc>
          <w:tcPr>
            <w:tcW w:w="23661" w:type="dxa"/>
            <w:gridSpan w:val="2"/>
            <w:tcBorders>
              <w:top w:val="single" w:sz="12" w:space="0" w:color="000000"/>
            </w:tcBorders>
          </w:tcPr>
          <w:p>
            <w:pPr>
              <w:pStyle w:val="TableParagraph"/>
              <w:spacing w:line="238" w:lineRule="exact" w:before="171"/>
              <w:ind w:right="646"/>
              <w:jc w:val="right"/>
              <w:rPr>
                <w:sz w:val="18"/>
              </w:rPr>
            </w:pPr>
            <w:r>
              <w:rPr>
                <w:position w:val="-5"/>
              </w:rPr>
              <w:drawing>
                <wp:inline distT="0" distB="0" distL="0" distR="0">
                  <wp:extent cx="163067" cy="163067"/>
                  <wp:effectExtent l="0" t="0" r="0" b="0"/>
                  <wp:docPr id="79" name="image51.png" descr=""/>
                  <wp:cNvGraphicFramePr>
                    <a:graphicFrameLocks noChangeAspect="1"/>
                  </wp:cNvGraphicFramePr>
                  <a:graphic>
                    <a:graphicData uri="http://schemas.openxmlformats.org/drawingml/2006/picture">
                      <pic:pic>
                        <pic:nvPicPr>
                          <pic:cNvPr id="80" name="image51.png"/>
                          <pic:cNvPicPr/>
                        </pic:nvPicPr>
                        <pic:blipFill>
                          <a:blip r:embed="rId99" cstate="print"/>
                          <a:stretch>
                            <a:fillRect/>
                          </a:stretch>
                        </pic:blipFill>
                        <pic:spPr>
                          <a:xfrm>
                            <a:off x="0" y="0"/>
                            <a:ext cx="163067" cy="163067"/>
                          </a:xfrm>
                          <a:prstGeom prst="rect">
                            <a:avLst/>
                          </a:prstGeom>
                        </pic:spPr>
                      </pic:pic>
                    </a:graphicData>
                  </a:graphic>
                </wp:inline>
              </w:drawing>
            </w:r>
            <w:r>
              <w:rPr>
                <w:position w:val="-5"/>
              </w:rPr>
            </w:r>
            <w:r>
              <w:rPr>
                <w:rFonts w:ascii="Times New Roman"/>
                <w:sz w:val="20"/>
              </w:rPr>
              <w:t>   </w:t>
            </w:r>
            <w:r>
              <w:rPr>
                <w:rFonts w:ascii="Times New Roman"/>
                <w:spacing w:val="18"/>
                <w:sz w:val="20"/>
              </w:rPr>
              <w:t> </w:t>
            </w:r>
            <w:r>
              <w:rPr>
                <w:sz w:val="18"/>
              </w:rPr>
              <w:t>Completed</w:t>
            </w:r>
            <w:r>
              <w:rPr>
                <w:spacing w:val="1"/>
                <w:sz w:val="18"/>
              </w:rPr>
              <w:t> </w:t>
            </w:r>
            <w:r>
              <w:rPr>
                <w:sz w:val="18"/>
              </w:rPr>
              <w:t>Schemes</w:t>
            </w:r>
          </w:p>
          <w:p>
            <w:pPr>
              <w:pStyle w:val="TableParagraph"/>
              <w:spacing w:line="167" w:lineRule="exact"/>
              <w:ind w:left="126"/>
              <w:rPr>
                <w:sz w:val="22"/>
              </w:rPr>
            </w:pPr>
            <w:r>
              <w:rPr>
                <w:sz w:val="22"/>
              </w:rPr>
              <w:t>Reproduced from Ordnance Survey material with the permission of Ordnance Survey on behalf of the Controller</w:t>
            </w:r>
          </w:p>
          <w:p>
            <w:pPr>
              <w:pStyle w:val="TableParagraph"/>
              <w:tabs>
                <w:tab w:pos="20814" w:val="left" w:leader="none"/>
              </w:tabs>
              <w:spacing w:line="326" w:lineRule="exact"/>
              <w:ind w:left="311"/>
              <w:rPr>
                <w:sz w:val="18"/>
              </w:rPr>
            </w:pPr>
            <w:r>
              <w:rPr>
                <w:sz w:val="22"/>
              </w:rPr>
              <w:t>of</w:t>
            </w:r>
            <w:r>
              <w:rPr>
                <w:spacing w:val="11"/>
                <w:sz w:val="22"/>
              </w:rPr>
              <w:t> </w:t>
            </w:r>
            <w:r>
              <w:rPr>
                <w:sz w:val="22"/>
              </w:rPr>
              <w:t>Her</w:t>
            </w:r>
            <w:r>
              <w:rPr>
                <w:spacing w:val="12"/>
                <w:sz w:val="22"/>
              </w:rPr>
              <w:t> </w:t>
            </w:r>
            <w:r>
              <w:rPr>
                <w:sz w:val="22"/>
              </w:rPr>
              <w:t>Majesty's</w:t>
            </w:r>
            <w:r>
              <w:rPr>
                <w:spacing w:val="13"/>
                <w:sz w:val="22"/>
              </w:rPr>
              <w:t> </w:t>
            </w:r>
            <w:r>
              <w:rPr>
                <w:sz w:val="22"/>
              </w:rPr>
              <w:t>Stationery</w:t>
            </w:r>
            <w:r>
              <w:rPr>
                <w:spacing w:val="13"/>
                <w:sz w:val="22"/>
              </w:rPr>
              <w:t> </w:t>
            </w:r>
            <w:r>
              <w:rPr>
                <w:sz w:val="22"/>
              </w:rPr>
              <w:t>Office. </w:t>
            </w:r>
            <w:r>
              <w:rPr>
                <w:spacing w:val="25"/>
                <w:sz w:val="22"/>
              </w:rPr>
              <w:t> </w:t>
            </w:r>
            <w:r>
              <w:rPr>
                <w:sz w:val="22"/>
              </w:rPr>
              <w:t>Crown</w:t>
            </w:r>
            <w:r>
              <w:rPr>
                <w:spacing w:val="13"/>
                <w:sz w:val="22"/>
              </w:rPr>
              <w:t> </w:t>
            </w:r>
            <w:r>
              <w:rPr>
                <w:sz w:val="22"/>
              </w:rPr>
              <w:t>Copyright.</w:t>
            </w:r>
            <w:r>
              <w:rPr>
                <w:spacing w:val="12"/>
                <w:sz w:val="22"/>
              </w:rPr>
              <w:t> </w:t>
            </w:r>
            <w:r>
              <w:rPr>
                <w:sz w:val="22"/>
              </w:rPr>
              <w:t>Unauthorised</w:t>
            </w:r>
            <w:r>
              <w:rPr>
                <w:spacing w:val="13"/>
                <w:sz w:val="22"/>
              </w:rPr>
              <w:t> </w:t>
            </w:r>
            <w:r>
              <w:rPr>
                <w:sz w:val="22"/>
              </w:rPr>
              <w:t>reproduction</w:t>
            </w:r>
            <w:r>
              <w:rPr>
                <w:spacing w:val="13"/>
                <w:sz w:val="22"/>
              </w:rPr>
              <w:t> </w:t>
            </w:r>
            <w:r>
              <w:rPr>
                <w:sz w:val="22"/>
              </w:rPr>
              <w:t>infringes</w:t>
            </w:r>
            <w:r>
              <w:rPr>
                <w:spacing w:val="13"/>
                <w:sz w:val="22"/>
              </w:rPr>
              <w:t> </w:t>
            </w:r>
            <w:r>
              <w:rPr>
                <w:sz w:val="22"/>
              </w:rPr>
              <w:t>Crown</w:t>
            </w:r>
            <w:r>
              <w:rPr>
                <w:spacing w:val="13"/>
                <w:sz w:val="22"/>
              </w:rPr>
              <w:t> </w:t>
            </w:r>
            <w:r>
              <w:rPr>
                <w:sz w:val="22"/>
              </w:rPr>
              <w:t>copyright</w:t>
            </w:r>
            <w:r>
              <w:rPr>
                <w:spacing w:val="12"/>
                <w:sz w:val="22"/>
              </w:rPr>
              <w:t> </w:t>
            </w:r>
            <w:r>
              <w:rPr>
                <w:sz w:val="22"/>
              </w:rPr>
              <w:t>and</w:t>
            </w:r>
            <w:r>
              <w:rPr>
                <w:rFonts w:ascii="Times New Roman"/>
                <w:sz w:val="22"/>
              </w:rPr>
              <w:tab/>
            </w:r>
            <w:r>
              <w:rPr>
                <w:rFonts w:ascii="Times New Roman"/>
                <w:position w:val="5"/>
                <w:sz w:val="22"/>
              </w:rPr>
              <w:drawing>
                <wp:inline distT="0" distB="0" distL="0" distR="0">
                  <wp:extent cx="190499" cy="190499"/>
                  <wp:effectExtent l="0" t="0" r="0" b="0"/>
                  <wp:docPr id="81" name="image52.png" descr=""/>
                  <wp:cNvGraphicFramePr>
                    <a:graphicFrameLocks noChangeAspect="1"/>
                  </wp:cNvGraphicFramePr>
                  <a:graphic>
                    <a:graphicData uri="http://schemas.openxmlformats.org/drawingml/2006/picture">
                      <pic:pic>
                        <pic:nvPicPr>
                          <pic:cNvPr id="82" name="image52.png"/>
                          <pic:cNvPicPr/>
                        </pic:nvPicPr>
                        <pic:blipFill>
                          <a:blip r:embed="rId100" cstate="print"/>
                          <a:stretch>
                            <a:fillRect/>
                          </a:stretch>
                        </pic:blipFill>
                        <pic:spPr>
                          <a:xfrm>
                            <a:off x="0" y="0"/>
                            <a:ext cx="190499" cy="190499"/>
                          </a:xfrm>
                          <a:prstGeom prst="rect">
                            <a:avLst/>
                          </a:prstGeom>
                        </pic:spPr>
                      </pic:pic>
                    </a:graphicData>
                  </a:graphic>
                </wp:inline>
              </w:drawing>
            </w:r>
            <w:r>
              <w:rPr>
                <w:rFonts w:ascii="Times New Roman"/>
                <w:position w:val="5"/>
                <w:sz w:val="22"/>
              </w:rPr>
            </w:r>
            <w:r>
              <w:rPr>
                <w:rFonts w:ascii="Times New Roman"/>
                <w:position w:val="12"/>
                <w:sz w:val="22"/>
              </w:rPr>
              <w:t>   </w:t>
            </w:r>
            <w:r>
              <w:rPr>
                <w:rFonts w:ascii="Times New Roman"/>
                <w:spacing w:val="-24"/>
                <w:position w:val="12"/>
                <w:sz w:val="22"/>
              </w:rPr>
              <w:t> </w:t>
            </w:r>
            <w:r>
              <w:rPr>
                <w:position w:val="12"/>
                <w:sz w:val="18"/>
              </w:rPr>
              <w:t>Leeds</w:t>
            </w:r>
            <w:r>
              <w:rPr>
                <w:spacing w:val="-1"/>
                <w:position w:val="12"/>
                <w:sz w:val="18"/>
              </w:rPr>
              <w:t> </w:t>
            </w:r>
            <w:r>
              <w:rPr>
                <w:spacing w:val="-3"/>
                <w:position w:val="12"/>
                <w:sz w:val="18"/>
              </w:rPr>
              <w:t>FAS</w:t>
            </w:r>
          </w:p>
          <w:p>
            <w:pPr>
              <w:pStyle w:val="TableParagraph"/>
              <w:tabs>
                <w:tab w:pos="20836" w:val="left" w:leader="none"/>
              </w:tabs>
              <w:spacing w:before="3"/>
              <w:ind w:left="311"/>
              <w:rPr>
                <w:sz w:val="18"/>
              </w:rPr>
            </w:pPr>
            <w:r>
              <w:rPr>
                <w:sz w:val="22"/>
              </w:rPr>
              <w:t>may lead to prosecution or civil proceedings. Licence No: LA </w:t>
            </w:r>
            <w:r>
              <w:rPr>
                <w:spacing w:val="41"/>
                <w:sz w:val="22"/>
              </w:rPr>
              <w:t> </w:t>
            </w:r>
            <w:r>
              <w:rPr>
                <w:sz w:val="22"/>
              </w:rPr>
              <w:t>100019567</w:t>
            </w:r>
            <w:r>
              <w:rPr>
                <w:spacing w:val="8"/>
                <w:sz w:val="22"/>
              </w:rPr>
              <w:t> </w:t>
            </w:r>
            <w:r>
              <w:rPr>
                <w:sz w:val="22"/>
              </w:rPr>
              <w:t>(2018).</w:t>
            </w:r>
            <w:r>
              <w:rPr>
                <w:rFonts w:ascii="Times New Roman"/>
                <w:sz w:val="22"/>
              </w:rPr>
              <w:tab/>
            </w:r>
            <w:r>
              <w:rPr>
                <w:rFonts w:ascii="Times New Roman"/>
                <w:position w:val="-4"/>
                <w:sz w:val="22"/>
              </w:rPr>
              <w:drawing>
                <wp:inline distT="0" distB="0" distL="0" distR="0">
                  <wp:extent cx="163067" cy="163067"/>
                  <wp:effectExtent l="0" t="0" r="0" b="0"/>
                  <wp:docPr id="83" name="image53.png" descr=""/>
                  <wp:cNvGraphicFramePr>
                    <a:graphicFrameLocks noChangeAspect="1"/>
                  </wp:cNvGraphicFramePr>
                  <a:graphic>
                    <a:graphicData uri="http://schemas.openxmlformats.org/drawingml/2006/picture">
                      <pic:pic>
                        <pic:nvPicPr>
                          <pic:cNvPr id="84" name="image53.png"/>
                          <pic:cNvPicPr/>
                        </pic:nvPicPr>
                        <pic:blipFill>
                          <a:blip r:embed="rId101" cstate="print"/>
                          <a:stretch>
                            <a:fillRect/>
                          </a:stretch>
                        </pic:blipFill>
                        <pic:spPr>
                          <a:xfrm>
                            <a:off x="0" y="0"/>
                            <a:ext cx="163067" cy="163067"/>
                          </a:xfrm>
                          <a:prstGeom prst="rect">
                            <a:avLst/>
                          </a:prstGeom>
                        </pic:spPr>
                      </pic:pic>
                    </a:graphicData>
                  </a:graphic>
                </wp:inline>
              </w:drawing>
            </w:r>
            <w:r>
              <w:rPr>
                <w:rFonts w:ascii="Times New Roman"/>
                <w:position w:val="-4"/>
                <w:sz w:val="22"/>
              </w:rPr>
            </w:r>
            <w:r>
              <w:rPr>
                <w:rFonts w:ascii="Times New Roman"/>
                <w:position w:val="1"/>
                <w:sz w:val="22"/>
              </w:rPr>
              <w:t>   </w:t>
            </w:r>
            <w:r>
              <w:rPr>
                <w:rFonts w:ascii="Times New Roman"/>
                <w:spacing w:val="-2"/>
                <w:position w:val="1"/>
                <w:sz w:val="22"/>
              </w:rPr>
              <w:t> </w:t>
            </w:r>
            <w:r>
              <w:rPr>
                <w:position w:val="1"/>
                <w:sz w:val="18"/>
              </w:rPr>
              <w:t>PLP</w:t>
            </w:r>
            <w:r>
              <w:rPr>
                <w:spacing w:val="-3"/>
                <w:position w:val="1"/>
                <w:sz w:val="18"/>
              </w:rPr>
              <w:t> </w:t>
            </w:r>
            <w:r>
              <w:rPr>
                <w:position w:val="1"/>
                <w:sz w:val="18"/>
              </w:rPr>
              <w:t>Schemes</w:t>
            </w:r>
          </w:p>
        </w:tc>
      </w:tr>
    </w:tbl>
    <w:p>
      <w:pPr>
        <w:rPr>
          <w:sz w:val="2"/>
          <w:szCs w:val="2"/>
        </w:rPr>
      </w:pPr>
      <w:r>
        <w:rPr/>
        <w:drawing>
          <wp:anchor distT="0" distB="0" distL="0" distR="0" allowOverlap="1" layoutInCell="1" locked="0" behindDoc="1" simplePos="0" relativeHeight="268036943">
            <wp:simplePos x="0" y="0"/>
            <wp:positionH relativeFrom="page">
              <wp:posOffset>52931</wp:posOffset>
            </wp:positionH>
            <wp:positionV relativeFrom="page">
              <wp:posOffset>94498</wp:posOffset>
            </wp:positionV>
            <wp:extent cx="15028145" cy="731520"/>
            <wp:effectExtent l="0" t="0" r="0" b="0"/>
            <wp:wrapNone/>
            <wp:docPr id="85" name="image54.png" descr=""/>
            <wp:cNvGraphicFramePr>
              <a:graphicFrameLocks noChangeAspect="1"/>
            </wp:cNvGraphicFramePr>
            <a:graphic>
              <a:graphicData uri="http://schemas.openxmlformats.org/drawingml/2006/picture">
                <pic:pic>
                  <pic:nvPicPr>
                    <pic:cNvPr id="86" name="image54.png"/>
                    <pic:cNvPicPr/>
                  </pic:nvPicPr>
                  <pic:blipFill>
                    <a:blip r:embed="rId102" cstate="print"/>
                    <a:stretch>
                      <a:fillRect/>
                    </a:stretch>
                  </pic:blipFill>
                  <pic:spPr>
                    <a:xfrm>
                      <a:off x="0" y="0"/>
                      <a:ext cx="15028145" cy="731520"/>
                    </a:xfrm>
                    <a:prstGeom prst="rect">
                      <a:avLst/>
                    </a:prstGeom>
                  </pic:spPr>
                </pic:pic>
              </a:graphicData>
            </a:graphic>
          </wp:anchor>
        </w:drawing>
      </w:r>
      <w:r>
        <w:rPr/>
        <w:pict>
          <v:group style="position:absolute;margin-left:4.167864pt;margin-top:64.680801pt;width:1183.350pt;height:229.35pt;mso-position-horizontal-relative:page;mso-position-vertical-relative:page;z-index:-398488" coordorigin="83,1294" coordsize="23667,4587">
            <v:shape style="position:absolute;left:83;top:1293;width:23667;height:1152" type="#_x0000_t75" stroked="false">
              <v:imagedata r:id="rId103" o:title=""/>
            </v:shape>
            <v:shape style="position:absolute;left:83;top:2438;width:23667;height:1152" type="#_x0000_t75" stroked="false">
              <v:imagedata r:id="rId104" o:title=""/>
            </v:shape>
            <v:shape style="position:absolute;left:83;top:3583;width:23667;height:1152" type="#_x0000_t75" stroked="false">
              <v:imagedata r:id="rId105" o:title=""/>
            </v:shape>
            <v:shape style="position:absolute;left:83;top:4728;width:23667;height:1152" type="#_x0000_t75" stroked="false">
              <v:imagedata r:id="rId106" o:title=""/>
            </v:shape>
            <v:shape style="position:absolute;left:13451;top:4588;width:257;height:257" type="#_x0000_t75" stroked="false">
              <v:imagedata r:id="rId107" o:title=""/>
            </v:shape>
            <v:line style="position:absolute" from="13581,4718" to="13929,4418" stroked="true" strokeweight="1.08pt" strokecolor="#000000">
              <v:stroke dashstyle="solid"/>
            </v:line>
            <v:shape style="position:absolute;left:13568;top:4648;width:84;height:84" coordorigin="13569,4649" coordsize="84,84" path="m13610,4649l13593,4652,13580,4660,13572,4673,13569,4690,13572,4706,13580,4720,13593,4729,13610,4733,13627,4729,13640,4720,13650,4706,13653,4690,13650,4673,13640,4660,13627,4652,13610,4649xe" filled="true" fillcolor="#000000" stroked="false">
              <v:path arrowok="t"/>
              <v:fill type="solid"/>
            </v:shape>
            <v:shape style="position:absolute;left:13568;top:4648;width:84;height:84" coordorigin="13569,4649" coordsize="84,84" path="m13653,4690l13650,4673,13640,4660,13627,4652,13610,4649,13593,4652,13580,4660,13572,4673,13569,4690,13572,4706,13580,4720,13593,4729,13610,4733,13627,4729,13640,4720,13650,4706,13653,4690xe" filled="false" stroked="true" strokeweight=".12pt" strokecolor="#000000">
              <v:path arrowok="t"/>
              <v:stroke dashstyle="solid"/>
            </v:shape>
            <v:shape style="position:absolute;left:58257;top:-35327;width:3260;height:770" coordorigin="58257,-35327" coordsize="3260,770" path="m14116,4438l14109,4459,14097,4471,14083,4481,14063,4483,14049,4481,14032,4476,14020,4464,14013,4450,14008,4433,14006,4411,14008,4394,14011,4378,14018,4363,14030,4351,14047,4344,14063,4342,14080,4344,14095,4351,14104,4361,14111,4378,14135,4373,14126,4351,14109,4334,14090,4325,14066,4320,14044,4322,14023,4332,14006,4344,13991,4363,13984,4385,13982,4411,13984,4435,13991,4459,14003,4478,14018,4493,14039,4502,14066,4505,14092,4500,14114,4490,14131,4471,14140,4445,14116,4438m14169,4502l14191,4502,14191,4418,14195,4409,14200,4402,14207,4394,14215,4392,14224,4390,14236,4392,14246,4397,14251,4406,14253,4421,14253,4502,14275,4502,14275,4402,14270,4390,14265,4380,14255,4373,14243,4370,14229,4368,14219,4370,14207,4373,14198,4380,14191,4390,14191,4322,14169,4322,14169,4502m14392,4502l14414,4502,14414,4370,14392,4370,14392,4454,14390,4464,14383,4474,14375,4478,14366,4483,14349,4483,14339,4478,14332,4464,14330,4457,14330,4370,14308,4370,14308,4464,14311,4474,14315,4490,14323,4495,14330,4500,14342,4505,14351,4505,14363,4502,14375,4498,14385,4490,14392,4481,14392,4502m14450,4502l14471,4502,14471,4433,14476,4406,14483,4394,14495,4390,14505,4392,14512,4394,14519,4375,14507,4370,14498,4368,14483,4373,14476,4380,14469,4390,14469,4370,14450,4370,14450,4502m14620,4454l14615,4466,14608,4476,14599,4481,14587,4483,14570,4481,14558,4471,14551,4457,14548,4438,14551,4416,14560,4402,14572,4392,14587,4390,14599,4392,14606,4397,14613,4404,14618,4414,14639,4411,14632,4392,14623,4380,14606,4370,14587,4368,14570,4370,14555,4375,14543,4387,14534,4399,14529,4418,14527,4438,14531,4466,14543,4488,14563,4500,14587,4505,14606,4502,14623,4493,14635,4476,14642,4457,14620,4454m14659,4502l14680,4502,14680,4418,14685,4409,14690,4402,14697,4394,14704,4392,14714,4390,14726,4392,14735,4397,14740,4406,14743,4421,14743,4502,14764,4502,14764,4402,14759,4390,14755,4380,14745,4373,14733,4370,14719,4368,14709,4370,14697,4373,14687,4380,14680,4390,14680,4322,14659,4322,14659,4502e" filled="false" stroked="true" strokeweight="2.16pt" strokecolor="#ffffff">
              <v:path arrowok="t"/>
              <v:stroke dashstyle="solid"/>
            </v:shape>
            <v:shape style="position:absolute;left:14850;top:4300;width:632;height:262" type="#_x0000_t75" stroked="false">
              <v:imagedata r:id="rId108" o:title=""/>
            </v:shape>
            <v:shape style="position:absolute;left:64897;top:-35317;width:3750;height:970" coordorigin="64897,-35317" coordsize="3750,970" path="m15575,4502l15659,4502,15674,4500,15693,4490,15700,4483,15707,4474,15710,4462,15712,4450,15710,4435,15703,4423,15693,4414,15679,4406,15691,4399,15698,4390,15703,4380,15705,4368,15703,4356,15698,4344,15688,4334,15679,4327,15664,4325,15645,4322,15575,4322,15575,4502m15599,4397l15599,4344,15652,4344,15664,4346,15676,4356,15681,4363,15681,4380,15676,4387,15671,4392,15662,4394,15652,4397,15599,4397m15599,4481l15599,4418,15657,4418,15669,4421,15683,4433,15688,4440,15688,4450,15686,4464,15676,4476,15662,4481,15599,4481m15825,4486l15832,4502,15854,4502,15849,4483,15847,4478,15847,4399,15839,4382,15832,4378,15823,4373,15811,4370,15796,4368,15765,4373,15755,4378,15746,4387,15741,4397,15736,4409,15758,4411,15763,4402,15770,4394,15777,4392,15791,4390,15806,4392,15815,4397,15820,4404,15823,4414,15823,4418,15806,4423,15784,4426,15772,4428,15765,4430,15748,4438,15739,4450,15734,4466,15736,4483,15746,4495,15758,4502,15777,4505,15801,4500,15813,4495,15825,4486m15823,4440l15823,4457,15818,4464,15813,4471,15803,4478,15794,4483,15770,4483,15763,4478,15758,4474,15755,4466,15758,4457,15767,4452,15775,4450,15787,4447,15808,4445,15823,4440m15883,4502l15904,4502,15904,4433,15909,4406,15916,4394,15928,4390,15938,4392,15945,4394,15952,4375,15940,4370,15931,4368,15916,4373,15909,4380,15902,4390,15902,4370,15883,4370,15883,4502m16051,4502l16072,4502,16072,4322,16051,4322,16051,4390,16036,4375,16027,4370,16015,4368,16000,4370,15986,4378,15974,4387,15967,4402,15962,4418,15959,4438,15962,4457,15967,4471,15976,4486,15986,4495,16000,4502,16015,4505,16027,4502,16036,4500,16043,4493,16051,4481,16051,4502m15981,4438l15983,4416,15991,4402,16003,4392,16015,4390,16029,4392,16041,4402,16048,4416,16051,4438,16048,4459,16041,4471,16029,4481,16017,4483,16003,4481,15991,4471,15983,4457,15981,4438m16101,4462l16108,4481,16118,4495,16135,4502,16156,4505,16171,4505,16185,4500,16195,4493,16202,4483,16207,4474,16209,4462,16207,4452,16204,4442,16187,4433,16175,4428,16154,4421,16142,4418,16137,4416,16127,4411,16125,4404,16127,4399,16132,4394,16139,4392,16151,4390,16163,4392,16173,4394,16178,4402,16180,4409,16202,4406,16199,4394,16195,4385,16187,4378,16178,4373,16151,4368,16132,4370,16118,4378,16108,4390,16103,4406,16106,4416,16108,4426,16115,4433,16123,4438,16135,4442,16156,4447,16171,4452,16180,4454,16185,4459,16187,4464,16185,4471,16180,4478,16171,4483,16156,4483,16144,4481,16132,4478,16125,4469,16123,4459,16101,4462m16324,4462l16317,4471,16310,4478,16300,4483,16288,4483,16274,4481,16259,4474,16252,4459,16247,4442,16346,4442,16346,4438,16341,4409,16329,4387,16310,4373,16286,4368,16262,4373,16243,4387,16231,4409,16226,4438,16231,4466,16243,4488,16262,4500,16288,4505,16310,4502,16324,4495,16339,4481,16346,4464,16324,4462m16247,4421l16252,4409,16259,4399,16271,4392,16286,4390,16303,4392,16315,4399,16322,4409,16324,4421,16247,4421m16375,4553l16389,4555,16399,4555,16406,4550,16413,4543,16418,4534,16423,4524,16430,4505,16475,4370,16454,4370,16427,4447,16418,4474,16411,4445,16384,4370,16363,4370,16408,4502,16406,4507,16403,4519,16401,4524,16394,4531,16384,4534,16372,4531,16375,4553e" filled="false" stroked="true" strokeweight="2.16pt" strokecolor="#ffffff">
              <v:path arrowok="t"/>
              <v:stroke dashstyle="solid"/>
            </v:shape>
            <v:shape style="position:absolute;left:5905;top:3060;width:257;height:257" type="#_x0000_t75" stroked="false">
              <v:imagedata r:id="rId99" o:title=""/>
            </v:shape>
            <v:line style="position:absolute" from="6035,3190" to="6235,2933" stroked="true" strokeweight="1.08pt" strokecolor="#000000">
              <v:stroke dashstyle="solid"/>
            </v:line>
            <v:shape style="position:absolute;left:6018;top:3112;width:84;height:84" coordorigin="6019,3113" coordsize="84,84" path="m6059,3113l6043,3116,6030,3124,6022,3137,6019,3154,6022,3170,6030,3184,6043,3193,6059,3197,6076,3193,6090,3184,6099,3170,6103,3154,6099,3137,6090,3124,6076,3116,6059,3113xe" filled="true" fillcolor="#000000" stroked="false">
              <v:path arrowok="t"/>
              <v:fill type="solid"/>
            </v:shape>
            <v:shape style="position:absolute;left:6018;top:3112;width:84;height:84" coordorigin="6019,3113" coordsize="84,84" path="m6103,3154l6099,3137,6090,3124,6076,3116,6059,3113,6043,3116,6030,3124,6022,3137,6019,3154,6022,3170,6030,3184,6043,3193,6059,3197,6076,3193,6090,3184,6099,3170,6103,3154xe" filled="false" stroked="true" strokeweight=".12pt" strokecolor="#000000">
              <v:path arrowok="t"/>
              <v:stroke dashstyle="solid"/>
            </v:shape>
            <v:shape style="position:absolute;left:26207;top:-41517;width:1220;height:770" coordorigin="26207,-41517" coordsize="1220,770" path="m6424,2952l6417,2974,6405,2986,6391,2995,6371,2998,6357,2995,6340,2990,6328,2978,6321,2964,6316,2947,6314,2926,6316,2909,6319,2892,6326,2878,6338,2866,6355,2858,6371,2856,6388,2858,6403,2866,6412,2875,6419,2892,6443,2887,6434,2866,6417,2849,6398,2839,6374,2834,6352,2837,6331,2846,6314,2858,6299,2878,6292,2899,6290,2926,6292,2950,6299,2974,6311,2993,6326,3007,6347,3017,6374,3019,6400,3014,6422,3005,6439,2986,6448,2959,6424,2952m6561,3017l6583,3017,6583,2885,6561,2885,6561,2969,6559,2978,6551,2988,6544,2993,6535,2998,6518,2998,6508,2993,6501,2978,6499,2971,6499,2885,6477,2885,6477,2978,6479,2988,6484,3005,6491,3010,6499,3014,6511,3019,6520,3019,6532,3017,6544,3012,6554,3005,6561,2995,6561,3017e" filled="false" stroked="true" strokeweight="2.16pt" strokecolor="#ffffff">
              <v:path arrowok="t"/>
              <v:stroke dashstyle="solid"/>
            </v:shape>
            <v:line style="position:absolute" from="6627,2815" to="6627,3038" stroked="true" strokeweight="3.24pt" strokecolor="#ffffff">
              <v:stroke dashstyle="solid"/>
            </v:line>
            <v:shape style="position:absolute;left:27747;top:-41497;width:1740;height:750" coordorigin="27747,-41497" coordsize="1740,750" path="m6712,3017l6734,3017,6782,2885,6758,2885,6729,2966,6722,2990,6712,2964,6683,2885,6659,2885,6712,3017m6890,2976l6883,2986,6875,2993,6866,2998,6854,2998,6839,2995,6825,2988,6818,2974,6813,2957,6911,2957,6911,2952,6907,2923,6895,2902,6875,2887,6851,2882,6827,2887,6808,2902,6796,2923,6791,2952,6796,2981,6808,3002,6827,3014,6854,3019,6875,3017,6890,3010,6904,2995,6911,2978,6890,2976m6813,2935l6818,2923,6825,2914,6837,2906,6851,2904,6868,2906,6880,2914,6887,2923,6890,2935,6813,2935m6940,3017l6962,3017,6962,2947,6967,2921,6974,2909,6986,2904,6995,2906,7003,2909,7010,2890,6998,2885,6988,2882,6974,2887,6967,2894,6959,2904,6959,2885,6940,2885,6940,3017m7075,2998l7065,2998,7055,2995,7053,2993,7051,2988,7051,2906,7075,2906,7075,2885,7051,2885,7051,2839,7029,2854,7029,2885,7012,2885,7012,2906,7029,2906,7029,2998,7031,3005,7041,3017,7048,3019,7060,3019,7077,3017,7075,2998e" filled="false" stroked="true" strokeweight="2.16pt" strokecolor="#ffffff">
              <v:path arrowok="t"/>
              <v:stroke dashstyle="solid"/>
            </v:shape>
            <v:shape style="position:absolute;left:7144;top:2812;width:2866;height:276" type="#_x0000_t75" stroked="false">
              <v:imagedata r:id="rId109" o:title=""/>
            </v:shape>
            <w10:wrap type="none"/>
          </v:group>
        </w:pict>
      </w:r>
      <w:r>
        <w:rPr/>
        <w:pict>
          <v:group style="position:absolute;margin-left:4.167864pt;margin-top:293.640808pt;width:1183.350pt;height:343.8pt;mso-position-horizontal-relative:page;mso-position-vertical-relative:page;z-index:-398464" coordorigin="83,5873" coordsize="23667,6876">
            <v:shape style="position:absolute;left:83;top:5872;width:23667;height:1152" type="#_x0000_t75" stroked="false">
              <v:imagedata r:id="rId110" o:title=""/>
            </v:shape>
            <v:shape style="position:absolute;left:83;top:7017;width:23667;height:1152" type="#_x0000_t75" stroked="false">
              <v:imagedata r:id="rId111" o:title=""/>
            </v:shape>
            <v:shape style="position:absolute;left:83;top:8162;width:23667;height:1152" type="#_x0000_t75" stroked="false">
              <v:imagedata r:id="rId112" o:title=""/>
            </v:shape>
            <v:shape style="position:absolute;left:83;top:9307;width:23667;height:1152" type="#_x0000_t75" stroked="false">
              <v:imagedata r:id="rId113" o:title=""/>
            </v:shape>
            <v:shape style="position:absolute;left:83;top:10452;width:23667;height:1152" type="#_x0000_t75" stroked="false">
              <v:imagedata r:id="rId114" o:title=""/>
            </v:shape>
            <v:shape style="position:absolute;left:83;top:11596;width:23667;height:1152" type="#_x0000_t75" stroked="false">
              <v:imagedata r:id="rId115" o:title=""/>
            </v:shape>
            <v:shape style="position:absolute;left:10784;top:9302;width:2936;height:1140" type="#_x0000_t75" stroked="false">
              <v:imagedata r:id="rId116" o:title=""/>
            </v:shape>
            <v:shape style="position:absolute;left:11384;top:7848;width:257;height:257" type="#_x0000_t75" stroked="false">
              <v:imagedata r:id="rId117" o:title=""/>
            </v:shape>
            <v:shape style="position:absolute;left:14360;top:9736;width:257;height:257" type="#_x0000_t75" stroked="false">
              <v:imagedata r:id="rId117" o:title=""/>
            </v:shape>
            <v:shape style="position:absolute;left:6616;top:11037;width:3780;height:473" type="#_x0000_t75" stroked="false">
              <v:imagedata r:id="rId118" o:title=""/>
            </v:shape>
            <v:shape style="position:absolute;left:8593;top:9926;width:257;height:257" type="#_x0000_t75" stroked="false">
              <v:imagedata r:id="rId107" o:title=""/>
            </v:shape>
            <v:shape style="position:absolute;left:15544;top:10660;width:3207;height:473" type="#_x0000_t75" stroked="false">
              <v:imagedata r:id="rId119" o:title=""/>
            </v:shape>
            <v:shape style="position:absolute;left:15772;top:11421;width:3636;height:473" type="#_x0000_t75" stroked="false">
              <v:imagedata r:id="rId120" o:title=""/>
            </v:shape>
            <v:shape style="position:absolute;left:14761;top:8486;width:6543;height:1896" type="#_x0000_t75" stroked="false">
              <v:imagedata r:id="rId121" o:title=""/>
            </v:shape>
            <v:shape style="position:absolute;left:10936;top:7910;width:257;height:257" type="#_x0000_t75" stroked="false">
              <v:imagedata r:id="rId122" o:title=""/>
            </v:shape>
            <v:line style="position:absolute" from="11066,8040" to="10658,7750" stroked="true" strokeweight="1.08pt" strokecolor="#000000">
              <v:stroke dashstyle="solid"/>
            </v:line>
            <v:shape style="position:absolute;left:10986;top:7972;width:84;height:84" coordorigin="10987,7973" coordsize="84,84" path="m11027,7973l11011,7976,10998,7984,10990,7997,10987,8014,10990,8030,10998,8044,11011,8053,11027,8057,11044,8053,11058,8044,11067,8030,11071,8014,11067,7997,11058,7984,11044,7976,11027,7973xe" filled="true" fillcolor="#000000" stroked="false">
              <v:path arrowok="t"/>
              <v:fill type="solid"/>
            </v:shape>
            <v:shape style="position:absolute;left:10986;top:7972;width:84;height:84" coordorigin="10987,7973" coordsize="84,84" path="m11071,8014l11067,7997,11058,7984,11044,7976,11027,7973,11011,7976,10998,7984,10990,7997,10987,8014,10990,8030,10998,8044,11011,8053,11027,8057,11044,8053,11058,8044,11067,8030,11071,8014xe" filled="false" stroked="true" strokeweight=".12pt" strokecolor="#000000">
              <v:path arrowok="t"/>
              <v:stroke dashstyle="solid"/>
            </v:shape>
            <v:shape style="position:absolute;left:37937;top:-21437;width:3410;height:760" coordorigin="37937,-21437" coordsize="3410,760" path="m9105,7834l9129,7834,9129,7694,9223,7834,9249,7834,9249,7654,9225,7654,9225,7793,9131,7654,9105,7654,9105,7834m9376,7793l9376,7793,9369,7802,9362,7810,9352,7814,9340,7814,9326,7812,9311,7805,9304,7790,9299,7774,9398,7774,9398,7769,9393,7740,9381,7718,9362,7704,9338,7699,9314,7704,9295,7718,9283,7740,9278,7769,9283,7798,9295,7819,9314,7831,9340,7836,9362,7834,9376,7826,9391,7812,9398,7795,9376,7793m9299,7752l9299,7752,9304,7740,9311,7730,9323,7723,9338,7721,9355,7723,9367,7730,9374,7740,9376,7752,9299,7752m9448,7834l9472,7834,9499,7733,9503,7754,9523,7834,9549,7834,9590,7702,9566,7702,9544,7778,9537,7802,9530,7778,9511,7702,9484,7702,9465,7778,9463,7790,9460,7798,9460,7805,9458,7807,9451,7778,9429,7702,9407,7702,9448,7834m9657,7814l9647,7814,9638,7812,9635,7810,9633,7805,9633,7723,9657,7723,9657,7702,9633,7702,9633,7656,9611,7670,9611,7702,9595,7702,9595,7723,9611,7723,9611,7814,9614,7822,9623,7834,9631,7836,9643,7836,9659,7834,9657,7814m9669,7769l9669,7769,9674,7798,9686,7819,9705,7831,9729,7836,9746,7834,9760,7829,9772,7819,9782,7805,9787,7788,9789,7766,9784,7738,9772,7716,9753,7704,9729,7699,9707,7704,9688,7714,9681,7723,9674,7735,9671,7752,9669,7769m9691,7769l9691,7769,9693,7747,9703,7733,9715,7723,9729,7721,9743,7723,9755,7733,9765,7747,9767,7766,9765,7788,9755,7802,9743,7812,9729,7814,9715,7812,9703,7802,9693,7788,9691,7769m9818,7834l9839,7834,9839,7764,9842,7742,9849,7730,9861,7723,9875,7721,9890,7726,9899,7735,9902,7745,9902,7834,9923,7834,9923,7730,9916,7716,9909,7709,9902,7704,9880,7699,9868,7702,9856,7704,9847,7711,9839,7721,9839,7702,9818,7702,9818,7834e" filled="false" stroked="true" strokeweight="2.16pt" strokecolor="#ffffff">
              <v:path arrowok="t"/>
              <v:stroke dashstyle="solid"/>
            </v:shape>
            <v:shape style="position:absolute;left:10009;top:7632;width:610;height:226" type="#_x0000_t75" stroked="false">
              <v:imagedata r:id="rId123" o:title=""/>
            </v:shape>
            <v:line style="position:absolute" from="8723,10056" to="8503,9720" stroked="true" strokeweight="1.08pt" strokecolor="#000000">
              <v:stroke dashstyle="solid"/>
            </v:line>
            <v:shape style="position:absolute;left:8658;top:9976;width:84;height:84" coordorigin="8659,9977" coordsize="84,84" path="m8699,9977l8683,9980,8670,9988,8662,10001,8659,10018,8662,10034,8670,10048,8683,10057,8699,10061,8716,10057,8730,10048,8739,10034,8743,10018,8739,10001,8730,9988,8716,9980,8699,9977xe" filled="true" fillcolor="#000000" stroked="false">
              <v:path arrowok="t"/>
              <v:fill type="solid"/>
            </v:shape>
            <v:shape style="position:absolute;left:8658;top:9976;width:84;height:84" coordorigin="8659,9977" coordsize="84,84" path="m8743,10018l8739,10001,8730,9988,8716,9980,8699,9977,8683,9980,8670,9988,8662,10001,8659,10018,8662,10034,8670,10048,8683,10057,8699,10061,8716,10057,8730,10048,8739,10034,8743,10018xe" filled="false" stroked="true" strokeweight=".12pt" strokecolor="#000000">
              <v:path arrowok="t"/>
              <v:stroke dashstyle="solid"/>
            </v:shape>
            <v:shape style="position:absolute;left:28617;top:-13237;width:5280;height:760" coordorigin="28617,-13237" coordsize="5280,760" path="m6868,9802l6981,9802,6981,9780,6892,9780,6892,9622,6868,9622,6868,9802m6998,9737l6998,9737,7003,9766,7015,9787,7034,9799,7058,9804,7075,9802,7089,9797,7101,9787,7111,9773,7115,9756,7118,9734,7113,9706,7101,9684,7082,9672,7058,9667,7036,9672,7017,9682,7010,9691,7003,9703,7000,9720,6998,9737m7019,9737l7019,9737,7022,9715,7031,9701,7043,9691,7058,9689,7072,9691,7084,9701,7094,9715,7096,9734,7094,9756,7084,9770,7072,9780,7058,9782,7043,9780,7031,9770,7022,9756,7019,9737m7171,9802l7195,9802,7221,9701,7226,9722,7245,9802,7271,9802,7312,9670,7288,9670,7267,9746,7259,9770,7252,9746,7233,9670,7207,9670,7187,9746,7185,9758,7183,9766,7183,9773,7180,9775,7173,9746,7151,9670,7130,9670,7171,9802m7420,9761l7420,9761,7413,9770,7406,9778,7396,9782,7384,9782,7370,9780,7355,9773,7348,9758,7343,9742,7442,9742,7442,9737,7437,9708,7425,9686,7406,9672,7382,9667,7358,9672,7339,9686,7327,9708,7322,9737,7327,9766,7339,9787,7358,9799,7384,9804,7406,9802,7420,9794,7435,9780,7442,9763,7420,9761m7343,9720l7343,9720,7348,9708,7355,9698,7367,9691,7382,9689,7399,9691,7411,9698,7418,9708,7420,9720,7343,9720m7468,9802l7490,9802,7490,9732,7495,9706,7502,9694,7514,9689,7523,9691,7531,9694,7538,9674,7526,9670,7516,9667,7502,9672,7495,9679,7487,9689,7487,9670,7468,9670,7468,9802m7658,9802l7687,9802,7727,9665,7730,9655,7735,9643,7735,9648,7739,9662,7775,9802,7802,9802,7850,9622,7826,9622,7797,9739,7792,9761,7790,9778,7783,9744,7773,9710,7749,9622,7718,9622,7682,9744,7679,9749,7677,9754,7675,9763,7672,9778,7663,9739,7634,9622,7610,9622,7658,9802m7850,9737l7850,9737,7855,9766,7867,9787,7886,9799,7910,9804,7927,9802,7941,9797,7953,9787,7963,9773,7967,9756,7970,9734,7965,9706,7953,9684,7934,9672,7910,9667,7888,9672,7869,9682,7862,9691,7855,9703,7852,9720,7850,9737m7871,9737l7871,9737,7874,9715,7883,9701,7895,9691,7910,9689,7924,9691,7936,9701,7946,9715,7948,9734,7946,9756,7936,9770,7924,9780,7910,9782,7895,9780,7883,9770,7874,9756,7871,9737m7999,9802l8020,9802,8020,9732,8025,9706,8032,9694,8044,9689,8054,9691,8061,9694,8068,9674,8056,9670,8047,9667,8032,9672,8025,9679,8018,9689,8018,9670,7999,9670,7999,9802m8133,9782l8123,9782,8114,9780,8111,9778,8109,9773,8109,9691,8133,9691,8133,9670,8109,9670,8109,9624,8087,9638,8087,9670,8071,9670,8071,9691,8087,9691,8087,9782,8090,9790,8099,9802,8107,9804,8119,9804,8135,9802,8133,9782e" filled="false" stroked="true" strokeweight="2.16pt" strokecolor="#ffffff">
              <v:path arrowok="t"/>
              <v:stroke dashstyle="solid"/>
            </v:shape>
            <v:line style="position:absolute" from="8163,9600" to="8163,9823" stroked="true" strokeweight="3.24pt" strokecolor="#ffffff">
              <v:stroke dashstyle="solid"/>
            </v:line>
            <v:shape style="position:absolute;left:34167;top:-13047;width:1040;height:780" coordorigin="34167,-13047" coordsize="1040,780" path="m8299,9761l8299,9761,8291,9770,8284,9778,8275,9782,8263,9782,8248,9780,8234,9773,8227,9758,8222,9742,8320,9742,8320,9737,8315,9708,8303,9686,8284,9672,8260,9667,8236,9672,8217,9686,8205,9708,8200,9737,8205,9766,8217,9787,8236,9799,8263,9804,8284,9802,8299,9794,8313,9780,8320,9763,8299,9761m8222,9720l8222,9720,8227,9708,8234,9698,8246,9691,8260,9689,8277,9691,8289,9698,8296,9708,8299,9720,8222,9720m8349,9852l8349,9852,8363,9854,8373,9854,8380,9850,8387,9842,8392,9833,8397,9823,8404,9804,8450,9670,8428,9670,8402,9746,8392,9773,8385,9744,8359,9670,8337,9670,8383,9802,8380,9806,8378,9818,8375,9823,8368,9830,8359,9833,8347,9830,8349,9852e" filled="false" stroked="true" strokeweight="2.16pt" strokecolor="#ffffff">
              <v:path arrowok="t"/>
              <v:stroke dashstyle="solid"/>
            </v:shape>
            <v:shape style="position:absolute;left:18824;top:10660;width:2852;height:228" type="#_x0000_t75" stroked="false">
              <v:imagedata r:id="rId124" o:title=""/>
            </v:shape>
            <v:line style="position:absolute" from="14491,9866" to="14368,8837" stroked="true" strokeweight="1.08pt" strokecolor="#000000">
              <v:stroke dashstyle="solid"/>
            </v:line>
            <v:shape style="position:absolute;left:14442;top:9782;width:84;height:84" coordorigin="14443,9782" coordsize="84,84" path="m14483,9782l14467,9785,14454,9794,14446,9807,14443,9823,14446,9840,14454,9854,14467,9863,14483,9866,14500,9863,14514,9854,14523,9840,14527,9823,14523,9807,14514,9794,14500,9785,14483,9782xe" filled="true" fillcolor="#000000" stroked="false">
              <v:path arrowok="t"/>
              <v:fill type="solid"/>
            </v:shape>
            <v:shape style="position:absolute;left:14442;top:9782;width:84;height:84" coordorigin="14443,9782" coordsize="84,84" path="m14527,9823l14523,9807,14514,9794,14500,9785,14483,9782,14467,9785,14454,9794,14446,9807,14443,9823,14446,9840,14454,9854,14467,9863,14483,9866,14500,9863,14514,9854,14523,9840,14527,9823xe" filled="false" stroked="true" strokeweight=".12pt" strokecolor="#000000">
              <v:path arrowok="t"/>
              <v:stroke dashstyle="solid"/>
            </v:shape>
            <v:shape style="position:absolute;left:10052;top:8716;width:2609;height:264" type="#_x0000_t75" stroked="false">
              <v:imagedata r:id="rId125" o:title=""/>
            </v:shape>
            <v:line style="position:absolute" from="12755,8719" to="12755,8942" stroked="true" strokeweight="3.36pt" strokecolor="#ffffff">
              <v:stroke dashstyle="solid"/>
            </v:line>
            <v:shape style="position:absolute;left:53367;top:-16897;width:6280;height:950" coordorigin="53367,-16897" coordsize="6280,950" path="m12808,8921l12830,8921,12830,8839,12832,8827,12844,8813,12861,8808,12873,8810,12880,8815,12883,8825,12885,8837,12885,8921,12907,8921,12907,8846,12909,8830,12916,8818,12926,8810,12938,8808,12952,8813,12959,8820,12962,8830,12962,8921,12983,8921,12983,8830,12981,8810,12974,8798,12959,8789,12943,8786,12931,8789,12921,8794,12911,8801,12904,8813,12897,8801,12890,8794,12880,8789,12868,8786,12856,8789,12844,8794,12830,8810,12830,8789,12808,8789,12808,8921m13019,8971l13041,8971,13041,8904,13055,8918,13065,8921,13075,8923,13089,8921,13103,8916,13115,8904,13125,8890,13130,8873,13132,8854,13130,8837,13125,8820,13118,8806,13108,8796,13094,8789,13077,8786,13067,8789,13058,8794,13048,8801,13041,8810,13041,8789,13019,8789,13019,8971m13041,8856l13043,8837,13051,8820,13063,8810,13077,8808,13089,8810,13101,8820,13108,8834,13111,8854,13108,8875,13101,8890,13089,8899,13075,8902,13063,8899,13051,8890,13043,8878,13041,8856m13159,8921l13180,8921,13180,8851,13185,8825,13192,8813,13204,8808,13214,8810,13221,8813,13228,8794,13216,8789,13207,8786,13192,8791,13185,8798,13178,8808,13178,8789,13159,8789,13159,8921m13238,8856l13243,8885,13255,8906,13274,8918,13298,8923,13315,8921,13329,8916,13341,8906,13351,8892,13355,8875,13358,8854,13353,8825,13341,8803,13322,8791,13298,8786,13276,8791,13257,8801,13250,8810,13243,8822,13240,8839,13238,8856m13259,8856l13262,8834,13271,8820,13283,8810,13298,8808,13312,8810,13324,8820,13334,8834,13336,8854,13334,8875,13324,8890,13312,8899,13298,8902,13283,8899,13271,8890,13262,8875,13259,8856m13423,8921l13444,8921,13492,8789,13468,8789,13439,8870,13432,8894,13423,8868,13394,8789,13370,8789,13423,8921m13603,8880l13595,8890,13588,8897,13579,8902,13567,8902,13552,8899,13538,8892,13531,8878,13526,8861,13624,8861,13624,8856,13619,8827,13607,8806,13588,8791,13564,8786,13540,8791,13521,8806,13509,8827,13504,8856,13509,8885,13521,8906,13540,8918,13567,8923,13588,8921,13603,8914,13617,8899,13624,8882,13603,8880m13526,8839l13531,8827,13538,8818,13550,8810,13564,8808,13581,8810,13593,8818,13600,8827,13603,8839,13526,8839m13651,8921l13672,8921,13672,8839,13675,8827,13687,8813,13703,8808,13715,8810,13723,8815,13725,8825,13727,8837,13727,8921,13749,8921,13749,8846,13751,8830,13759,8818,13768,8810,13780,8808,13795,8813,13802,8820,13804,8830,13804,8921,13826,8921,13826,8830,13823,8810,13816,8798,13802,8789,13785,8786,13773,8789,13763,8794,13754,8801,13747,8813,13739,8801,13732,8794,13723,8789,13711,8786,13699,8789,13687,8794,13672,8810,13672,8789,13651,8789,13651,8921m13953,8880l13946,8890,13939,8897,13929,8902,13917,8902,13903,8899,13888,8892,13881,8878,13876,8861,13975,8861,13975,8856,13970,8827,13958,8806,13939,8791,13915,8786,13891,8791,13871,8806,13859,8827,13855,8856,13859,8885,13871,8906,13891,8918,13917,8923,13939,8921,13953,8914,13967,8899,13975,8882,13953,8880m13876,8839l13881,8827,13888,8818,13900,8810,13915,8808,13931,8810,13943,8818,13951,8827,13953,8839,13876,8839m14003,8921l14025,8921,14025,8851,14027,8830,14035,8818,14047,8810,14061,8808,14075,8813,14085,8822,14087,8832,14087,8921,14109,8921,14109,8818,14102,8803,14095,8796,14087,8791,14066,8786,14054,8789,14042,8791,14032,8798,14025,8808,14025,8789,14003,8789,14003,8921m14193,8902l14183,8902,14174,8899,14171,8897,14169,8892,14169,8810,14193,8810,14193,8789,14169,8789,14169,8743,14147,8758,14147,8789,14131,8789,14131,8810,14147,8810,14147,8902,14150,8909,14159,8921,14167,8923,14179,8923,14195,8921,14193,8902m14207,8880l14215,8899,14224,8914,14241,8921,14263,8923,14277,8923,14291,8918,14301,8911,14308,8902,14313,8892,14315,8880,14313,8870,14311,8861,14294,8851,14282,8846,14260,8839,14248,8837,14243,8834,14234,8830,14231,8822,14234,8818,14239,8813,14246,8810,14258,8808,14270,8810,14279,8813,14284,8820,14287,8827,14308,8825,14306,8813,14301,8803,14294,8796,14284,8791,14258,8786,14239,8789,14224,8796,14215,8808,14210,8825,14212,8834,14215,8844,14222,8851,14229,8856,14241,8861,14263,8866,14277,8870,14287,8873,14291,8878,14294,8882,14291,8890,14287,8897,14277,8902,14263,8902,14251,8899,14239,8897,14231,8887,14229,8878,14207,8880e" filled="false" stroked="true" strokeweight="2.16pt" strokecolor="#ffffff">
              <v:path arrowok="t"/>
              <v:stroke dashstyle="solid"/>
            </v:shape>
            <v:line style="position:absolute" from="11515,7978" to="11793,7752" stroked="true" strokeweight="1.08pt" strokecolor="#000000">
              <v:stroke dashstyle="solid"/>
            </v:line>
            <v:shape style="position:absolute;left:11502;top:7908;width:84;height:84" coordorigin="11503,7908" coordsize="84,84" path="m11543,7908l11527,7911,11514,7919,11506,7932,11503,7949,11506,7966,11514,7979,11527,7989,11543,7992,11560,7989,11574,7979,11583,7966,11587,7949,11583,7932,11574,7919,11560,7911,11543,7908xe" filled="true" fillcolor="#000000" stroked="false">
              <v:path arrowok="t"/>
              <v:fill type="solid"/>
            </v:shape>
            <v:shape style="position:absolute;left:11502;top:7908;width:84;height:84" coordorigin="11503,7908" coordsize="84,84" path="m11587,7949l11583,7932,11574,7919,11560,7911,11543,7908,11527,7911,11514,7919,11506,7932,11503,7949,11506,7966,11514,7979,11527,7989,11543,7992,11560,7989,11574,7979,11583,7966,11587,7949xe" filled="false" stroked="true" strokeweight=".12pt" strokecolor="#000000">
              <v:path arrowok="t"/>
              <v:stroke dashstyle="solid"/>
            </v:shape>
            <v:shape style="position:absolute;left:49317;top:-21427;width:1500;height:760" coordorigin="49317,-21427" coordsize="1500,760" path="m11884,7836l11913,7836,11954,7699,11956,7690,11961,7678,11961,7682,11966,7697,12002,7836,12028,7836,12076,7656,12052,7656,12023,7774,12019,7795,12016,7812,12009,7778,11999,7745,11975,7656,11944,7656,11908,7778,11906,7783,11903,7788,11901,7798,11899,7812,11889,7774,11860,7656,11836,7656,11884,7836m12175,7795l12167,7805,12160,7812,12151,7817,12139,7817,12124,7814,12110,7807,12103,7793,12098,7776,12196,7776,12196,7771,12191,7742,12179,7721,12160,7706,12136,7702,12112,7706,12093,7721,12081,7742,12076,7771,12081,7800,12093,7822,12112,7834,12139,7838,12160,7836,12175,7829,12189,7814,12196,7798,12175,7795m12098,7754l12103,7742,12110,7733,12122,7726,12136,7723,12153,7726,12165,7733,12172,7742,12175,7754,12098,7754e" filled="false" stroked="true" strokeweight="2.16pt" strokecolor="#ffffff">
              <v:path arrowok="t"/>
              <v:stroke dashstyle="solid"/>
            </v:shape>
            <v:shape style="position:absolute;left:12203;top:7634;width:120;height:224" coordorigin="12203,7634" coordsize="120,224" path="m12323,7634l12268,7634,12259,7634,12203,7634,12203,7858,12259,7858,12268,7858,12323,7858,12323,7634e" filled="true" fillcolor="#ffffff" stroked="false">
              <v:path arrowok="t"/>
              <v:fill type="solid"/>
            </v:shape>
            <v:shape style="position:absolute;left:51397;top:-21427;width:2760;height:760" coordorigin="51397,-21427" coordsize="2760,760" path="m12335,7836l12357,7836,12357,7752,12362,7742,12367,7735,12374,7728,12381,7726,12391,7723,12403,7726,12412,7730,12417,7740,12419,7754,12419,7836,12441,7836,12441,7735,12436,7723,12431,7714,12422,7706,12410,7704,12395,7702,12386,7704,12374,7706,12364,7714,12357,7723,12357,7656,12335,7656,12335,7836m12470,7771l12475,7800,12487,7822,12506,7834,12530,7838,12547,7836,12561,7831,12573,7822,12583,7807,12587,7790,12590,7769,12585,7740,12573,7718,12554,7706,12530,7702,12508,7706,12489,7716,12482,7726,12475,7738,12472,7754,12470,7771m12491,7771l12494,7750,12503,7735,12515,7726,12530,7723,12544,7726,12556,7735,12566,7750,12568,7769,12566,7790,12556,7805,12544,7814,12530,7817,12515,7814,12503,7805,12494,7790,12491,7771m12703,7836l12724,7836,12724,7704,12703,7704,12703,7788,12700,7798,12693,7807,12686,7812,12676,7817,12659,7817,12650,7812,12643,7798,12640,7790,12640,7704,12619,7704,12619,7798,12621,7807,12626,7824,12633,7829,12640,7834,12652,7838,12662,7838,12674,7836,12686,7831,12695,7824,12703,7814,12703,7836m12751,7795l12758,7814,12767,7829,12784,7836,12806,7838,12820,7838,12835,7834,12844,7826,12851,7817,12856,7807,12859,7795,12856,7786,12854,7776,12837,7766,12825,7762,12803,7754,12791,7752,12787,7750,12777,7745,12775,7738,12777,7733,12782,7728,12789,7726,12801,7723,12813,7726,12823,7728,12827,7735,12830,7742,12851,7740,12849,7728,12844,7718,12837,7711,12827,7706,12801,7702,12782,7704,12767,7711,12758,7723,12753,7740,12755,7750,12758,7759,12765,7766,12772,7771,12784,7776,12806,7781,12820,7786,12830,7788,12835,7793,12837,7798,12835,7805,12830,7812,12820,7817,12806,7817,12794,7814,12782,7812,12775,7802,12772,7793,12751,7795m12976,7795l12969,7805,12962,7812,12952,7817,12940,7817,12926,7814,12911,7807,12904,7793,12899,7776,12998,7776,12998,7771,12993,7742,12981,7721,12962,7706,12938,7702,12914,7706,12895,7721,12883,7742,12878,7771,12883,7800,12895,7822,12914,7834,12940,7838,12962,7836,12976,7829,12991,7814,12998,7798,12976,7795m12899,7754l12904,7742,12911,7733,12923,7726,12938,7723,12955,7726,12967,7733,12974,7742,12976,7754,12899,7754e" filled="false" stroked="true" strokeweight="2.16pt" strokecolor="#ffffff">
              <v:path arrowok="t"/>
              <v:stroke dashstyle="solid"/>
            </v:shape>
            <v:shape style="position:absolute;left:13076;top:7634;width:603;height:226" type="#_x0000_t75" stroked="false">
              <v:imagedata r:id="rId126" o:title=""/>
            </v:shape>
            <v:shape style="position:absolute;left:13736;top:7632;width:2852;height:228" type="#_x0000_t75" stroked="false">
              <v:imagedata r:id="rId127" o:title=""/>
            </v:shape>
            <v:line style="position:absolute" from="19780,8990" to="19780,9214" stroked="true" strokeweight="3.36pt" strokecolor="#ffffff">
              <v:stroke dashstyle="solid"/>
            </v:line>
            <v:shape style="position:absolute;left:82637;top:-15767;width:6270;height:950" coordorigin="82637,-15767" coordsize="6270,950" path="m19833,9192l19855,9192,19855,9110,19857,9098,19869,9084,19886,9079,19898,9082,19905,9086,19907,9096,19910,9108,19910,9192,19931,9192,19931,9118,19934,9101,19941,9089,19951,9082,19963,9079,19977,9084,19984,9091,19987,9101,19987,9192,20008,9192,20008,9101,20006,9082,19999,9070,19984,9060,19967,9058,19955,9060,19946,9065,19936,9072,19929,9084,19922,9072,19915,9065,19905,9060,19893,9058,19881,9060,19869,9065,19855,9082,19855,9060,19833,9060,19833,9192m20044,9242l20066,9242,20066,9175,20080,9190,20090,9192,20099,9194,20114,9192,20128,9187,20140,9175,20150,9161,20155,9144,20157,9125,20155,9108,20150,9091,20143,9077,20133,9067,20119,9060,20102,9058,20092,9060,20083,9065,20073,9072,20066,9082,20066,9060,20044,9060,20044,9242m20066,9127l20068,9108,20075,9091,20087,9082,20102,9079,20114,9082,20126,9091,20133,9106,20135,9125,20133,9146,20126,9161,20114,9170,20099,9173,20087,9170,20075,9161,20068,9149,20066,9127m20183,9192l20205,9192,20205,9122,20210,9096,20217,9084,20229,9079,20239,9082,20246,9084,20253,9065,20241,9060,20231,9058,20217,9062,20210,9070,20203,9079,20203,9060,20183,9060,20183,9192m20263,9127l20267,9156,20279,9178,20299,9190,20323,9194,20339,9192,20354,9187,20366,9178,20375,9163,20380,9146,20383,9125,20378,9096,20366,9074,20347,9062,20323,9058,20301,9062,20282,9072,20275,9082,20267,9094,20265,9110,20263,9127m20284,9127l20287,9106,20296,9091,20308,9082,20323,9079,20337,9082,20349,9091,20359,9106,20361,9125,20359,9146,20349,9161,20337,9170,20323,9173,20308,9170,20296,9161,20287,9146,20284,9127m20447,9192l20469,9192,20517,9060,20493,9060,20464,9142,20457,9166,20447,9139,20419,9060,20395,9060,20447,9192m20627,9151l20620,9161,20613,9168,20603,9173,20591,9173,20577,9170,20563,9163,20555,9149,20551,9132,20649,9132,20649,9127,20644,9098,20632,9077,20613,9062,20589,9058,20565,9062,20546,9077,20534,9098,20529,9127,20534,9156,20546,9178,20565,9190,20591,9194,20613,9192,20627,9185,20642,9170,20649,9154,20627,9151m20551,9110l20555,9098,20563,9089,20575,9082,20589,9079,20606,9082,20618,9089,20625,9098,20627,9110,20551,9110m20675,9192l20697,9192,20697,9110,20699,9098,20711,9084,20728,9079,20740,9082,20747,9086,20750,9096,20752,9108,20752,9192,20774,9192,20774,9118,20776,9101,20783,9089,20793,9082,20805,9079,20819,9084,20827,9091,20829,9101,20829,9192,20851,9192,20851,9101,20848,9082,20841,9070,20827,9060,20810,9058,20798,9060,20788,9065,20779,9072,20771,9084,20764,9072,20757,9065,20747,9060,20735,9058,20723,9060,20711,9065,20697,9082,20697,9060,20675,9060,20675,9192m20978,9151l20971,9161,20963,9168,20954,9173,20942,9173,20927,9170,20913,9163,20906,9149,20901,9132,20999,9132,20999,9127,20995,9098,20983,9077,20963,9062,20939,9058,20915,9062,20896,9077,20884,9098,20879,9127,20884,9156,20896,9178,20915,9190,20942,9194,20963,9192,20978,9185,20992,9170,20999,9154,20978,9151m20901,9110l20906,9098,20913,9089,20925,9082,20939,9079,20956,9082,20968,9089,20975,9098,20978,9110,20901,9110m21028,9192l21050,9192,21050,9122,21052,9101,21059,9089,21071,9082,21086,9079,21100,9084,21110,9094,21112,9103,21112,9192,21134,9192,21134,9089,21127,9074,21119,9067,21112,9062,21091,9058,21079,9060,21067,9062,21057,9070,21050,9079,21050,9060,21028,9060,21028,9192m21218,9173l21208,9173,21199,9170,21196,9168,21194,9163,21194,9082,21218,9082,21218,9060,21194,9060,21194,9014,21172,9029,21172,9060,21155,9060,21155,9082,21172,9082,21172,9173,21175,9180,21184,9192,21191,9194,21203,9194,21220,9192,21218,9173m21230,9151l21237,9170,21247,9185,21263,9192,21285,9194,21299,9194,21314,9190,21323,9182,21331,9173,21335,9163,21338,9151,21335,9142,21333,9132,21316,9122,21304,9118,21283,9110,21271,9108,21266,9106,21256,9101,21254,9094,21256,9089,21261,9084,21268,9082,21280,9079,21292,9082,21302,9084,21307,9091,21309,9098,21331,9096,21328,9084,21323,9074,21316,9067,21307,9062,21280,9058,21261,9060,21247,9067,21237,9079,21232,9096,21235,9106,21237,9115,21244,9122,21251,9127,21263,9132,21285,9137,21299,9142,21309,9144,21314,9149,21316,9154,21314,9161,21309,9168,21299,9173,21285,9173,21273,9170,21261,9168,21254,9158,21251,9149,21230,9151e" filled="false" stroked="true" strokeweight="2.16pt" strokecolor="#ffffff">
              <v:path arrowok="t"/>
              <v:stroke dashstyle="solid"/>
            </v:shape>
            <w10:wrap type="none"/>
          </v:group>
        </w:pict>
      </w:r>
    </w:p>
    <w:p>
      <w:pPr>
        <w:spacing w:after="0"/>
        <w:rPr>
          <w:sz w:val="2"/>
          <w:szCs w:val="2"/>
        </w:rPr>
        <w:sectPr>
          <w:footerReference w:type="even" r:id="rId97"/>
          <w:pgSz w:w="23820" w:h="16840" w:orient="landscape"/>
          <w:pgMar w:footer="0" w:header="0" w:top="140" w:bottom="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rPr>
      </w:pPr>
    </w:p>
    <w:p>
      <w:pPr>
        <w:spacing w:before="59"/>
        <w:ind w:left="161" w:right="0" w:firstLine="0"/>
        <w:jc w:val="left"/>
        <w:rPr>
          <w:sz w:val="121"/>
        </w:rPr>
      </w:pPr>
      <w:r>
        <w:rPr/>
        <w:drawing>
          <wp:anchor distT="0" distB="0" distL="0" distR="0" allowOverlap="1" layoutInCell="1" locked="0" behindDoc="0" simplePos="0" relativeHeight="4144">
            <wp:simplePos x="0" y="0"/>
            <wp:positionH relativeFrom="page">
              <wp:posOffset>4647651</wp:posOffset>
            </wp:positionH>
            <wp:positionV relativeFrom="paragraph">
              <wp:posOffset>224837</wp:posOffset>
            </wp:positionV>
            <wp:extent cx="368256" cy="533331"/>
            <wp:effectExtent l="0" t="0" r="0" b="0"/>
            <wp:wrapNone/>
            <wp:docPr id="87" name="image80.jpeg" descr=""/>
            <wp:cNvGraphicFramePr>
              <a:graphicFrameLocks noChangeAspect="1"/>
            </wp:cNvGraphicFramePr>
            <a:graphic>
              <a:graphicData uri="http://schemas.openxmlformats.org/drawingml/2006/picture">
                <pic:pic>
                  <pic:nvPicPr>
                    <pic:cNvPr id="88" name="image80.jpeg"/>
                    <pic:cNvPicPr/>
                  </pic:nvPicPr>
                  <pic:blipFill>
                    <a:blip r:embed="rId129" cstate="print"/>
                    <a:stretch>
                      <a:fillRect/>
                    </a:stretch>
                  </pic:blipFill>
                  <pic:spPr>
                    <a:xfrm>
                      <a:off x="0" y="0"/>
                      <a:ext cx="368256" cy="533331"/>
                    </a:xfrm>
                    <a:prstGeom prst="rect">
                      <a:avLst/>
                    </a:prstGeom>
                  </pic:spPr>
                </pic:pic>
              </a:graphicData>
            </a:graphic>
          </wp:anchor>
        </w:drawing>
      </w:r>
      <w:bookmarkStart w:name="END3_Page_59" w:id="107"/>
      <w:bookmarkEnd w:id="107"/>
      <w:r>
        <w:rPr/>
      </w:r>
      <w:r>
        <w:rPr>
          <w:color w:val="FF4B41"/>
          <w:w w:val="105"/>
          <w:sz w:val="121"/>
        </w:rPr>
        <w:t>Appendix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r>
        <w:rPr/>
        <w:drawing>
          <wp:anchor distT="0" distB="0" distL="0" distR="0" allowOverlap="1" layoutInCell="1" locked="0" behindDoc="0" simplePos="0" relativeHeight="129">
            <wp:simplePos x="0" y="0"/>
            <wp:positionH relativeFrom="page">
              <wp:posOffset>888895</wp:posOffset>
            </wp:positionH>
            <wp:positionV relativeFrom="paragraph">
              <wp:posOffset>199192</wp:posOffset>
            </wp:positionV>
            <wp:extent cx="5054688" cy="88677"/>
            <wp:effectExtent l="0" t="0" r="0" b="0"/>
            <wp:wrapTopAndBottom/>
            <wp:docPr id="89" name="image38.png" descr=""/>
            <wp:cNvGraphicFramePr>
              <a:graphicFrameLocks noChangeAspect="1"/>
            </wp:cNvGraphicFramePr>
            <a:graphic>
              <a:graphicData uri="http://schemas.openxmlformats.org/drawingml/2006/picture">
                <pic:pic>
                  <pic:nvPicPr>
                    <pic:cNvPr id="90" name="image38.png"/>
                    <pic:cNvPicPr/>
                  </pic:nvPicPr>
                  <pic:blipFill>
                    <a:blip r:embed="rId56" cstate="print"/>
                    <a:stretch>
                      <a:fillRect/>
                    </a:stretch>
                  </pic:blipFill>
                  <pic:spPr>
                    <a:xfrm>
                      <a:off x="0" y="0"/>
                      <a:ext cx="5054688" cy="88677"/>
                    </a:xfrm>
                    <a:prstGeom prst="rect">
                      <a:avLst/>
                    </a:prstGeom>
                  </pic:spPr>
                </pic:pic>
              </a:graphicData>
            </a:graphic>
          </wp:anchor>
        </w:drawing>
      </w:r>
    </w:p>
    <w:p>
      <w:pPr>
        <w:pStyle w:val="BodyText"/>
        <w:spacing w:before="11"/>
      </w:pPr>
    </w:p>
    <w:p>
      <w:pPr>
        <w:spacing w:before="0"/>
        <w:ind w:left="136" w:right="0" w:firstLine="0"/>
        <w:jc w:val="left"/>
        <w:rPr>
          <w:rFonts w:ascii="Calibri"/>
          <w:sz w:val="51"/>
        </w:rPr>
      </w:pPr>
      <w:r>
        <w:rPr>
          <w:rFonts w:ascii="Calibri"/>
          <w:w w:val="135"/>
          <w:sz w:val="51"/>
        </w:rPr>
        <w:t>RESPONSES OF CONSULTEES</w:t>
      </w:r>
    </w:p>
    <w:p>
      <w:pPr>
        <w:spacing w:after="0"/>
        <w:jc w:val="left"/>
        <w:rPr>
          <w:rFonts w:ascii="Calibri"/>
          <w:sz w:val="51"/>
        </w:rPr>
        <w:sectPr>
          <w:footerReference w:type="default" r:id="rId128"/>
          <w:pgSz w:w="11920" w:h="16840"/>
          <w:pgMar w:footer="0" w:header="0" w:top="1580" w:bottom="280" w:left="1280" w:right="1680"/>
        </w:sectPr>
      </w:pPr>
    </w:p>
    <w:tbl>
      <w:tblPr>
        <w:tblW w:w="0" w:type="auto"/>
        <w:jc w:val="left"/>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09"/>
        <w:gridCol w:w="8638"/>
        <w:gridCol w:w="4572"/>
      </w:tblGrid>
      <w:tr>
        <w:trPr>
          <w:trHeight w:val="394" w:hRule="atLeast"/>
        </w:trPr>
        <w:tc>
          <w:tcPr>
            <w:tcW w:w="16119" w:type="dxa"/>
            <w:gridSpan w:val="3"/>
            <w:shd w:val="clear" w:color="auto" w:fill="F9423A"/>
          </w:tcPr>
          <w:p>
            <w:pPr>
              <w:pStyle w:val="TableParagraph"/>
              <w:spacing w:before="62"/>
              <w:ind w:left="36"/>
              <w:rPr>
                <w:b/>
                <w:sz w:val="23"/>
              </w:rPr>
            </w:pPr>
            <w:bookmarkStart w:name="Appendix F - Responses of consultees" w:id="108"/>
            <w:bookmarkEnd w:id="108"/>
            <w:r>
              <w:rPr/>
            </w:r>
            <w:r>
              <w:rPr>
                <w:b/>
                <w:color w:val="FFFFFF"/>
                <w:w w:val="105"/>
                <w:sz w:val="23"/>
              </w:rPr>
              <w:t>Appendix F - Responses of consultees</w:t>
            </w:r>
          </w:p>
        </w:tc>
      </w:tr>
      <w:tr>
        <w:trPr>
          <w:trHeight w:val="206" w:hRule="atLeast"/>
        </w:trPr>
        <w:tc>
          <w:tcPr>
            <w:tcW w:w="2909" w:type="dxa"/>
            <w:tcBorders>
              <w:left w:val="single" w:sz="6" w:space="0" w:color="000000"/>
              <w:bottom w:val="single" w:sz="6" w:space="0" w:color="000000"/>
              <w:right w:val="single" w:sz="6" w:space="0" w:color="000000"/>
            </w:tcBorders>
          </w:tcPr>
          <w:p>
            <w:pPr>
              <w:pStyle w:val="TableParagraph"/>
              <w:spacing w:line="187" w:lineRule="exact"/>
              <w:ind w:left="36"/>
              <w:rPr>
                <w:b/>
                <w:sz w:val="18"/>
              </w:rPr>
            </w:pPr>
            <w:r>
              <w:rPr>
                <w:b/>
                <w:w w:val="105"/>
                <w:sz w:val="18"/>
              </w:rPr>
              <w:t>Consultee</w:t>
            </w:r>
          </w:p>
        </w:tc>
        <w:tc>
          <w:tcPr>
            <w:tcW w:w="8638" w:type="dxa"/>
            <w:tcBorders>
              <w:left w:val="single" w:sz="6" w:space="0" w:color="000000"/>
              <w:bottom w:val="single" w:sz="6" w:space="0" w:color="000000"/>
              <w:right w:val="single" w:sz="6" w:space="0" w:color="000000"/>
            </w:tcBorders>
          </w:tcPr>
          <w:p>
            <w:pPr>
              <w:pStyle w:val="TableParagraph"/>
              <w:spacing w:line="187" w:lineRule="exact"/>
              <w:ind w:left="36"/>
              <w:rPr>
                <w:b/>
                <w:sz w:val="18"/>
              </w:rPr>
            </w:pPr>
            <w:r>
              <w:rPr>
                <w:b/>
                <w:w w:val="105"/>
                <w:sz w:val="18"/>
              </w:rPr>
              <w:t>Consultee Response</w:t>
            </w:r>
          </w:p>
        </w:tc>
        <w:tc>
          <w:tcPr>
            <w:tcW w:w="4572" w:type="dxa"/>
            <w:tcBorders>
              <w:left w:val="single" w:sz="6" w:space="0" w:color="000000"/>
              <w:bottom w:val="single" w:sz="6" w:space="0" w:color="000000"/>
              <w:right w:val="single" w:sz="6" w:space="0" w:color="000000"/>
            </w:tcBorders>
          </w:tcPr>
          <w:p>
            <w:pPr>
              <w:pStyle w:val="TableParagraph"/>
              <w:spacing w:line="187" w:lineRule="exact"/>
              <w:ind w:left="36"/>
              <w:rPr>
                <w:b/>
                <w:sz w:val="18"/>
              </w:rPr>
            </w:pPr>
            <w:r>
              <w:rPr>
                <w:b/>
                <w:w w:val="105"/>
                <w:sz w:val="18"/>
              </w:rPr>
              <w:t>LCC Flood Risk Management Response</w:t>
            </w:r>
          </w:p>
        </w:tc>
      </w:tr>
      <w:tr>
        <w:trPr>
          <w:trHeight w:val="285" w:hRule="atLeast"/>
        </w:trPr>
        <w:tc>
          <w:tcPr>
            <w:tcW w:w="16119" w:type="dxa"/>
            <w:gridSpan w:val="3"/>
            <w:tcBorders>
              <w:top w:val="single" w:sz="6" w:space="0" w:color="000000"/>
              <w:left w:val="single" w:sz="6" w:space="0" w:color="000000"/>
              <w:bottom w:val="single" w:sz="6" w:space="0" w:color="000000"/>
              <w:right w:val="single" w:sz="6" w:space="0" w:color="000000"/>
            </w:tcBorders>
            <w:shd w:val="clear" w:color="auto" w:fill="F9423A"/>
          </w:tcPr>
          <w:p>
            <w:pPr>
              <w:pStyle w:val="TableParagraph"/>
              <w:rPr>
                <w:rFonts w:ascii="Times New Roman"/>
                <w:sz w:val="14"/>
              </w:rPr>
            </w:pPr>
          </w:p>
        </w:tc>
      </w:tr>
      <w:tr>
        <w:trPr>
          <w:trHeight w:val="798" w:hRule="atLeast"/>
        </w:trPr>
        <w:tc>
          <w:tcPr>
            <w:tcW w:w="290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66" w:lineRule="auto" w:before="2"/>
              <w:ind w:left="34"/>
              <w:rPr>
                <w:b/>
                <w:sz w:val="16"/>
              </w:rPr>
            </w:pPr>
            <w:r>
              <w:rPr>
                <w:b/>
                <w:sz w:val="16"/>
              </w:rPr>
              <w:t>Leeds City Council - Planning and Development Control</w:t>
            </w: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Section 1: Legislative Context</w:t>
            </w:r>
          </w:p>
          <w:p>
            <w:pPr>
              <w:pStyle w:val="TableParagraph"/>
              <w:spacing w:line="254" w:lineRule="auto" w:before="10"/>
              <w:ind w:left="34" w:right="60"/>
              <w:rPr>
                <w:sz w:val="16"/>
              </w:rPr>
            </w:pPr>
            <w:r>
              <w:rPr>
                <w:sz w:val="16"/>
              </w:rPr>
              <w:t>The</w:t>
            </w:r>
            <w:r>
              <w:rPr>
                <w:spacing w:val="-7"/>
                <w:sz w:val="16"/>
              </w:rPr>
              <w:t> </w:t>
            </w:r>
            <w:r>
              <w:rPr>
                <w:sz w:val="16"/>
              </w:rPr>
              <w:t>adoption</w:t>
            </w:r>
            <w:r>
              <w:rPr>
                <w:spacing w:val="-7"/>
                <w:sz w:val="16"/>
              </w:rPr>
              <w:t> </w:t>
            </w:r>
            <w:r>
              <w:rPr>
                <w:sz w:val="16"/>
              </w:rPr>
              <w:t>date</w:t>
            </w:r>
            <w:r>
              <w:rPr>
                <w:spacing w:val="-8"/>
                <w:sz w:val="16"/>
              </w:rPr>
              <w:t> </w:t>
            </w:r>
            <w:r>
              <w:rPr>
                <w:sz w:val="16"/>
              </w:rPr>
              <w:t>for</w:t>
            </w:r>
            <w:r>
              <w:rPr>
                <w:spacing w:val="-6"/>
                <w:sz w:val="16"/>
              </w:rPr>
              <w:t> </w:t>
            </w:r>
            <w:r>
              <w:rPr>
                <w:sz w:val="16"/>
              </w:rPr>
              <w:t>the</w:t>
            </w:r>
            <w:r>
              <w:rPr>
                <w:spacing w:val="-7"/>
                <w:sz w:val="16"/>
              </w:rPr>
              <w:t> </w:t>
            </w:r>
            <w:r>
              <w:rPr>
                <w:sz w:val="16"/>
              </w:rPr>
              <w:t>Natural</w:t>
            </w:r>
            <w:r>
              <w:rPr>
                <w:spacing w:val="-7"/>
                <w:sz w:val="16"/>
              </w:rPr>
              <w:t> </w:t>
            </w:r>
            <w:r>
              <w:rPr>
                <w:sz w:val="16"/>
              </w:rPr>
              <w:t>Resources</w:t>
            </w:r>
            <w:r>
              <w:rPr>
                <w:spacing w:val="-8"/>
                <w:sz w:val="16"/>
              </w:rPr>
              <w:t> </w:t>
            </w:r>
            <w:r>
              <w:rPr>
                <w:sz w:val="16"/>
              </w:rPr>
              <w:t>and</w:t>
            </w:r>
            <w:r>
              <w:rPr>
                <w:spacing w:val="-7"/>
                <w:sz w:val="16"/>
              </w:rPr>
              <w:t> </w:t>
            </w:r>
            <w:r>
              <w:rPr>
                <w:sz w:val="16"/>
              </w:rPr>
              <w:t>Waste</w:t>
            </w:r>
            <w:r>
              <w:rPr>
                <w:spacing w:val="-7"/>
                <w:sz w:val="16"/>
              </w:rPr>
              <w:t> </w:t>
            </w:r>
            <w:r>
              <w:rPr>
                <w:sz w:val="16"/>
              </w:rPr>
              <w:t>Local</w:t>
            </w:r>
            <w:r>
              <w:rPr>
                <w:spacing w:val="-7"/>
                <w:sz w:val="16"/>
              </w:rPr>
              <w:t> </w:t>
            </w:r>
            <w:r>
              <w:rPr>
                <w:sz w:val="16"/>
              </w:rPr>
              <w:t>Plan</w:t>
            </w:r>
            <w:r>
              <w:rPr>
                <w:spacing w:val="-7"/>
                <w:sz w:val="16"/>
              </w:rPr>
              <w:t> </w:t>
            </w:r>
            <w:r>
              <w:rPr>
                <w:sz w:val="16"/>
              </w:rPr>
              <w:t>is</w:t>
            </w:r>
            <w:r>
              <w:rPr>
                <w:spacing w:val="-7"/>
                <w:sz w:val="16"/>
              </w:rPr>
              <w:t> </w:t>
            </w:r>
            <w:r>
              <w:rPr>
                <w:sz w:val="16"/>
              </w:rPr>
              <w:t>January</w:t>
            </w:r>
            <w:r>
              <w:rPr>
                <w:spacing w:val="-7"/>
                <w:sz w:val="16"/>
              </w:rPr>
              <w:t> </w:t>
            </w:r>
            <w:r>
              <w:rPr>
                <w:sz w:val="16"/>
              </w:rPr>
              <w:t>2013,</w:t>
            </w:r>
            <w:r>
              <w:rPr>
                <w:spacing w:val="-7"/>
                <w:sz w:val="16"/>
              </w:rPr>
              <w:t> </w:t>
            </w:r>
            <w:r>
              <w:rPr>
                <w:sz w:val="16"/>
              </w:rPr>
              <w:t>with</w:t>
            </w:r>
            <w:r>
              <w:rPr>
                <w:spacing w:val="-8"/>
                <w:sz w:val="16"/>
              </w:rPr>
              <w:t> </w:t>
            </w:r>
            <w:r>
              <w:rPr>
                <w:sz w:val="16"/>
              </w:rPr>
              <w:t>the</w:t>
            </w:r>
            <w:r>
              <w:rPr>
                <w:spacing w:val="-6"/>
                <w:sz w:val="16"/>
              </w:rPr>
              <w:t> </w:t>
            </w:r>
            <w:r>
              <w:rPr>
                <w:sz w:val="16"/>
              </w:rPr>
              <w:t>Minerals</w:t>
            </w:r>
            <w:r>
              <w:rPr>
                <w:spacing w:val="-7"/>
                <w:sz w:val="16"/>
              </w:rPr>
              <w:t> </w:t>
            </w:r>
            <w:r>
              <w:rPr>
                <w:sz w:val="16"/>
              </w:rPr>
              <w:t>Transport</w:t>
            </w:r>
            <w:r>
              <w:rPr>
                <w:spacing w:val="-6"/>
                <w:sz w:val="16"/>
              </w:rPr>
              <w:t> </w:t>
            </w:r>
            <w:r>
              <w:rPr>
                <w:sz w:val="16"/>
              </w:rPr>
              <w:t>Policies of</w:t>
            </w:r>
            <w:r>
              <w:rPr>
                <w:spacing w:val="-5"/>
                <w:sz w:val="16"/>
              </w:rPr>
              <w:t> </w:t>
            </w:r>
            <w:r>
              <w:rPr>
                <w:sz w:val="16"/>
              </w:rPr>
              <w:t>that</w:t>
            </w:r>
            <w:r>
              <w:rPr>
                <w:spacing w:val="-4"/>
                <w:sz w:val="16"/>
              </w:rPr>
              <w:t> </w:t>
            </w:r>
            <w:r>
              <w:rPr>
                <w:sz w:val="16"/>
              </w:rPr>
              <w:t>Plan</w:t>
            </w:r>
            <w:r>
              <w:rPr>
                <w:spacing w:val="-3"/>
                <w:sz w:val="16"/>
              </w:rPr>
              <w:t> </w:t>
            </w:r>
            <w:r>
              <w:rPr>
                <w:sz w:val="16"/>
              </w:rPr>
              <w:t>having</w:t>
            </w:r>
            <w:r>
              <w:rPr>
                <w:spacing w:val="-5"/>
                <w:sz w:val="16"/>
              </w:rPr>
              <w:t> </w:t>
            </w:r>
            <w:r>
              <w:rPr>
                <w:sz w:val="16"/>
              </w:rPr>
              <w:t>a</w:t>
            </w:r>
            <w:r>
              <w:rPr>
                <w:spacing w:val="-4"/>
                <w:sz w:val="16"/>
              </w:rPr>
              <w:t> </w:t>
            </w:r>
            <w:r>
              <w:rPr>
                <w:sz w:val="16"/>
              </w:rPr>
              <w:t>further</w:t>
            </w:r>
            <w:r>
              <w:rPr>
                <w:spacing w:val="-4"/>
                <w:sz w:val="16"/>
              </w:rPr>
              <w:t> </w:t>
            </w:r>
            <w:r>
              <w:rPr>
                <w:sz w:val="16"/>
              </w:rPr>
              <w:t>adoption</w:t>
            </w:r>
            <w:r>
              <w:rPr>
                <w:spacing w:val="-5"/>
                <w:sz w:val="16"/>
              </w:rPr>
              <w:t> </w:t>
            </w:r>
            <w:r>
              <w:rPr>
                <w:sz w:val="16"/>
              </w:rPr>
              <w:t>date</w:t>
            </w:r>
            <w:r>
              <w:rPr>
                <w:spacing w:val="-4"/>
                <w:sz w:val="16"/>
              </w:rPr>
              <w:t> </w:t>
            </w:r>
            <w:r>
              <w:rPr>
                <w:sz w:val="16"/>
              </w:rPr>
              <w:t>of</w:t>
            </w:r>
            <w:r>
              <w:rPr>
                <w:spacing w:val="-5"/>
                <w:sz w:val="16"/>
              </w:rPr>
              <w:t> </w:t>
            </w:r>
            <w:r>
              <w:rPr>
                <w:sz w:val="16"/>
              </w:rPr>
              <w:t>2015</w:t>
            </w:r>
            <w:r>
              <w:rPr>
                <w:spacing w:val="-4"/>
                <w:sz w:val="16"/>
              </w:rPr>
              <w:t> </w:t>
            </w:r>
            <w:r>
              <w:rPr>
                <w:sz w:val="16"/>
              </w:rPr>
              <w:t>(</w:t>
            </w:r>
            <w:r>
              <w:rPr>
                <w:spacing w:val="-4"/>
                <w:sz w:val="16"/>
              </w:rPr>
              <w:t> </w:t>
            </w:r>
            <w:r>
              <w:rPr>
                <w:sz w:val="16"/>
              </w:rPr>
              <w:t>due</w:t>
            </w:r>
            <w:r>
              <w:rPr>
                <w:spacing w:val="-4"/>
                <w:sz w:val="16"/>
              </w:rPr>
              <w:t> </w:t>
            </w:r>
            <w:r>
              <w:rPr>
                <w:sz w:val="16"/>
              </w:rPr>
              <w:t>to</w:t>
            </w:r>
            <w:r>
              <w:rPr>
                <w:spacing w:val="-4"/>
                <w:sz w:val="16"/>
              </w:rPr>
              <w:t> </w:t>
            </w:r>
            <w:r>
              <w:rPr>
                <w:sz w:val="16"/>
              </w:rPr>
              <w:t>a</w:t>
            </w:r>
            <w:r>
              <w:rPr>
                <w:spacing w:val="-4"/>
                <w:sz w:val="16"/>
              </w:rPr>
              <w:t> </w:t>
            </w:r>
            <w:r>
              <w:rPr>
                <w:sz w:val="16"/>
              </w:rPr>
              <w:t>high</w:t>
            </w:r>
            <w:r>
              <w:rPr>
                <w:spacing w:val="-5"/>
                <w:sz w:val="16"/>
              </w:rPr>
              <w:t> </w:t>
            </w:r>
            <w:r>
              <w:rPr>
                <w:sz w:val="16"/>
              </w:rPr>
              <w:t>court</w:t>
            </w:r>
            <w:r>
              <w:rPr>
                <w:spacing w:val="-4"/>
                <w:sz w:val="16"/>
              </w:rPr>
              <w:t> </w:t>
            </w:r>
            <w:r>
              <w:rPr>
                <w:sz w:val="16"/>
              </w:rPr>
              <w:t>challenge</w:t>
            </w:r>
            <w:r>
              <w:rPr>
                <w:spacing w:val="-3"/>
                <w:sz w:val="16"/>
              </w:rPr>
              <w:t> </w:t>
            </w:r>
            <w:r>
              <w:rPr>
                <w:sz w:val="16"/>
              </w:rPr>
              <w:t>of</w:t>
            </w:r>
            <w:r>
              <w:rPr>
                <w:spacing w:val="-5"/>
                <w:sz w:val="16"/>
              </w:rPr>
              <w:t> </w:t>
            </w:r>
            <w:r>
              <w:rPr>
                <w:sz w:val="16"/>
              </w:rPr>
              <w:t>policies</w:t>
            </w:r>
            <w:r>
              <w:rPr>
                <w:spacing w:val="-4"/>
                <w:sz w:val="16"/>
              </w:rPr>
              <w:t> </w:t>
            </w:r>
            <w:r>
              <w:rPr>
                <w:sz w:val="16"/>
              </w:rPr>
              <w:t>Minerals</w:t>
            </w:r>
            <w:r>
              <w:rPr>
                <w:spacing w:val="-4"/>
                <w:sz w:val="16"/>
              </w:rPr>
              <w:t> </w:t>
            </w:r>
            <w:r>
              <w:rPr>
                <w:sz w:val="16"/>
              </w:rPr>
              <w:t>13</w:t>
            </w:r>
            <w:r>
              <w:rPr>
                <w:spacing w:val="-4"/>
                <w:sz w:val="16"/>
              </w:rPr>
              <w:t> </w:t>
            </w:r>
            <w:r>
              <w:rPr>
                <w:sz w:val="16"/>
              </w:rPr>
              <w:t>and</w:t>
            </w:r>
            <w:r>
              <w:rPr>
                <w:spacing w:val="-5"/>
                <w:sz w:val="16"/>
              </w:rPr>
              <w:t> </w:t>
            </w:r>
            <w:r>
              <w:rPr>
                <w:sz w:val="16"/>
              </w:rPr>
              <w:t>14).</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ind w:left="33" w:right="225"/>
              <w:rPr>
                <w:sz w:val="16"/>
              </w:rPr>
            </w:pPr>
            <w:r>
              <w:rPr>
                <w:sz w:val="16"/>
              </w:rPr>
              <w:t>Date of Natural Resources and Waste Local Plan updated in LFRMS</w:t>
            </w:r>
          </w:p>
        </w:tc>
      </w:tr>
      <w:tr>
        <w:trPr>
          <w:trHeight w:val="3081"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ind w:left="34" w:right="60"/>
              <w:rPr>
                <w:sz w:val="16"/>
              </w:rPr>
            </w:pPr>
            <w:r>
              <w:rPr>
                <w:sz w:val="16"/>
              </w:rPr>
              <w:t>This</w:t>
            </w:r>
            <w:r>
              <w:rPr>
                <w:spacing w:val="-6"/>
                <w:sz w:val="16"/>
              </w:rPr>
              <w:t> </w:t>
            </w:r>
            <w:r>
              <w:rPr>
                <w:sz w:val="16"/>
              </w:rPr>
              <w:t>section</w:t>
            </w:r>
            <w:r>
              <w:rPr>
                <w:spacing w:val="-5"/>
                <w:sz w:val="16"/>
              </w:rPr>
              <w:t> </w:t>
            </w:r>
            <w:r>
              <w:rPr>
                <w:sz w:val="16"/>
              </w:rPr>
              <w:t>should</w:t>
            </w:r>
            <w:r>
              <w:rPr>
                <w:spacing w:val="-5"/>
                <w:sz w:val="16"/>
              </w:rPr>
              <w:t> </w:t>
            </w:r>
            <w:r>
              <w:rPr>
                <w:sz w:val="16"/>
              </w:rPr>
              <w:t>also</w:t>
            </w:r>
            <w:r>
              <w:rPr>
                <w:spacing w:val="-7"/>
                <w:sz w:val="16"/>
              </w:rPr>
              <w:t> </w:t>
            </w:r>
            <w:r>
              <w:rPr>
                <w:sz w:val="16"/>
              </w:rPr>
              <w:t>include</w:t>
            </w:r>
            <w:r>
              <w:rPr>
                <w:spacing w:val="-6"/>
                <w:sz w:val="16"/>
              </w:rPr>
              <w:t> </w:t>
            </w:r>
            <w:r>
              <w:rPr>
                <w:sz w:val="16"/>
              </w:rPr>
              <w:t>the</w:t>
            </w:r>
            <w:r>
              <w:rPr>
                <w:spacing w:val="-5"/>
                <w:sz w:val="16"/>
              </w:rPr>
              <w:t> </w:t>
            </w:r>
            <w:r>
              <w:rPr>
                <w:sz w:val="16"/>
              </w:rPr>
              <w:t>Aire</w:t>
            </w:r>
            <w:r>
              <w:rPr>
                <w:spacing w:val="-5"/>
                <w:sz w:val="16"/>
              </w:rPr>
              <w:t> </w:t>
            </w:r>
            <w:r>
              <w:rPr>
                <w:sz w:val="16"/>
              </w:rPr>
              <w:t>Valley</w:t>
            </w:r>
            <w:r>
              <w:rPr>
                <w:spacing w:val="-6"/>
                <w:sz w:val="16"/>
              </w:rPr>
              <w:t> </w:t>
            </w:r>
            <w:r>
              <w:rPr>
                <w:sz w:val="16"/>
              </w:rPr>
              <w:t>Leeds</w:t>
            </w:r>
            <w:r>
              <w:rPr>
                <w:spacing w:val="-6"/>
                <w:sz w:val="16"/>
              </w:rPr>
              <w:t> </w:t>
            </w:r>
            <w:r>
              <w:rPr>
                <w:sz w:val="16"/>
              </w:rPr>
              <w:t>Area</w:t>
            </w:r>
            <w:r>
              <w:rPr>
                <w:spacing w:val="-5"/>
                <w:sz w:val="16"/>
              </w:rPr>
              <w:t> </w:t>
            </w:r>
            <w:r>
              <w:rPr>
                <w:sz w:val="16"/>
              </w:rPr>
              <w:t>Action</w:t>
            </w:r>
            <w:r>
              <w:rPr>
                <w:spacing w:val="-5"/>
                <w:sz w:val="16"/>
              </w:rPr>
              <w:t> </w:t>
            </w:r>
            <w:r>
              <w:rPr>
                <w:sz w:val="16"/>
              </w:rPr>
              <w:t>Plan</w:t>
            </w:r>
            <w:r>
              <w:rPr>
                <w:spacing w:val="-6"/>
                <w:sz w:val="16"/>
              </w:rPr>
              <w:t> </w:t>
            </w:r>
            <w:r>
              <w:rPr>
                <w:sz w:val="16"/>
              </w:rPr>
              <w:t>which</w:t>
            </w:r>
            <w:r>
              <w:rPr>
                <w:spacing w:val="-6"/>
                <w:sz w:val="16"/>
              </w:rPr>
              <w:t> </w:t>
            </w:r>
            <w:r>
              <w:rPr>
                <w:sz w:val="16"/>
              </w:rPr>
              <w:t>was</w:t>
            </w:r>
            <w:r>
              <w:rPr>
                <w:spacing w:val="-6"/>
                <w:sz w:val="16"/>
              </w:rPr>
              <w:t> </w:t>
            </w:r>
            <w:r>
              <w:rPr>
                <w:sz w:val="16"/>
              </w:rPr>
              <w:t>adopted</w:t>
            </w:r>
            <w:r>
              <w:rPr>
                <w:spacing w:val="-6"/>
                <w:sz w:val="16"/>
              </w:rPr>
              <w:t> </w:t>
            </w:r>
            <w:r>
              <w:rPr>
                <w:sz w:val="16"/>
              </w:rPr>
              <w:t>in</w:t>
            </w:r>
            <w:r>
              <w:rPr>
                <w:spacing w:val="-6"/>
                <w:sz w:val="16"/>
              </w:rPr>
              <w:t> </w:t>
            </w:r>
            <w:r>
              <w:rPr>
                <w:sz w:val="16"/>
              </w:rPr>
              <w:t>2017</w:t>
            </w:r>
            <w:r>
              <w:rPr>
                <w:spacing w:val="-7"/>
                <w:sz w:val="16"/>
              </w:rPr>
              <w:t> </w:t>
            </w:r>
            <w:r>
              <w:rPr>
                <w:sz w:val="16"/>
              </w:rPr>
              <w:t>as</w:t>
            </w:r>
            <w:r>
              <w:rPr>
                <w:spacing w:val="-6"/>
                <w:sz w:val="16"/>
              </w:rPr>
              <w:t> </w:t>
            </w:r>
            <w:r>
              <w:rPr>
                <w:sz w:val="16"/>
              </w:rPr>
              <w:t>part</w:t>
            </w:r>
            <w:r>
              <w:rPr>
                <w:spacing w:val="-6"/>
                <w:sz w:val="16"/>
              </w:rPr>
              <w:t> </w:t>
            </w:r>
            <w:r>
              <w:rPr>
                <w:sz w:val="16"/>
              </w:rPr>
              <w:t>of</w:t>
            </w:r>
            <w:r>
              <w:rPr>
                <w:spacing w:val="-6"/>
                <w:sz w:val="16"/>
              </w:rPr>
              <w:t> </w:t>
            </w:r>
            <w:r>
              <w:rPr>
                <w:sz w:val="16"/>
              </w:rPr>
              <w:t>the</w:t>
            </w:r>
            <w:r>
              <w:rPr>
                <w:spacing w:val="-5"/>
                <w:sz w:val="16"/>
              </w:rPr>
              <w:t> </w:t>
            </w:r>
            <w:r>
              <w:rPr>
                <w:sz w:val="16"/>
              </w:rPr>
              <w:t>LDF. This</w:t>
            </w:r>
            <w:r>
              <w:rPr>
                <w:spacing w:val="-6"/>
                <w:sz w:val="16"/>
              </w:rPr>
              <w:t> </w:t>
            </w:r>
            <w:r>
              <w:rPr>
                <w:sz w:val="16"/>
              </w:rPr>
              <w:t>Plan</w:t>
            </w:r>
            <w:r>
              <w:rPr>
                <w:spacing w:val="-6"/>
                <w:sz w:val="16"/>
              </w:rPr>
              <w:t> </w:t>
            </w:r>
            <w:r>
              <w:rPr>
                <w:sz w:val="16"/>
              </w:rPr>
              <w:t>includes</w:t>
            </w:r>
            <w:r>
              <w:rPr>
                <w:spacing w:val="-6"/>
                <w:sz w:val="16"/>
              </w:rPr>
              <w:t> </w:t>
            </w:r>
            <w:r>
              <w:rPr>
                <w:sz w:val="16"/>
              </w:rPr>
              <w:t>a</w:t>
            </w:r>
            <w:r>
              <w:rPr>
                <w:spacing w:val="-7"/>
                <w:sz w:val="16"/>
              </w:rPr>
              <w:t> </w:t>
            </w:r>
            <w:r>
              <w:rPr>
                <w:sz w:val="16"/>
              </w:rPr>
              <w:t>lot</w:t>
            </w:r>
            <w:r>
              <w:rPr>
                <w:spacing w:val="-6"/>
                <w:sz w:val="16"/>
              </w:rPr>
              <w:t> </w:t>
            </w:r>
            <w:r>
              <w:rPr>
                <w:sz w:val="16"/>
              </w:rPr>
              <w:t>of</w:t>
            </w:r>
            <w:r>
              <w:rPr>
                <w:spacing w:val="-7"/>
                <w:sz w:val="16"/>
              </w:rPr>
              <w:t> </w:t>
            </w:r>
            <w:r>
              <w:rPr>
                <w:sz w:val="16"/>
              </w:rPr>
              <w:t>site</w:t>
            </w:r>
            <w:r>
              <w:rPr>
                <w:spacing w:val="-5"/>
                <w:sz w:val="16"/>
              </w:rPr>
              <w:t> </w:t>
            </w:r>
            <w:r>
              <w:rPr>
                <w:sz w:val="16"/>
              </w:rPr>
              <w:t>specific</w:t>
            </w:r>
            <w:r>
              <w:rPr>
                <w:spacing w:val="-6"/>
                <w:sz w:val="16"/>
              </w:rPr>
              <w:t> </w:t>
            </w:r>
            <w:r>
              <w:rPr>
                <w:sz w:val="16"/>
              </w:rPr>
              <w:t>policies</w:t>
            </w:r>
            <w:r>
              <w:rPr>
                <w:spacing w:val="-6"/>
                <w:sz w:val="16"/>
              </w:rPr>
              <w:t> </w:t>
            </w:r>
            <w:r>
              <w:rPr>
                <w:sz w:val="16"/>
              </w:rPr>
              <w:t>which</w:t>
            </w:r>
            <w:r>
              <w:rPr>
                <w:spacing w:val="-7"/>
                <w:sz w:val="16"/>
              </w:rPr>
              <w:t> </w:t>
            </w:r>
            <w:r>
              <w:rPr>
                <w:sz w:val="16"/>
              </w:rPr>
              <w:t>include</w:t>
            </w:r>
            <w:r>
              <w:rPr>
                <w:spacing w:val="-6"/>
                <w:sz w:val="16"/>
              </w:rPr>
              <w:t> </w:t>
            </w:r>
            <w:r>
              <w:rPr>
                <w:sz w:val="16"/>
              </w:rPr>
              <w:t>mitigation</w:t>
            </w:r>
            <w:r>
              <w:rPr>
                <w:spacing w:val="-6"/>
                <w:sz w:val="16"/>
              </w:rPr>
              <w:t> </w:t>
            </w:r>
            <w:r>
              <w:rPr>
                <w:sz w:val="16"/>
              </w:rPr>
              <w:t>measures</w:t>
            </w:r>
            <w:r>
              <w:rPr>
                <w:spacing w:val="-5"/>
                <w:sz w:val="16"/>
              </w:rPr>
              <w:t> </w:t>
            </w:r>
            <w:r>
              <w:rPr>
                <w:sz w:val="16"/>
              </w:rPr>
              <w:t>for</w:t>
            </w:r>
            <w:r>
              <w:rPr>
                <w:spacing w:val="-6"/>
                <w:sz w:val="16"/>
              </w:rPr>
              <w:t> </w:t>
            </w:r>
            <w:r>
              <w:rPr>
                <w:sz w:val="16"/>
              </w:rPr>
              <w:t>flood</w:t>
            </w:r>
            <w:r>
              <w:rPr>
                <w:spacing w:val="-5"/>
                <w:sz w:val="16"/>
              </w:rPr>
              <w:t> </w:t>
            </w:r>
            <w:r>
              <w:rPr>
                <w:sz w:val="16"/>
              </w:rPr>
              <w:t>risk</w:t>
            </w:r>
            <w:r>
              <w:rPr>
                <w:spacing w:val="-6"/>
                <w:sz w:val="16"/>
              </w:rPr>
              <w:t> </w:t>
            </w:r>
            <w:r>
              <w:rPr>
                <w:sz w:val="16"/>
              </w:rPr>
              <w:t>so</w:t>
            </w:r>
            <w:r>
              <w:rPr>
                <w:spacing w:val="-6"/>
                <w:sz w:val="16"/>
              </w:rPr>
              <w:t> </w:t>
            </w:r>
            <w:r>
              <w:rPr>
                <w:sz w:val="16"/>
              </w:rPr>
              <w:t>it</w:t>
            </w:r>
            <w:r>
              <w:rPr>
                <w:spacing w:val="-6"/>
                <w:sz w:val="16"/>
              </w:rPr>
              <w:t> </w:t>
            </w:r>
            <w:r>
              <w:rPr>
                <w:sz w:val="16"/>
              </w:rPr>
              <w:t>is</w:t>
            </w:r>
            <w:r>
              <w:rPr>
                <w:spacing w:val="-7"/>
                <w:sz w:val="16"/>
              </w:rPr>
              <w:t> </w:t>
            </w:r>
            <w:r>
              <w:rPr>
                <w:sz w:val="16"/>
              </w:rPr>
              <w:t>important</w:t>
            </w:r>
            <w:r>
              <w:rPr>
                <w:spacing w:val="-6"/>
                <w:sz w:val="16"/>
              </w:rPr>
              <w:t> </w:t>
            </w:r>
            <w:r>
              <w:rPr>
                <w:sz w:val="16"/>
              </w:rPr>
              <w:t>that</w:t>
            </w:r>
            <w:r>
              <w:rPr>
                <w:spacing w:val="-6"/>
                <w:sz w:val="16"/>
              </w:rPr>
              <w:t> </w:t>
            </w:r>
            <w:r>
              <w:rPr>
                <w:sz w:val="16"/>
              </w:rPr>
              <w:t>the LLFRMS</w:t>
            </w:r>
            <w:r>
              <w:rPr>
                <w:spacing w:val="-8"/>
                <w:sz w:val="16"/>
              </w:rPr>
              <w:t> </w:t>
            </w:r>
            <w:r>
              <w:rPr>
                <w:sz w:val="16"/>
              </w:rPr>
              <w:t>includes</w:t>
            </w:r>
            <w:r>
              <w:rPr>
                <w:spacing w:val="-8"/>
                <w:sz w:val="16"/>
              </w:rPr>
              <w:t> </w:t>
            </w:r>
            <w:r>
              <w:rPr>
                <w:sz w:val="16"/>
              </w:rPr>
              <w:t>it.</w:t>
            </w:r>
            <w:r>
              <w:rPr>
                <w:spacing w:val="-8"/>
                <w:sz w:val="16"/>
              </w:rPr>
              <w:t> </w:t>
            </w:r>
            <w:r>
              <w:rPr>
                <w:sz w:val="16"/>
              </w:rPr>
              <w:t>The</w:t>
            </w:r>
            <w:r>
              <w:rPr>
                <w:spacing w:val="-7"/>
                <w:sz w:val="16"/>
              </w:rPr>
              <w:t> </w:t>
            </w:r>
            <w:r>
              <w:rPr>
                <w:sz w:val="16"/>
              </w:rPr>
              <w:t>Plan</w:t>
            </w:r>
            <w:r>
              <w:rPr>
                <w:spacing w:val="-7"/>
                <w:sz w:val="16"/>
              </w:rPr>
              <w:t> </w:t>
            </w:r>
            <w:r>
              <w:rPr>
                <w:sz w:val="16"/>
              </w:rPr>
              <w:t>also</w:t>
            </w:r>
            <w:r>
              <w:rPr>
                <w:spacing w:val="-8"/>
                <w:sz w:val="16"/>
              </w:rPr>
              <w:t> </w:t>
            </w:r>
            <w:r>
              <w:rPr>
                <w:sz w:val="16"/>
              </w:rPr>
              <w:t>includes</w:t>
            </w:r>
            <w:r>
              <w:rPr>
                <w:spacing w:val="-8"/>
                <w:sz w:val="16"/>
              </w:rPr>
              <w:t> </w:t>
            </w:r>
            <w:r>
              <w:rPr>
                <w:sz w:val="16"/>
              </w:rPr>
              <w:t>a</w:t>
            </w:r>
            <w:r>
              <w:rPr>
                <w:spacing w:val="-8"/>
                <w:sz w:val="16"/>
              </w:rPr>
              <w:t> </w:t>
            </w:r>
            <w:r>
              <w:rPr>
                <w:sz w:val="16"/>
              </w:rPr>
              <w:t>green</w:t>
            </w:r>
            <w:r>
              <w:rPr>
                <w:spacing w:val="-8"/>
                <w:sz w:val="16"/>
              </w:rPr>
              <w:t> </w:t>
            </w:r>
            <w:r>
              <w:rPr>
                <w:sz w:val="16"/>
              </w:rPr>
              <w:t>infrastructure</w:t>
            </w:r>
            <w:r>
              <w:rPr>
                <w:spacing w:val="-8"/>
                <w:sz w:val="16"/>
              </w:rPr>
              <w:t> </w:t>
            </w:r>
            <w:r>
              <w:rPr>
                <w:sz w:val="16"/>
              </w:rPr>
              <w:t>strategy</w:t>
            </w:r>
            <w:r>
              <w:rPr>
                <w:spacing w:val="-7"/>
                <w:sz w:val="16"/>
              </w:rPr>
              <w:t> </w:t>
            </w:r>
            <w:r>
              <w:rPr>
                <w:sz w:val="16"/>
              </w:rPr>
              <w:t>which</w:t>
            </w:r>
            <w:r>
              <w:rPr>
                <w:spacing w:val="-7"/>
                <w:sz w:val="16"/>
              </w:rPr>
              <w:t> </w:t>
            </w:r>
            <w:r>
              <w:rPr>
                <w:sz w:val="16"/>
              </w:rPr>
              <w:t>is</w:t>
            </w:r>
            <w:r>
              <w:rPr>
                <w:spacing w:val="-8"/>
                <w:sz w:val="16"/>
              </w:rPr>
              <w:t> </w:t>
            </w:r>
            <w:r>
              <w:rPr>
                <w:sz w:val="16"/>
              </w:rPr>
              <w:t>relevant</w:t>
            </w:r>
            <w:r>
              <w:rPr>
                <w:spacing w:val="-7"/>
                <w:sz w:val="16"/>
              </w:rPr>
              <w:t> </w:t>
            </w:r>
            <w:r>
              <w:rPr>
                <w:sz w:val="16"/>
              </w:rPr>
              <w:t>for</w:t>
            </w:r>
            <w:r>
              <w:rPr>
                <w:spacing w:val="-7"/>
                <w:sz w:val="16"/>
              </w:rPr>
              <w:t> </w:t>
            </w:r>
            <w:r>
              <w:rPr>
                <w:sz w:val="16"/>
              </w:rPr>
              <w:t>flood</w:t>
            </w:r>
            <w:r>
              <w:rPr>
                <w:spacing w:val="-7"/>
                <w:sz w:val="16"/>
              </w:rPr>
              <w:t> </w:t>
            </w:r>
            <w:r>
              <w:rPr>
                <w:sz w:val="16"/>
              </w:rPr>
              <w:t>risk</w:t>
            </w:r>
            <w:r>
              <w:rPr>
                <w:spacing w:val="-7"/>
                <w:sz w:val="16"/>
              </w:rPr>
              <w:t> </w:t>
            </w:r>
            <w:r>
              <w:rPr>
                <w:sz w:val="16"/>
              </w:rPr>
              <w:t>management.</w:t>
            </w:r>
          </w:p>
          <w:p>
            <w:pPr>
              <w:pStyle w:val="TableParagraph"/>
              <w:spacing w:before="6"/>
              <w:rPr>
                <w:rFonts w:ascii="Calibri"/>
                <w:sz w:val="15"/>
              </w:rPr>
            </w:pPr>
          </w:p>
          <w:p>
            <w:pPr>
              <w:pStyle w:val="TableParagraph"/>
              <w:spacing w:line="254" w:lineRule="auto"/>
              <w:ind w:left="34" w:right="60"/>
              <w:rPr>
                <w:sz w:val="16"/>
              </w:rPr>
            </w:pPr>
            <w:r>
              <w:rPr>
                <w:sz w:val="16"/>
              </w:rPr>
              <w:t>The Site Allocations Plan (SAP) is not adopted yet but has been submitted to the Secretary of State for independent examination and therefore is a material consideration. The Plan proposes significant housing and employment growth, some of which is in areas at risk of flooding and therefore it is relevant to mention in the LLFRMS. The SAP has been underpinned by a Flood Risk Sequential and Exception Test Background Paper which attempts to avoid development in areas</w:t>
            </w:r>
            <w:r>
              <w:rPr>
                <w:spacing w:val="-7"/>
                <w:sz w:val="16"/>
              </w:rPr>
              <w:t> </w:t>
            </w:r>
            <w:r>
              <w:rPr>
                <w:sz w:val="16"/>
              </w:rPr>
              <w:t>at</w:t>
            </w:r>
            <w:r>
              <w:rPr>
                <w:spacing w:val="-6"/>
                <w:sz w:val="16"/>
              </w:rPr>
              <w:t> </w:t>
            </w:r>
            <w:r>
              <w:rPr>
                <w:sz w:val="16"/>
              </w:rPr>
              <w:t>risk</w:t>
            </w:r>
            <w:r>
              <w:rPr>
                <w:spacing w:val="-5"/>
                <w:sz w:val="16"/>
              </w:rPr>
              <w:t> </w:t>
            </w:r>
            <w:r>
              <w:rPr>
                <w:sz w:val="16"/>
              </w:rPr>
              <w:t>of</w:t>
            </w:r>
            <w:r>
              <w:rPr>
                <w:spacing w:val="-7"/>
                <w:sz w:val="16"/>
              </w:rPr>
              <w:t> </w:t>
            </w:r>
            <w:r>
              <w:rPr>
                <w:sz w:val="16"/>
              </w:rPr>
              <w:t>flooding</w:t>
            </w:r>
            <w:r>
              <w:rPr>
                <w:spacing w:val="-5"/>
                <w:sz w:val="16"/>
              </w:rPr>
              <w:t> </w:t>
            </w:r>
            <w:r>
              <w:rPr>
                <w:sz w:val="16"/>
              </w:rPr>
              <w:t>but</w:t>
            </w:r>
            <w:r>
              <w:rPr>
                <w:spacing w:val="-6"/>
                <w:sz w:val="16"/>
              </w:rPr>
              <w:t> </w:t>
            </w:r>
            <w:r>
              <w:rPr>
                <w:sz w:val="16"/>
              </w:rPr>
              <w:t>where</w:t>
            </w:r>
            <w:r>
              <w:rPr>
                <w:spacing w:val="-6"/>
                <w:sz w:val="16"/>
              </w:rPr>
              <w:t> </w:t>
            </w:r>
            <w:r>
              <w:rPr>
                <w:sz w:val="16"/>
              </w:rPr>
              <w:t>this</w:t>
            </w:r>
            <w:r>
              <w:rPr>
                <w:spacing w:val="-6"/>
                <w:sz w:val="16"/>
              </w:rPr>
              <w:t> </w:t>
            </w:r>
            <w:r>
              <w:rPr>
                <w:sz w:val="16"/>
              </w:rPr>
              <w:t>is</w:t>
            </w:r>
            <w:r>
              <w:rPr>
                <w:spacing w:val="-6"/>
                <w:sz w:val="16"/>
              </w:rPr>
              <w:t> </w:t>
            </w:r>
            <w:r>
              <w:rPr>
                <w:sz w:val="16"/>
              </w:rPr>
              <w:t>not</w:t>
            </w:r>
            <w:r>
              <w:rPr>
                <w:spacing w:val="-6"/>
                <w:sz w:val="16"/>
              </w:rPr>
              <w:t> </w:t>
            </w:r>
            <w:r>
              <w:rPr>
                <w:sz w:val="16"/>
              </w:rPr>
              <w:t>possible,</w:t>
            </w:r>
            <w:r>
              <w:rPr>
                <w:spacing w:val="-6"/>
                <w:sz w:val="16"/>
              </w:rPr>
              <w:t> </w:t>
            </w:r>
            <w:r>
              <w:rPr>
                <w:sz w:val="16"/>
              </w:rPr>
              <w:t>explains</w:t>
            </w:r>
            <w:r>
              <w:rPr>
                <w:spacing w:val="-7"/>
                <w:sz w:val="16"/>
              </w:rPr>
              <w:t> </w:t>
            </w:r>
            <w:r>
              <w:rPr>
                <w:sz w:val="16"/>
              </w:rPr>
              <w:t>the</w:t>
            </w:r>
            <w:r>
              <w:rPr>
                <w:spacing w:val="-5"/>
                <w:sz w:val="16"/>
              </w:rPr>
              <w:t> </w:t>
            </w:r>
            <w:r>
              <w:rPr>
                <w:sz w:val="16"/>
              </w:rPr>
              <w:t>mitigation</w:t>
            </w:r>
            <w:r>
              <w:rPr>
                <w:spacing w:val="-5"/>
                <w:sz w:val="16"/>
              </w:rPr>
              <w:t> </w:t>
            </w:r>
            <w:r>
              <w:rPr>
                <w:sz w:val="16"/>
              </w:rPr>
              <w:t>measures</w:t>
            </w:r>
            <w:r>
              <w:rPr>
                <w:spacing w:val="-6"/>
                <w:sz w:val="16"/>
              </w:rPr>
              <w:t> </w:t>
            </w:r>
            <w:r>
              <w:rPr>
                <w:sz w:val="16"/>
              </w:rPr>
              <w:t>which</w:t>
            </w:r>
            <w:r>
              <w:rPr>
                <w:spacing w:val="-6"/>
                <w:sz w:val="16"/>
              </w:rPr>
              <w:t> </w:t>
            </w:r>
            <w:r>
              <w:rPr>
                <w:sz w:val="16"/>
              </w:rPr>
              <w:t>will</w:t>
            </w:r>
            <w:r>
              <w:rPr>
                <w:spacing w:val="-6"/>
                <w:sz w:val="16"/>
              </w:rPr>
              <w:t> </w:t>
            </w:r>
            <w:r>
              <w:rPr>
                <w:sz w:val="16"/>
              </w:rPr>
              <w:t>be</w:t>
            </w:r>
            <w:r>
              <w:rPr>
                <w:spacing w:val="-6"/>
                <w:sz w:val="16"/>
              </w:rPr>
              <w:t> </w:t>
            </w:r>
            <w:r>
              <w:rPr>
                <w:sz w:val="16"/>
              </w:rPr>
              <w:t>required</w:t>
            </w:r>
            <w:r>
              <w:rPr>
                <w:spacing w:val="-6"/>
                <w:sz w:val="16"/>
              </w:rPr>
              <w:t> </w:t>
            </w:r>
            <w:r>
              <w:rPr>
                <w:sz w:val="16"/>
              </w:rPr>
              <w:t>for</w:t>
            </w:r>
            <w:r>
              <w:rPr>
                <w:spacing w:val="-5"/>
                <w:sz w:val="16"/>
              </w:rPr>
              <w:t> </w:t>
            </w:r>
            <w:r>
              <w:rPr>
                <w:sz w:val="16"/>
              </w:rPr>
              <w:t>the</w:t>
            </w:r>
            <w:r>
              <w:rPr>
                <w:spacing w:val="-5"/>
                <w:sz w:val="16"/>
              </w:rPr>
              <w:t> </w:t>
            </w:r>
            <w:r>
              <w:rPr>
                <w:sz w:val="16"/>
              </w:rPr>
              <w:t>site to be developed. Where sites are being allocated for development and include a culvert or canalised watercourse in the site,</w:t>
            </w:r>
            <w:r>
              <w:rPr>
                <w:spacing w:val="-8"/>
                <w:sz w:val="16"/>
              </w:rPr>
              <w:t> </w:t>
            </w:r>
            <w:r>
              <w:rPr>
                <w:sz w:val="16"/>
              </w:rPr>
              <w:t>the</w:t>
            </w:r>
            <w:r>
              <w:rPr>
                <w:spacing w:val="-8"/>
                <w:sz w:val="16"/>
              </w:rPr>
              <w:t> </w:t>
            </w:r>
            <w:r>
              <w:rPr>
                <w:sz w:val="16"/>
              </w:rPr>
              <w:t>SAP</w:t>
            </w:r>
            <w:r>
              <w:rPr>
                <w:spacing w:val="-8"/>
                <w:sz w:val="16"/>
              </w:rPr>
              <w:t> </w:t>
            </w:r>
            <w:r>
              <w:rPr>
                <w:sz w:val="16"/>
              </w:rPr>
              <w:t>includes</w:t>
            </w:r>
            <w:r>
              <w:rPr>
                <w:spacing w:val="-8"/>
                <w:sz w:val="16"/>
              </w:rPr>
              <w:t> </w:t>
            </w:r>
            <w:r>
              <w:rPr>
                <w:sz w:val="16"/>
              </w:rPr>
              <w:t>a</w:t>
            </w:r>
            <w:r>
              <w:rPr>
                <w:spacing w:val="-9"/>
                <w:sz w:val="16"/>
              </w:rPr>
              <w:t> </w:t>
            </w:r>
            <w:r>
              <w:rPr>
                <w:sz w:val="16"/>
              </w:rPr>
              <w:t>requirement</w:t>
            </w:r>
            <w:r>
              <w:rPr>
                <w:spacing w:val="-8"/>
                <w:sz w:val="16"/>
              </w:rPr>
              <w:t> </w:t>
            </w:r>
            <w:r>
              <w:rPr>
                <w:sz w:val="16"/>
              </w:rPr>
              <w:t>that</w:t>
            </w:r>
            <w:r>
              <w:rPr>
                <w:spacing w:val="-8"/>
                <w:sz w:val="16"/>
              </w:rPr>
              <w:t> </w:t>
            </w:r>
            <w:r>
              <w:rPr>
                <w:sz w:val="16"/>
              </w:rPr>
              <w:t>development</w:t>
            </w:r>
            <w:r>
              <w:rPr>
                <w:spacing w:val="-8"/>
                <w:sz w:val="16"/>
              </w:rPr>
              <w:t> </w:t>
            </w:r>
            <w:r>
              <w:rPr>
                <w:sz w:val="16"/>
              </w:rPr>
              <w:t>proposals</w:t>
            </w:r>
            <w:r>
              <w:rPr>
                <w:spacing w:val="-9"/>
                <w:sz w:val="16"/>
              </w:rPr>
              <w:t> </w:t>
            </w:r>
            <w:r>
              <w:rPr>
                <w:sz w:val="16"/>
              </w:rPr>
              <w:t>should</w:t>
            </w:r>
            <w:r>
              <w:rPr>
                <w:spacing w:val="-8"/>
                <w:sz w:val="16"/>
              </w:rPr>
              <w:t> </w:t>
            </w:r>
            <w:r>
              <w:rPr>
                <w:sz w:val="16"/>
              </w:rPr>
              <w:t>consider</w:t>
            </w:r>
            <w:r>
              <w:rPr>
                <w:spacing w:val="-7"/>
                <w:sz w:val="16"/>
              </w:rPr>
              <w:t> </w:t>
            </w:r>
            <w:r>
              <w:rPr>
                <w:sz w:val="16"/>
              </w:rPr>
              <w:t>re-opening</w:t>
            </w:r>
            <w:r>
              <w:rPr>
                <w:spacing w:val="-8"/>
                <w:sz w:val="16"/>
              </w:rPr>
              <w:t> </w:t>
            </w:r>
            <w:r>
              <w:rPr>
                <w:sz w:val="16"/>
              </w:rPr>
              <w:t>or</w:t>
            </w:r>
            <w:r>
              <w:rPr>
                <w:spacing w:val="-9"/>
                <w:sz w:val="16"/>
              </w:rPr>
              <w:t> </w:t>
            </w:r>
            <w:r>
              <w:rPr>
                <w:sz w:val="16"/>
              </w:rPr>
              <w:t>restoration</w:t>
            </w:r>
            <w:r>
              <w:rPr>
                <w:spacing w:val="-8"/>
                <w:sz w:val="16"/>
              </w:rPr>
              <w:t> </w:t>
            </w:r>
            <w:r>
              <w:rPr>
                <w:sz w:val="16"/>
              </w:rPr>
              <w:t>in</w:t>
            </w:r>
            <w:r>
              <w:rPr>
                <w:spacing w:val="-8"/>
                <w:sz w:val="16"/>
              </w:rPr>
              <w:t> </w:t>
            </w:r>
            <w:r>
              <w:rPr>
                <w:sz w:val="16"/>
              </w:rPr>
              <w:t>accordance with saved UDP Policy N39B. The flood risk management policies in the Natural Resources and Waste Local Plan apply to</w:t>
            </w:r>
            <w:r>
              <w:rPr>
                <w:spacing w:val="-4"/>
                <w:sz w:val="16"/>
              </w:rPr>
              <w:t> </w:t>
            </w:r>
            <w:r>
              <w:rPr>
                <w:sz w:val="16"/>
              </w:rPr>
              <w:t>all</w:t>
            </w:r>
            <w:r>
              <w:rPr>
                <w:spacing w:val="-4"/>
                <w:sz w:val="16"/>
              </w:rPr>
              <w:t> </w:t>
            </w:r>
            <w:r>
              <w:rPr>
                <w:sz w:val="16"/>
              </w:rPr>
              <w:t>sites</w:t>
            </w:r>
            <w:r>
              <w:rPr>
                <w:spacing w:val="-3"/>
                <w:sz w:val="16"/>
              </w:rPr>
              <w:t> </w:t>
            </w:r>
            <w:r>
              <w:rPr>
                <w:sz w:val="16"/>
              </w:rPr>
              <w:t>allocated</w:t>
            </w:r>
            <w:r>
              <w:rPr>
                <w:spacing w:val="-4"/>
                <w:sz w:val="16"/>
              </w:rPr>
              <w:t> </w:t>
            </w:r>
            <w:r>
              <w:rPr>
                <w:sz w:val="16"/>
              </w:rPr>
              <w:t>for</w:t>
            </w:r>
            <w:r>
              <w:rPr>
                <w:spacing w:val="-4"/>
                <w:sz w:val="16"/>
              </w:rPr>
              <w:t> </w:t>
            </w:r>
            <w:r>
              <w:rPr>
                <w:sz w:val="16"/>
              </w:rPr>
              <w:t>development</w:t>
            </w:r>
            <w:r>
              <w:rPr>
                <w:spacing w:val="-4"/>
                <w:sz w:val="16"/>
              </w:rPr>
              <w:t> </w:t>
            </w:r>
            <w:r>
              <w:rPr>
                <w:sz w:val="16"/>
              </w:rPr>
              <w:t>and</w:t>
            </w:r>
            <w:r>
              <w:rPr>
                <w:spacing w:val="-4"/>
                <w:sz w:val="16"/>
              </w:rPr>
              <w:t> </w:t>
            </w:r>
            <w:r>
              <w:rPr>
                <w:sz w:val="16"/>
              </w:rPr>
              <w:t>those</w:t>
            </w:r>
            <w:r>
              <w:rPr>
                <w:spacing w:val="-3"/>
                <w:sz w:val="16"/>
              </w:rPr>
              <w:t> </w:t>
            </w:r>
            <w:r>
              <w:rPr>
                <w:sz w:val="16"/>
              </w:rPr>
              <w:t>coming</w:t>
            </w:r>
            <w:r>
              <w:rPr>
                <w:spacing w:val="-3"/>
                <w:sz w:val="16"/>
              </w:rPr>
              <w:t> </w:t>
            </w:r>
            <w:r>
              <w:rPr>
                <w:sz w:val="16"/>
              </w:rPr>
              <w:t>forward</w:t>
            </w:r>
            <w:r>
              <w:rPr>
                <w:spacing w:val="-4"/>
                <w:sz w:val="16"/>
              </w:rPr>
              <w:t> </w:t>
            </w:r>
            <w:r>
              <w:rPr>
                <w:sz w:val="16"/>
              </w:rPr>
              <w:t>through</w:t>
            </w:r>
            <w:r>
              <w:rPr>
                <w:spacing w:val="-3"/>
                <w:sz w:val="16"/>
              </w:rPr>
              <w:t> </w:t>
            </w:r>
            <w:r>
              <w:rPr>
                <w:sz w:val="16"/>
              </w:rPr>
              <w:t>the</w:t>
            </w:r>
            <w:r>
              <w:rPr>
                <w:spacing w:val="-3"/>
                <w:sz w:val="16"/>
              </w:rPr>
              <w:t> </w:t>
            </w:r>
            <w:r>
              <w:rPr>
                <w:sz w:val="16"/>
              </w:rPr>
              <w:t>planning</w:t>
            </w:r>
            <w:r>
              <w:rPr>
                <w:spacing w:val="-4"/>
                <w:sz w:val="16"/>
              </w:rPr>
              <w:t> </w:t>
            </w:r>
            <w:r>
              <w:rPr>
                <w:sz w:val="16"/>
              </w:rPr>
              <w:t>application</w:t>
            </w:r>
            <w:r>
              <w:rPr>
                <w:spacing w:val="-4"/>
                <w:sz w:val="16"/>
              </w:rPr>
              <w:t> </w:t>
            </w:r>
            <w:r>
              <w:rPr>
                <w:sz w:val="16"/>
              </w:rPr>
              <w:t>process.</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Noted, to be reviewed for next update</w:t>
            </w:r>
          </w:p>
        </w:tc>
      </w:tr>
      <w:tr>
        <w:trPr>
          <w:trHeight w:val="774"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Section 6: List of Measures</w:t>
            </w:r>
          </w:p>
          <w:p>
            <w:pPr>
              <w:pStyle w:val="TableParagraph"/>
              <w:spacing w:line="190" w:lineRule="atLeast" w:before="4"/>
              <w:ind w:left="34" w:right="190"/>
              <w:rPr>
                <w:sz w:val="16"/>
              </w:rPr>
            </w:pPr>
            <w:r>
              <w:rPr>
                <w:sz w:val="16"/>
              </w:rPr>
              <w:t>The sentence that reads ‘Spatial planning and development control –this includes proposals for the creation of a SuDS Approval Body, promoting sustainability and climate change adaptation’ should be amended because the Government has abandoned the requirement for planning authorities to create a SuDS approval body.</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LFRMS amended to reflect this</w:t>
            </w:r>
          </w:p>
        </w:tc>
      </w:tr>
      <w:tr>
        <w:trPr>
          <w:trHeight w:val="774"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Section 7: Review and Monitoring</w:t>
            </w:r>
          </w:p>
          <w:p>
            <w:pPr>
              <w:pStyle w:val="TableParagraph"/>
              <w:spacing w:line="190" w:lineRule="atLeast" w:before="4"/>
              <w:ind w:left="34" w:right="60"/>
              <w:rPr>
                <w:sz w:val="16"/>
              </w:rPr>
            </w:pPr>
            <w:r>
              <w:rPr>
                <w:sz w:val="16"/>
              </w:rPr>
              <w:t>Within</w:t>
            </w:r>
            <w:r>
              <w:rPr>
                <w:spacing w:val="-7"/>
                <w:sz w:val="16"/>
              </w:rPr>
              <w:t> </w:t>
            </w:r>
            <w:r>
              <w:rPr>
                <w:sz w:val="16"/>
              </w:rPr>
              <w:t>our</w:t>
            </w:r>
            <w:r>
              <w:rPr>
                <w:spacing w:val="-8"/>
                <w:sz w:val="16"/>
              </w:rPr>
              <w:t> </w:t>
            </w:r>
            <w:r>
              <w:rPr>
                <w:sz w:val="16"/>
              </w:rPr>
              <w:t>Authority</w:t>
            </w:r>
            <w:r>
              <w:rPr>
                <w:spacing w:val="-7"/>
                <w:sz w:val="16"/>
              </w:rPr>
              <w:t> </w:t>
            </w:r>
            <w:r>
              <w:rPr>
                <w:sz w:val="16"/>
              </w:rPr>
              <w:t>Monitoring</w:t>
            </w:r>
            <w:r>
              <w:rPr>
                <w:spacing w:val="-7"/>
                <w:sz w:val="16"/>
              </w:rPr>
              <w:t> </w:t>
            </w:r>
            <w:r>
              <w:rPr>
                <w:sz w:val="16"/>
              </w:rPr>
              <w:t>Report</w:t>
            </w:r>
            <w:r>
              <w:rPr>
                <w:spacing w:val="-8"/>
                <w:sz w:val="16"/>
              </w:rPr>
              <w:t> </w:t>
            </w:r>
            <w:r>
              <w:rPr>
                <w:sz w:val="16"/>
              </w:rPr>
              <w:t>we</w:t>
            </w:r>
            <w:r>
              <w:rPr>
                <w:spacing w:val="-8"/>
                <w:sz w:val="16"/>
              </w:rPr>
              <w:t> </w:t>
            </w:r>
            <w:r>
              <w:rPr>
                <w:sz w:val="16"/>
              </w:rPr>
              <w:t>don’t</w:t>
            </w:r>
            <w:r>
              <w:rPr>
                <w:spacing w:val="-7"/>
                <w:sz w:val="16"/>
              </w:rPr>
              <w:t> </w:t>
            </w:r>
            <w:r>
              <w:rPr>
                <w:sz w:val="16"/>
              </w:rPr>
              <w:t>currently</w:t>
            </w:r>
            <w:r>
              <w:rPr>
                <w:spacing w:val="-7"/>
                <w:sz w:val="16"/>
              </w:rPr>
              <w:t> </w:t>
            </w:r>
            <w:r>
              <w:rPr>
                <w:sz w:val="16"/>
              </w:rPr>
              <w:t>monitor</w:t>
            </w:r>
            <w:r>
              <w:rPr>
                <w:spacing w:val="-7"/>
                <w:sz w:val="16"/>
              </w:rPr>
              <w:t> </w:t>
            </w:r>
            <w:r>
              <w:rPr>
                <w:sz w:val="16"/>
              </w:rPr>
              <w:t>the</w:t>
            </w:r>
            <w:r>
              <w:rPr>
                <w:spacing w:val="-7"/>
                <w:sz w:val="16"/>
              </w:rPr>
              <w:t> </w:t>
            </w:r>
            <w:r>
              <w:rPr>
                <w:sz w:val="16"/>
              </w:rPr>
              <w:t>number</w:t>
            </w:r>
            <w:r>
              <w:rPr>
                <w:spacing w:val="-8"/>
                <w:sz w:val="16"/>
              </w:rPr>
              <w:t> </w:t>
            </w:r>
            <w:r>
              <w:rPr>
                <w:sz w:val="16"/>
              </w:rPr>
              <w:t>of</w:t>
            </w:r>
            <w:r>
              <w:rPr>
                <w:spacing w:val="-8"/>
                <w:sz w:val="16"/>
              </w:rPr>
              <w:t> </w:t>
            </w:r>
            <w:r>
              <w:rPr>
                <w:sz w:val="16"/>
              </w:rPr>
              <w:t>SuDS</w:t>
            </w:r>
            <w:r>
              <w:rPr>
                <w:spacing w:val="-7"/>
                <w:sz w:val="16"/>
              </w:rPr>
              <w:t> </w:t>
            </w:r>
            <w:r>
              <w:rPr>
                <w:sz w:val="16"/>
              </w:rPr>
              <w:t>that</w:t>
            </w:r>
            <w:r>
              <w:rPr>
                <w:spacing w:val="-7"/>
                <w:sz w:val="16"/>
              </w:rPr>
              <w:t> </w:t>
            </w:r>
            <w:r>
              <w:rPr>
                <w:sz w:val="16"/>
              </w:rPr>
              <w:t>are</w:t>
            </w:r>
            <w:r>
              <w:rPr>
                <w:spacing w:val="-7"/>
                <w:sz w:val="16"/>
              </w:rPr>
              <w:t> </w:t>
            </w:r>
            <w:r>
              <w:rPr>
                <w:sz w:val="16"/>
              </w:rPr>
              <w:t>delivered</w:t>
            </w:r>
            <w:r>
              <w:rPr>
                <w:spacing w:val="-8"/>
                <w:sz w:val="16"/>
              </w:rPr>
              <w:t> </w:t>
            </w:r>
            <w:r>
              <w:rPr>
                <w:sz w:val="16"/>
              </w:rPr>
              <w:t>in</w:t>
            </w:r>
            <w:r>
              <w:rPr>
                <w:spacing w:val="-8"/>
                <w:sz w:val="16"/>
              </w:rPr>
              <w:t> </w:t>
            </w:r>
            <w:r>
              <w:rPr>
                <w:sz w:val="16"/>
              </w:rPr>
              <w:t>development but I agree that this would be a very useful thing to do and I would be interested to know if the Flood risk management Team are doing</w:t>
            </w:r>
            <w:r>
              <w:rPr>
                <w:spacing w:val="-4"/>
                <w:sz w:val="16"/>
              </w:rPr>
              <w:t> </w:t>
            </w:r>
            <w:r>
              <w:rPr>
                <w:sz w:val="16"/>
              </w:rPr>
              <w:t>this?</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Noted</w:t>
            </w:r>
          </w:p>
        </w:tc>
      </w:tr>
      <w:tr>
        <w:trPr>
          <w:trHeight w:val="774"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Appendix C: List of Measures P19</w:t>
            </w:r>
          </w:p>
          <w:p>
            <w:pPr>
              <w:pStyle w:val="TableParagraph"/>
              <w:spacing w:line="190" w:lineRule="atLeast" w:before="4"/>
              <w:ind w:left="34"/>
              <w:rPr>
                <w:sz w:val="16"/>
              </w:rPr>
            </w:pPr>
            <w:r>
              <w:rPr>
                <w:sz w:val="16"/>
              </w:rPr>
              <w:t>The Leeds SFRA is out-of </w:t>
            </w:r>
            <w:r>
              <w:rPr>
                <w:spacing w:val="-7"/>
                <w:sz w:val="16"/>
              </w:rPr>
              <w:t>–date </w:t>
            </w:r>
            <w:r>
              <w:rPr>
                <w:sz w:val="16"/>
              </w:rPr>
              <w:t>now and needs to be updated. The data for the zone 3aii flood risk layer is nolonger reliable</w:t>
            </w:r>
            <w:r>
              <w:rPr>
                <w:spacing w:val="-5"/>
                <w:sz w:val="16"/>
              </w:rPr>
              <w:t> </w:t>
            </w:r>
            <w:r>
              <w:rPr>
                <w:sz w:val="16"/>
              </w:rPr>
              <w:t>and</w:t>
            </w:r>
            <w:r>
              <w:rPr>
                <w:spacing w:val="-5"/>
                <w:sz w:val="16"/>
              </w:rPr>
              <w:t> </w:t>
            </w:r>
            <w:r>
              <w:rPr>
                <w:sz w:val="16"/>
              </w:rPr>
              <w:t>there</w:t>
            </w:r>
            <w:r>
              <w:rPr>
                <w:spacing w:val="-5"/>
                <w:sz w:val="16"/>
              </w:rPr>
              <w:t> </w:t>
            </w:r>
            <w:r>
              <w:rPr>
                <w:sz w:val="16"/>
              </w:rPr>
              <w:t>are</w:t>
            </w:r>
            <w:r>
              <w:rPr>
                <w:spacing w:val="-5"/>
                <w:sz w:val="16"/>
              </w:rPr>
              <w:t> </w:t>
            </w:r>
            <w:r>
              <w:rPr>
                <w:sz w:val="16"/>
              </w:rPr>
              <w:t>significant</w:t>
            </w:r>
            <w:r>
              <w:rPr>
                <w:spacing w:val="-5"/>
                <w:sz w:val="16"/>
              </w:rPr>
              <w:t> </w:t>
            </w:r>
            <w:r>
              <w:rPr>
                <w:sz w:val="16"/>
              </w:rPr>
              <w:t>changes</w:t>
            </w:r>
            <w:r>
              <w:rPr>
                <w:spacing w:val="-4"/>
                <w:sz w:val="16"/>
              </w:rPr>
              <w:t> </w:t>
            </w:r>
            <w:r>
              <w:rPr>
                <w:sz w:val="16"/>
              </w:rPr>
              <w:t>in</w:t>
            </w:r>
            <w:r>
              <w:rPr>
                <w:spacing w:val="-6"/>
                <w:sz w:val="16"/>
              </w:rPr>
              <w:t> </w:t>
            </w:r>
            <w:r>
              <w:rPr>
                <w:sz w:val="16"/>
              </w:rPr>
              <w:t>zones</w:t>
            </w:r>
            <w:r>
              <w:rPr>
                <w:spacing w:val="-4"/>
                <w:sz w:val="16"/>
              </w:rPr>
              <w:t> </w:t>
            </w:r>
            <w:r>
              <w:rPr>
                <w:sz w:val="16"/>
              </w:rPr>
              <w:t>2</w:t>
            </w:r>
            <w:r>
              <w:rPr>
                <w:spacing w:val="-6"/>
                <w:sz w:val="16"/>
              </w:rPr>
              <w:t> </w:t>
            </w:r>
            <w:r>
              <w:rPr>
                <w:sz w:val="16"/>
              </w:rPr>
              <w:t>and</w:t>
            </w:r>
            <w:r>
              <w:rPr>
                <w:spacing w:val="-5"/>
                <w:sz w:val="16"/>
              </w:rPr>
              <w:t> </w:t>
            </w:r>
            <w:r>
              <w:rPr>
                <w:sz w:val="16"/>
              </w:rPr>
              <w:t>3a</w:t>
            </w:r>
            <w:r>
              <w:rPr>
                <w:spacing w:val="-5"/>
                <w:sz w:val="16"/>
              </w:rPr>
              <w:t> </w:t>
            </w:r>
            <w:r>
              <w:rPr>
                <w:sz w:val="16"/>
              </w:rPr>
              <w:t>in</w:t>
            </w:r>
            <w:r>
              <w:rPr>
                <w:spacing w:val="-6"/>
                <w:sz w:val="16"/>
              </w:rPr>
              <w:t> </w:t>
            </w:r>
            <w:r>
              <w:rPr>
                <w:sz w:val="16"/>
              </w:rPr>
              <w:t>the</w:t>
            </w:r>
            <w:r>
              <w:rPr>
                <w:spacing w:val="-4"/>
                <w:sz w:val="16"/>
              </w:rPr>
              <w:t> </w:t>
            </w:r>
            <w:r>
              <w:rPr>
                <w:sz w:val="16"/>
              </w:rPr>
              <w:t>city</w:t>
            </w:r>
            <w:r>
              <w:rPr>
                <w:spacing w:val="-5"/>
                <w:sz w:val="16"/>
              </w:rPr>
              <w:t> </w:t>
            </w:r>
            <w:r>
              <w:rPr>
                <w:sz w:val="16"/>
              </w:rPr>
              <w:t>centre.</w:t>
            </w:r>
            <w:r>
              <w:rPr>
                <w:spacing w:val="-4"/>
                <w:sz w:val="16"/>
              </w:rPr>
              <w:t> </w:t>
            </w:r>
            <w:r>
              <w:rPr>
                <w:sz w:val="16"/>
              </w:rPr>
              <w:t>Only</w:t>
            </w:r>
            <w:r>
              <w:rPr>
                <w:spacing w:val="-5"/>
                <w:sz w:val="16"/>
              </w:rPr>
              <w:t> </w:t>
            </w:r>
            <w:r>
              <w:rPr>
                <w:sz w:val="16"/>
              </w:rPr>
              <w:t>the</w:t>
            </w:r>
            <w:r>
              <w:rPr>
                <w:spacing w:val="-4"/>
                <w:sz w:val="16"/>
              </w:rPr>
              <w:t> </w:t>
            </w:r>
            <w:r>
              <w:rPr>
                <w:sz w:val="16"/>
              </w:rPr>
              <w:t>zone</w:t>
            </w:r>
            <w:r>
              <w:rPr>
                <w:spacing w:val="-5"/>
                <w:sz w:val="16"/>
              </w:rPr>
              <w:t> </w:t>
            </w:r>
            <w:r>
              <w:rPr>
                <w:sz w:val="16"/>
              </w:rPr>
              <w:t>3b</w:t>
            </w:r>
            <w:r>
              <w:rPr>
                <w:spacing w:val="-5"/>
                <w:sz w:val="16"/>
              </w:rPr>
              <w:t> </w:t>
            </w:r>
            <w:r>
              <w:rPr>
                <w:sz w:val="16"/>
              </w:rPr>
              <w:t>layer</w:t>
            </w:r>
            <w:r>
              <w:rPr>
                <w:spacing w:val="-6"/>
                <w:sz w:val="16"/>
              </w:rPr>
              <w:t> </w:t>
            </w:r>
            <w:r>
              <w:rPr>
                <w:sz w:val="16"/>
              </w:rPr>
              <w:t>and</w:t>
            </w:r>
            <w:r>
              <w:rPr>
                <w:spacing w:val="-5"/>
                <w:sz w:val="16"/>
              </w:rPr>
              <w:t> </w:t>
            </w:r>
            <w:r>
              <w:rPr>
                <w:sz w:val="16"/>
              </w:rPr>
              <w:t>areas</w:t>
            </w:r>
            <w:r>
              <w:rPr>
                <w:spacing w:val="-6"/>
                <w:sz w:val="16"/>
              </w:rPr>
              <w:t> </w:t>
            </w:r>
            <w:r>
              <w:rPr>
                <w:sz w:val="16"/>
              </w:rPr>
              <w:t>of</w:t>
            </w:r>
            <w:r>
              <w:rPr>
                <w:spacing w:val="-5"/>
                <w:sz w:val="16"/>
              </w:rPr>
              <w:t> </w:t>
            </w:r>
            <w:r>
              <w:rPr>
                <w:sz w:val="16"/>
              </w:rPr>
              <w:t>rapid inundation are still correct. The SFRA update is currently being</w:t>
            </w:r>
            <w:r>
              <w:rPr>
                <w:spacing w:val="-18"/>
                <w:sz w:val="16"/>
              </w:rPr>
              <w:t> </w:t>
            </w:r>
            <w:r>
              <w:rPr>
                <w:sz w:val="16"/>
              </w:rPr>
              <w:t>scoped.</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Noted, document update being scoped</w:t>
            </w:r>
          </w:p>
        </w:tc>
      </w:tr>
      <w:tr>
        <w:trPr>
          <w:trHeight w:val="774"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ind w:left="34" w:right="83"/>
              <w:rPr>
                <w:sz w:val="16"/>
              </w:rPr>
            </w:pPr>
            <w:r>
              <w:rPr>
                <w:sz w:val="16"/>
              </w:rPr>
              <w:t>Is there any chance there could be a measure for consultation of the Peace and Emergency Planning Team on evacuation</w:t>
            </w:r>
            <w:r>
              <w:rPr>
                <w:spacing w:val="-9"/>
                <w:sz w:val="16"/>
              </w:rPr>
              <w:t> </w:t>
            </w:r>
            <w:r>
              <w:rPr>
                <w:sz w:val="16"/>
              </w:rPr>
              <w:t>plans</w:t>
            </w:r>
            <w:r>
              <w:rPr>
                <w:spacing w:val="-8"/>
                <w:sz w:val="16"/>
              </w:rPr>
              <w:t> </w:t>
            </w:r>
            <w:r>
              <w:rPr>
                <w:sz w:val="16"/>
              </w:rPr>
              <w:t>in</w:t>
            </w:r>
            <w:r>
              <w:rPr>
                <w:spacing w:val="-8"/>
                <w:sz w:val="16"/>
              </w:rPr>
              <w:t> </w:t>
            </w:r>
            <w:r>
              <w:rPr>
                <w:sz w:val="16"/>
              </w:rPr>
              <w:t>planning</w:t>
            </w:r>
            <w:r>
              <w:rPr>
                <w:spacing w:val="-8"/>
                <w:sz w:val="16"/>
              </w:rPr>
              <w:t> </w:t>
            </w:r>
            <w:r>
              <w:rPr>
                <w:sz w:val="16"/>
              </w:rPr>
              <w:t>applications?</w:t>
            </w:r>
            <w:r>
              <w:rPr>
                <w:spacing w:val="-8"/>
                <w:sz w:val="16"/>
              </w:rPr>
              <w:t> </w:t>
            </w:r>
            <w:r>
              <w:rPr>
                <w:sz w:val="16"/>
              </w:rPr>
              <w:t>We</w:t>
            </w:r>
            <w:r>
              <w:rPr>
                <w:spacing w:val="-8"/>
                <w:sz w:val="16"/>
              </w:rPr>
              <w:t> </w:t>
            </w:r>
            <w:r>
              <w:rPr>
                <w:sz w:val="16"/>
              </w:rPr>
              <w:t>don’t</w:t>
            </w:r>
            <w:r>
              <w:rPr>
                <w:spacing w:val="-7"/>
                <w:sz w:val="16"/>
              </w:rPr>
              <w:t> </w:t>
            </w:r>
            <w:r>
              <w:rPr>
                <w:sz w:val="16"/>
              </w:rPr>
              <w:t>currently</w:t>
            </w:r>
            <w:r>
              <w:rPr>
                <w:spacing w:val="-7"/>
                <w:sz w:val="16"/>
              </w:rPr>
              <w:t> </w:t>
            </w:r>
            <w:r>
              <w:rPr>
                <w:sz w:val="16"/>
              </w:rPr>
              <w:t>do</w:t>
            </w:r>
            <w:r>
              <w:rPr>
                <w:spacing w:val="-8"/>
                <w:sz w:val="16"/>
              </w:rPr>
              <w:t> </w:t>
            </w:r>
            <w:r>
              <w:rPr>
                <w:sz w:val="16"/>
              </w:rPr>
              <w:t>this</w:t>
            </w:r>
            <w:r>
              <w:rPr>
                <w:spacing w:val="-8"/>
                <w:sz w:val="16"/>
              </w:rPr>
              <w:t> </w:t>
            </w:r>
            <w:r>
              <w:rPr>
                <w:sz w:val="16"/>
              </w:rPr>
              <w:t>but</w:t>
            </w:r>
            <w:r>
              <w:rPr>
                <w:spacing w:val="-8"/>
                <w:sz w:val="16"/>
              </w:rPr>
              <w:t> </w:t>
            </w:r>
            <w:r>
              <w:rPr>
                <w:sz w:val="16"/>
              </w:rPr>
              <w:t>as</w:t>
            </w:r>
            <w:r>
              <w:rPr>
                <w:spacing w:val="-8"/>
                <w:sz w:val="16"/>
              </w:rPr>
              <w:t> </w:t>
            </w:r>
            <w:r>
              <w:rPr>
                <w:sz w:val="16"/>
              </w:rPr>
              <w:t>a</w:t>
            </w:r>
            <w:r>
              <w:rPr>
                <w:spacing w:val="-8"/>
                <w:sz w:val="16"/>
              </w:rPr>
              <w:t> </w:t>
            </w:r>
            <w:r>
              <w:rPr>
                <w:sz w:val="16"/>
              </w:rPr>
              <w:t>long</w:t>
            </w:r>
            <w:r>
              <w:rPr>
                <w:spacing w:val="-8"/>
                <w:sz w:val="16"/>
              </w:rPr>
              <w:t> </w:t>
            </w:r>
            <w:r>
              <w:rPr>
                <w:sz w:val="16"/>
              </w:rPr>
              <w:t>term</w:t>
            </w:r>
            <w:r>
              <w:rPr>
                <w:spacing w:val="-8"/>
                <w:sz w:val="16"/>
              </w:rPr>
              <w:t> </w:t>
            </w:r>
            <w:r>
              <w:rPr>
                <w:sz w:val="16"/>
              </w:rPr>
              <w:t>aspiration</w:t>
            </w:r>
            <w:r>
              <w:rPr>
                <w:spacing w:val="-8"/>
                <w:sz w:val="16"/>
              </w:rPr>
              <w:t> </w:t>
            </w:r>
            <w:r>
              <w:rPr>
                <w:sz w:val="16"/>
              </w:rPr>
              <w:t>it</w:t>
            </w:r>
            <w:r>
              <w:rPr>
                <w:spacing w:val="-8"/>
                <w:sz w:val="16"/>
              </w:rPr>
              <w:t> </w:t>
            </w:r>
            <w:r>
              <w:rPr>
                <w:sz w:val="16"/>
              </w:rPr>
              <w:t>is</w:t>
            </w:r>
            <w:r>
              <w:rPr>
                <w:spacing w:val="-8"/>
                <w:sz w:val="16"/>
              </w:rPr>
              <w:t> </w:t>
            </w:r>
            <w:r>
              <w:rPr>
                <w:sz w:val="16"/>
              </w:rPr>
              <w:t>worthy</w:t>
            </w:r>
            <w:r>
              <w:rPr>
                <w:spacing w:val="-8"/>
                <w:sz w:val="16"/>
              </w:rPr>
              <w:t> </w:t>
            </w:r>
            <w:r>
              <w:rPr>
                <w:sz w:val="16"/>
              </w:rPr>
              <w:t>of</w:t>
            </w:r>
            <w:r>
              <w:rPr>
                <w:spacing w:val="-8"/>
                <w:sz w:val="16"/>
              </w:rPr>
              <w:t> </w:t>
            </w:r>
            <w:r>
              <w:rPr>
                <w:sz w:val="16"/>
              </w:rPr>
              <w:t>inclusion. It</w:t>
            </w:r>
            <w:r>
              <w:rPr>
                <w:spacing w:val="-8"/>
                <w:sz w:val="16"/>
              </w:rPr>
              <w:t> </w:t>
            </w:r>
            <w:r>
              <w:rPr>
                <w:sz w:val="16"/>
              </w:rPr>
              <w:t>need</w:t>
            </w:r>
            <w:r>
              <w:rPr>
                <w:spacing w:val="-8"/>
                <w:sz w:val="16"/>
              </w:rPr>
              <w:t> </w:t>
            </w:r>
            <w:r>
              <w:rPr>
                <w:sz w:val="16"/>
              </w:rPr>
              <w:t>not</w:t>
            </w:r>
            <w:r>
              <w:rPr>
                <w:spacing w:val="-8"/>
                <w:sz w:val="16"/>
              </w:rPr>
              <w:t> </w:t>
            </w:r>
            <w:r>
              <w:rPr>
                <w:sz w:val="16"/>
              </w:rPr>
              <w:t>be</w:t>
            </w:r>
            <w:r>
              <w:rPr>
                <w:spacing w:val="-8"/>
                <w:sz w:val="16"/>
              </w:rPr>
              <w:t> </w:t>
            </w:r>
            <w:r>
              <w:rPr>
                <w:sz w:val="16"/>
              </w:rPr>
              <w:t>for</w:t>
            </w:r>
            <w:r>
              <w:rPr>
                <w:spacing w:val="-7"/>
                <w:sz w:val="16"/>
              </w:rPr>
              <w:t> </w:t>
            </w:r>
            <w:r>
              <w:rPr>
                <w:sz w:val="16"/>
              </w:rPr>
              <w:t>every</w:t>
            </w:r>
            <w:r>
              <w:rPr>
                <w:spacing w:val="-8"/>
                <w:sz w:val="16"/>
              </w:rPr>
              <w:t> </w:t>
            </w:r>
            <w:r>
              <w:rPr>
                <w:sz w:val="16"/>
              </w:rPr>
              <w:t>application</w:t>
            </w:r>
            <w:r>
              <w:rPr>
                <w:spacing w:val="-8"/>
                <w:sz w:val="16"/>
              </w:rPr>
              <w:t> </w:t>
            </w:r>
            <w:r>
              <w:rPr>
                <w:sz w:val="16"/>
              </w:rPr>
              <w:t>but</w:t>
            </w:r>
            <w:r>
              <w:rPr>
                <w:spacing w:val="-8"/>
                <w:sz w:val="16"/>
              </w:rPr>
              <w:t> </w:t>
            </w:r>
            <w:r>
              <w:rPr>
                <w:sz w:val="16"/>
              </w:rPr>
              <w:t>occasionally</w:t>
            </w:r>
            <w:r>
              <w:rPr>
                <w:spacing w:val="-8"/>
                <w:sz w:val="16"/>
              </w:rPr>
              <w:t> </w:t>
            </w:r>
            <w:r>
              <w:rPr>
                <w:sz w:val="16"/>
              </w:rPr>
              <w:t>we</w:t>
            </w:r>
            <w:r>
              <w:rPr>
                <w:spacing w:val="-8"/>
                <w:sz w:val="16"/>
              </w:rPr>
              <w:t> </w:t>
            </w:r>
            <w:r>
              <w:rPr>
                <w:sz w:val="16"/>
              </w:rPr>
              <w:t>get</w:t>
            </w:r>
            <w:r>
              <w:rPr>
                <w:spacing w:val="-8"/>
                <w:sz w:val="16"/>
              </w:rPr>
              <w:t> </w:t>
            </w:r>
            <w:r>
              <w:rPr>
                <w:sz w:val="16"/>
              </w:rPr>
              <w:t>applications</w:t>
            </w:r>
            <w:r>
              <w:rPr>
                <w:spacing w:val="-8"/>
                <w:sz w:val="16"/>
              </w:rPr>
              <w:t> </w:t>
            </w:r>
            <w:r>
              <w:rPr>
                <w:sz w:val="16"/>
              </w:rPr>
              <w:t>where</w:t>
            </w:r>
            <w:r>
              <w:rPr>
                <w:spacing w:val="-8"/>
                <w:sz w:val="16"/>
              </w:rPr>
              <w:t> </w:t>
            </w:r>
            <w:r>
              <w:rPr>
                <w:sz w:val="16"/>
              </w:rPr>
              <w:t>the</w:t>
            </w:r>
            <w:r>
              <w:rPr>
                <w:spacing w:val="-7"/>
                <w:sz w:val="16"/>
              </w:rPr>
              <w:t> </w:t>
            </w:r>
            <w:r>
              <w:rPr>
                <w:sz w:val="16"/>
              </w:rPr>
              <w:t>evacuation</w:t>
            </w:r>
            <w:r>
              <w:rPr>
                <w:spacing w:val="-8"/>
                <w:sz w:val="16"/>
              </w:rPr>
              <w:t> </w:t>
            </w:r>
            <w:r>
              <w:rPr>
                <w:sz w:val="16"/>
              </w:rPr>
              <w:t>plan</w:t>
            </w:r>
            <w:r>
              <w:rPr>
                <w:spacing w:val="-8"/>
                <w:sz w:val="16"/>
              </w:rPr>
              <w:t> </w:t>
            </w:r>
            <w:r>
              <w:rPr>
                <w:sz w:val="16"/>
              </w:rPr>
              <w:t>is</w:t>
            </w:r>
            <w:r>
              <w:rPr>
                <w:spacing w:val="-9"/>
                <w:sz w:val="16"/>
              </w:rPr>
              <w:t> </w:t>
            </w:r>
            <w:r>
              <w:rPr>
                <w:sz w:val="16"/>
              </w:rPr>
              <w:t>an</w:t>
            </w:r>
            <w:r>
              <w:rPr>
                <w:spacing w:val="-8"/>
                <w:sz w:val="16"/>
              </w:rPr>
              <w:t> </w:t>
            </w:r>
            <w:r>
              <w:rPr>
                <w:sz w:val="16"/>
              </w:rPr>
              <w:t>important</w:t>
            </w:r>
            <w:r>
              <w:rPr>
                <w:spacing w:val="-8"/>
                <w:sz w:val="16"/>
              </w:rPr>
              <w:t> </w:t>
            </w:r>
            <w:r>
              <w:rPr>
                <w:sz w:val="16"/>
              </w:rPr>
              <w:t>part</w:t>
            </w:r>
            <w:r>
              <w:rPr>
                <w:spacing w:val="-8"/>
                <w:sz w:val="16"/>
              </w:rPr>
              <w:t> </w:t>
            </w:r>
            <w:r>
              <w:rPr>
                <w:sz w:val="16"/>
              </w:rPr>
              <w:t>of</w:t>
            </w:r>
          </w:p>
          <w:p>
            <w:pPr>
              <w:pStyle w:val="TableParagraph"/>
              <w:spacing w:line="172" w:lineRule="exact"/>
              <w:ind w:left="34"/>
              <w:rPr>
                <w:sz w:val="16"/>
              </w:rPr>
            </w:pPr>
            <w:r>
              <w:rPr>
                <w:sz w:val="16"/>
              </w:rPr>
              <w:t>the FRA and there is no one to check it.</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Noted, to be reviewed for future measures</w:t>
            </w:r>
          </w:p>
        </w:tc>
      </w:tr>
    </w:tbl>
    <w:p>
      <w:pPr>
        <w:spacing w:after="0" w:line="181" w:lineRule="exact"/>
        <w:rPr>
          <w:sz w:val="16"/>
        </w:rPr>
        <w:sectPr>
          <w:footerReference w:type="even" r:id="rId130"/>
          <w:pgSz w:w="16840" w:h="11910" w:orient="landscape"/>
          <w:pgMar w:footer="0" w:header="0" w:top="780" w:bottom="280" w:left="220" w:right="240"/>
        </w:sectPr>
      </w:pPr>
    </w:p>
    <w:tbl>
      <w:tblPr>
        <w:tblW w:w="0" w:type="auto"/>
        <w:jc w:val="left"/>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09"/>
        <w:gridCol w:w="8638"/>
        <w:gridCol w:w="4572"/>
      </w:tblGrid>
      <w:tr>
        <w:trPr>
          <w:trHeight w:val="394" w:hRule="atLeast"/>
        </w:trPr>
        <w:tc>
          <w:tcPr>
            <w:tcW w:w="16119" w:type="dxa"/>
            <w:gridSpan w:val="3"/>
            <w:shd w:val="clear" w:color="auto" w:fill="F9423A"/>
          </w:tcPr>
          <w:p>
            <w:pPr>
              <w:pStyle w:val="TableParagraph"/>
              <w:spacing w:before="62"/>
              <w:ind w:left="36"/>
              <w:rPr>
                <w:b/>
                <w:sz w:val="23"/>
              </w:rPr>
            </w:pPr>
            <w:r>
              <w:rPr>
                <w:b/>
                <w:color w:val="FFFFFF"/>
                <w:w w:val="105"/>
                <w:sz w:val="23"/>
              </w:rPr>
              <w:t>Appendix F - Responses of consultees</w:t>
            </w:r>
          </w:p>
        </w:tc>
      </w:tr>
      <w:tr>
        <w:trPr>
          <w:trHeight w:val="206" w:hRule="atLeast"/>
        </w:trPr>
        <w:tc>
          <w:tcPr>
            <w:tcW w:w="2909" w:type="dxa"/>
            <w:tcBorders>
              <w:left w:val="single" w:sz="6" w:space="0" w:color="000000"/>
              <w:bottom w:val="single" w:sz="6" w:space="0" w:color="000000"/>
              <w:right w:val="single" w:sz="6" w:space="0" w:color="000000"/>
            </w:tcBorders>
          </w:tcPr>
          <w:p>
            <w:pPr>
              <w:pStyle w:val="TableParagraph"/>
              <w:spacing w:line="187" w:lineRule="exact"/>
              <w:ind w:left="36"/>
              <w:rPr>
                <w:b/>
                <w:sz w:val="18"/>
              </w:rPr>
            </w:pPr>
            <w:r>
              <w:rPr>
                <w:b/>
                <w:w w:val="105"/>
                <w:sz w:val="18"/>
              </w:rPr>
              <w:t>Consultee</w:t>
            </w:r>
          </w:p>
        </w:tc>
        <w:tc>
          <w:tcPr>
            <w:tcW w:w="8638" w:type="dxa"/>
            <w:tcBorders>
              <w:left w:val="single" w:sz="6" w:space="0" w:color="000000"/>
              <w:bottom w:val="single" w:sz="6" w:space="0" w:color="000000"/>
              <w:right w:val="single" w:sz="6" w:space="0" w:color="000000"/>
            </w:tcBorders>
          </w:tcPr>
          <w:p>
            <w:pPr>
              <w:pStyle w:val="TableParagraph"/>
              <w:spacing w:line="187" w:lineRule="exact"/>
              <w:ind w:left="36"/>
              <w:rPr>
                <w:b/>
                <w:sz w:val="18"/>
              </w:rPr>
            </w:pPr>
            <w:r>
              <w:rPr>
                <w:b/>
                <w:w w:val="105"/>
                <w:sz w:val="18"/>
              </w:rPr>
              <w:t>Consultee Response</w:t>
            </w:r>
          </w:p>
        </w:tc>
        <w:tc>
          <w:tcPr>
            <w:tcW w:w="4572" w:type="dxa"/>
            <w:tcBorders>
              <w:left w:val="single" w:sz="6" w:space="0" w:color="000000"/>
              <w:bottom w:val="single" w:sz="6" w:space="0" w:color="000000"/>
              <w:right w:val="single" w:sz="6" w:space="0" w:color="000000"/>
            </w:tcBorders>
          </w:tcPr>
          <w:p>
            <w:pPr>
              <w:pStyle w:val="TableParagraph"/>
              <w:spacing w:line="187" w:lineRule="exact"/>
              <w:ind w:left="36"/>
              <w:rPr>
                <w:b/>
                <w:sz w:val="18"/>
              </w:rPr>
            </w:pPr>
            <w:r>
              <w:rPr>
                <w:b/>
                <w:w w:val="105"/>
                <w:sz w:val="18"/>
              </w:rPr>
              <w:t>LCC Flood Risk Management Response</w:t>
            </w:r>
          </w:p>
        </w:tc>
      </w:tr>
      <w:tr>
        <w:trPr>
          <w:trHeight w:val="1657" w:hRule="atLeast"/>
        </w:trPr>
        <w:tc>
          <w:tcPr>
            <w:tcW w:w="290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66" w:lineRule="auto" w:before="2"/>
              <w:ind w:left="34"/>
              <w:rPr>
                <w:b/>
                <w:sz w:val="16"/>
              </w:rPr>
            </w:pPr>
            <w:r>
              <w:rPr>
                <w:b/>
                <w:sz w:val="16"/>
              </w:rPr>
              <w:t>Environment Agency - Partnerships and Strategic Overview</w:t>
            </w: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Section 1: Legislative context</w:t>
            </w:r>
          </w:p>
          <w:p>
            <w:pPr>
              <w:pStyle w:val="TableParagraph"/>
              <w:spacing w:before="10"/>
              <w:ind w:left="34"/>
              <w:rPr>
                <w:sz w:val="16"/>
              </w:rPr>
            </w:pPr>
            <w:r>
              <w:rPr>
                <w:sz w:val="16"/>
              </w:rPr>
              <w:t>What about the DEFRA’s Surface Water Management Action Plan?</w:t>
            </w:r>
          </w:p>
          <w:p>
            <w:pPr>
              <w:pStyle w:val="TableParagraph"/>
              <w:spacing w:before="9"/>
              <w:rPr>
                <w:rFonts w:ascii="Calibri"/>
                <w:sz w:val="16"/>
              </w:rPr>
            </w:pPr>
          </w:p>
          <w:p>
            <w:pPr>
              <w:pStyle w:val="TableParagraph"/>
              <w:spacing w:before="1"/>
              <w:ind w:left="34"/>
              <w:rPr>
                <w:sz w:val="16"/>
              </w:rPr>
            </w:pPr>
            <w:r>
              <w:rPr>
                <w:sz w:val="16"/>
              </w:rPr>
              <w:t>Should there be something in here about regional policy e.g.</w:t>
            </w:r>
          </w:p>
          <w:p>
            <w:pPr>
              <w:pStyle w:val="TableParagraph"/>
              <w:spacing w:line="254" w:lineRule="auto" w:before="10"/>
              <w:ind w:left="34" w:right="263"/>
              <w:rPr>
                <w:sz w:val="16"/>
              </w:rPr>
            </w:pPr>
            <w:r>
              <w:rPr>
                <w:sz w:val="16"/>
              </w:rPr>
              <w:t>□Leeds City Region Strategic Economic Plan has a headline initiative around infrastructure and flood risk (Leeds FAS phase 1 received Local Growth Funding from WYCA, Wyke Beck is about to and Leeds FAS phase 2 is also likely to)</w:t>
            </w:r>
          </w:p>
          <w:p>
            <w:pPr>
              <w:pStyle w:val="TableParagraph"/>
              <w:spacing w:line="183" w:lineRule="exact"/>
              <w:ind w:left="34"/>
              <w:rPr>
                <w:sz w:val="16"/>
              </w:rPr>
            </w:pPr>
            <w:r>
              <w:rPr>
                <w:sz w:val="16"/>
              </w:rPr>
              <w:t>□The Leeds City Region Flood Review Report (December 2016)</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Noted, to be reviewed for next update</w:t>
            </w:r>
          </w:p>
        </w:tc>
      </w:tr>
      <w:tr>
        <w:trPr>
          <w:trHeight w:val="577"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Section 2.5.1</w:t>
            </w:r>
          </w:p>
          <w:p>
            <w:pPr>
              <w:pStyle w:val="TableParagraph"/>
              <w:spacing w:line="190" w:lineRule="atLeast" w:before="4"/>
              <w:ind w:left="34"/>
              <w:rPr>
                <w:sz w:val="16"/>
              </w:rPr>
            </w:pPr>
            <w:r>
              <w:rPr>
                <w:sz w:val="16"/>
              </w:rPr>
              <w:t>It</w:t>
            </w:r>
            <w:r>
              <w:rPr>
                <w:spacing w:val="-7"/>
                <w:sz w:val="16"/>
              </w:rPr>
              <w:t> </w:t>
            </w:r>
            <w:r>
              <w:rPr>
                <w:sz w:val="16"/>
              </w:rPr>
              <w:t>seems</w:t>
            </w:r>
            <w:r>
              <w:rPr>
                <w:spacing w:val="-7"/>
                <w:sz w:val="16"/>
              </w:rPr>
              <w:t> </w:t>
            </w:r>
            <w:r>
              <w:rPr>
                <w:sz w:val="16"/>
              </w:rPr>
              <w:t>to</w:t>
            </w:r>
            <w:r>
              <w:rPr>
                <w:spacing w:val="-7"/>
                <w:sz w:val="16"/>
              </w:rPr>
              <w:t> </w:t>
            </w:r>
            <w:r>
              <w:rPr>
                <w:sz w:val="16"/>
              </w:rPr>
              <w:t>be</w:t>
            </w:r>
            <w:r>
              <w:rPr>
                <w:spacing w:val="-7"/>
                <w:sz w:val="16"/>
              </w:rPr>
              <w:t> </w:t>
            </w:r>
            <w:r>
              <w:rPr>
                <w:sz w:val="16"/>
              </w:rPr>
              <w:t>missing</w:t>
            </w:r>
            <w:r>
              <w:rPr>
                <w:spacing w:val="-7"/>
                <w:sz w:val="16"/>
              </w:rPr>
              <w:t> </w:t>
            </w:r>
            <w:r>
              <w:rPr>
                <w:sz w:val="16"/>
              </w:rPr>
              <w:t>properties</w:t>
            </w:r>
            <w:r>
              <w:rPr>
                <w:spacing w:val="-7"/>
                <w:sz w:val="16"/>
              </w:rPr>
              <w:t> </w:t>
            </w:r>
            <w:r>
              <w:rPr>
                <w:sz w:val="16"/>
              </w:rPr>
              <w:t>for</w:t>
            </w:r>
            <w:r>
              <w:rPr>
                <w:spacing w:val="-7"/>
                <w:sz w:val="16"/>
              </w:rPr>
              <w:t> </w:t>
            </w:r>
            <w:r>
              <w:rPr>
                <w:sz w:val="16"/>
              </w:rPr>
              <w:t>the</w:t>
            </w:r>
            <w:r>
              <w:rPr>
                <w:spacing w:val="-7"/>
                <w:sz w:val="16"/>
              </w:rPr>
              <w:t> </w:t>
            </w:r>
            <w:r>
              <w:rPr>
                <w:sz w:val="16"/>
              </w:rPr>
              <w:t>Hawthorne</w:t>
            </w:r>
            <w:r>
              <w:rPr>
                <w:spacing w:val="-7"/>
                <w:sz w:val="16"/>
              </w:rPr>
              <w:t> </w:t>
            </w:r>
            <w:r>
              <w:rPr>
                <w:sz w:val="16"/>
              </w:rPr>
              <w:t>Terrace</w:t>
            </w:r>
            <w:r>
              <w:rPr>
                <w:spacing w:val="-7"/>
                <w:sz w:val="16"/>
              </w:rPr>
              <w:t> </w:t>
            </w:r>
            <w:r>
              <w:rPr>
                <w:sz w:val="16"/>
              </w:rPr>
              <w:t>scheme</w:t>
            </w:r>
            <w:r>
              <w:rPr>
                <w:spacing w:val="-7"/>
                <w:sz w:val="16"/>
              </w:rPr>
              <w:t> </w:t>
            </w:r>
            <w:r>
              <w:rPr>
                <w:sz w:val="16"/>
              </w:rPr>
              <w:t>that</w:t>
            </w:r>
            <w:r>
              <w:rPr>
                <w:spacing w:val="-7"/>
                <w:sz w:val="16"/>
              </w:rPr>
              <w:t> </w:t>
            </w:r>
            <w:r>
              <w:rPr>
                <w:sz w:val="16"/>
              </w:rPr>
              <w:t>protected</w:t>
            </w:r>
            <w:r>
              <w:rPr>
                <w:spacing w:val="-7"/>
                <w:sz w:val="16"/>
              </w:rPr>
              <w:t> </w:t>
            </w:r>
            <w:r>
              <w:rPr>
                <w:sz w:val="16"/>
              </w:rPr>
              <w:t>10</w:t>
            </w:r>
            <w:r>
              <w:rPr>
                <w:spacing w:val="-8"/>
                <w:sz w:val="16"/>
              </w:rPr>
              <w:t> </w:t>
            </w:r>
            <w:r>
              <w:rPr>
                <w:sz w:val="16"/>
              </w:rPr>
              <w:t>properties</w:t>
            </w:r>
            <w:r>
              <w:rPr>
                <w:spacing w:val="-7"/>
                <w:sz w:val="16"/>
              </w:rPr>
              <w:t> </w:t>
            </w:r>
            <w:r>
              <w:rPr>
                <w:sz w:val="16"/>
              </w:rPr>
              <w:t>in</w:t>
            </w:r>
            <w:r>
              <w:rPr>
                <w:spacing w:val="-8"/>
                <w:sz w:val="16"/>
              </w:rPr>
              <w:t> </w:t>
            </w:r>
            <w:r>
              <w:rPr>
                <w:sz w:val="16"/>
              </w:rPr>
              <w:t>15/16</w:t>
            </w:r>
            <w:r>
              <w:rPr>
                <w:spacing w:val="-7"/>
                <w:sz w:val="16"/>
              </w:rPr>
              <w:t> </w:t>
            </w:r>
            <w:r>
              <w:rPr>
                <w:sz w:val="16"/>
              </w:rPr>
              <w:t>(is</w:t>
            </w:r>
            <w:r>
              <w:rPr>
                <w:spacing w:val="-7"/>
                <w:sz w:val="16"/>
              </w:rPr>
              <w:t> </w:t>
            </w:r>
            <w:r>
              <w:rPr>
                <w:sz w:val="16"/>
              </w:rPr>
              <w:t>this</w:t>
            </w:r>
            <w:r>
              <w:rPr>
                <w:spacing w:val="-7"/>
                <w:sz w:val="16"/>
              </w:rPr>
              <w:t> </w:t>
            </w:r>
            <w:r>
              <w:rPr>
                <w:sz w:val="16"/>
              </w:rPr>
              <w:t>because further work is</w:t>
            </w:r>
            <w:r>
              <w:rPr>
                <w:spacing w:val="-4"/>
                <w:sz w:val="16"/>
              </w:rPr>
              <w:t> </w:t>
            </w:r>
            <w:r>
              <w:rPr>
                <w:sz w:val="16"/>
              </w:rPr>
              <w:t>needed?)</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Table 1 amended to include this protected properties</w:t>
            </w:r>
          </w:p>
        </w:tc>
      </w:tr>
      <w:tr>
        <w:trPr>
          <w:trHeight w:val="577"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Section 2.5.2</w:t>
            </w:r>
          </w:p>
          <w:p>
            <w:pPr>
              <w:pStyle w:val="TableParagraph"/>
              <w:spacing w:before="10"/>
              <w:ind w:left="34"/>
              <w:rPr>
                <w:sz w:val="16"/>
              </w:rPr>
            </w:pPr>
            <w:r>
              <w:rPr>
                <w:sz w:val="16"/>
              </w:rPr>
              <w:t>There is nothing in Micklefield SW flooding –there are 7 properties in the EA capital programme</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ind w:left="33"/>
              <w:rPr>
                <w:sz w:val="16"/>
              </w:rPr>
            </w:pPr>
            <w:r>
              <w:rPr>
                <w:sz w:val="16"/>
              </w:rPr>
              <w:t>This area is being investigated following flooding in December 2015, work to this area is not currently part of the LCC</w:t>
            </w:r>
          </w:p>
          <w:p>
            <w:pPr>
              <w:pStyle w:val="TableParagraph"/>
              <w:spacing w:line="171" w:lineRule="exact"/>
              <w:ind w:left="33"/>
              <w:rPr>
                <w:sz w:val="16"/>
              </w:rPr>
            </w:pPr>
            <w:r>
              <w:rPr>
                <w:sz w:val="16"/>
              </w:rPr>
              <w:t>programme of work</w:t>
            </w:r>
          </w:p>
        </w:tc>
      </w:tr>
      <w:tr>
        <w:trPr>
          <w:trHeight w:val="3056"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Section 4.3: Funding</w:t>
            </w:r>
          </w:p>
          <w:p>
            <w:pPr>
              <w:pStyle w:val="TableParagraph"/>
              <w:spacing w:line="254" w:lineRule="auto" w:before="10"/>
              <w:ind w:left="34" w:right="121"/>
              <w:rPr>
                <w:sz w:val="16"/>
              </w:rPr>
            </w:pPr>
            <w:r>
              <w:rPr>
                <w:sz w:val="16"/>
              </w:rPr>
              <w:t>It mentions a figure of £595m of GiA but for when and over what period? Assume this is Yorkshire for the 6 year programme?</w:t>
            </w:r>
            <w:r>
              <w:rPr>
                <w:spacing w:val="-9"/>
                <w:sz w:val="16"/>
              </w:rPr>
              <w:t> </w:t>
            </w:r>
            <w:r>
              <w:rPr>
                <w:sz w:val="16"/>
              </w:rPr>
              <w:t>Could</w:t>
            </w:r>
            <w:r>
              <w:rPr>
                <w:spacing w:val="-8"/>
                <w:sz w:val="16"/>
              </w:rPr>
              <w:t> </w:t>
            </w:r>
            <w:r>
              <w:rPr>
                <w:sz w:val="16"/>
              </w:rPr>
              <w:t>just</w:t>
            </w:r>
            <w:r>
              <w:rPr>
                <w:spacing w:val="-8"/>
                <w:sz w:val="16"/>
              </w:rPr>
              <w:t> </w:t>
            </w:r>
            <w:r>
              <w:rPr>
                <w:sz w:val="16"/>
              </w:rPr>
              <w:t>say</w:t>
            </w:r>
            <w:r>
              <w:rPr>
                <w:spacing w:val="-7"/>
                <w:sz w:val="16"/>
              </w:rPr>
              <w:t> </w:t>
            </w:r>
            <w:r>
              <w:rPr>
                <w:sz w:val="16"/>
              </w:rPr>
              <w:t>£2.6</w:t>
            </w:r>
            <w:r>
              <w:rPr>
                <w:spacing w:val="-8"/>
                <w:sz w:val="16"/>
              </w:rPr>
              <w:t> </w:t>
            </w:r>
            <w:r>
              <w:rPr>
                <w:sz w:val="16"/>
              </w:rPr>
              <w:t>billion</w:t>
            </w:r>
            <w:r>
              <w:rPr>
                <w:spacing w:val="-8"/>
                <w:sz w:val="16"/>
              </w:rPr>
              <w:t> </w:t>
            </w:r>
            <w:r>
              <w:rPr>
                <w:sz w:val="16"/>
              </w:rPr>
              <w:t>nationally</w:t>
            </w:r>
            <w:r>
              <w:rPr>
                <w:spacing w:val="-8"/>
                <w:sz w:val="16"/>
              </w:rPr>
              <w:t> </w:t>
            </w:r>
            <w:r>
              <w:rPr>
                <w:sz w:val="16"/>
              </w:rPr>
              <w:t>over</w:t>
            </w:r>
            <w:r>
              <w:rPr>
                <w:spacing w:val="-8"/>
                <w:sz w:val="16"/>
              </w:rPr>
              <w:t> </w:t>
            </w:r>
            <w:r>
              <w:rPr>
                <w:sz w:val="16"/>
              </w:rPr>
              <w:t>6</w:t>
            </w:r>
            <w:r>
              <w:rPr>
                <w:spacing w:val="-8"/>
                <w:sz w:val="16"/>
              </w:rPr>
              <w:t> </w:t>
            </w:r>
            <w:r>
              <w:rPr>
                <w:sz w:val="16"/>
              </w:rPr>
              <w:t>years?</w:t>
            </w:r>
            <w:r>
              <w:rPr>
                <w:spacing w:val="-7"/>
                <w:sz w:val="16"/>
              </w:rPr>
              <w:t> </w:t>
            </w:r>
            <w:r>
              <w:rPr>
                <w:sz w:val="16"/>
              </w:rPr>
              <w:t>Also</w:t>
            </w:r>
            <w:r>
              <w:rPr>
                <w:spacing w:val="-7"/>
                <w:sz w:val="16"/>
              </w:rPr>
              <w:t> </w:t>
            </w:r>
            <w:r>
              <w:rPr>
                <w:sz w:val="16"/>
              </w:rPr>
              <w:t>it</w:t>
            </w:r>
            <w:r>
              <w:rPr>
                <w:spacing w:val="-8"/>
                <w:sz w:val="16"/>
              </w:rPr>
              <w:t> </w:t>
            </w:r>
            <w:r>
              <w:rPr>
                <w:sz w:val="16"/>
              </w:rPr>
              <w:t>might</w:t>
            </w:r>
            <w:r>
              <w:rPr>
                <w:spacing w:val="-7"/>
                <w:sz w:val="16"/>
              </w:rPr>
              <w:t> </w:t>
            </w:r>
            <w:r>
              <w:rPr>
                <w:sz w:val="16"/>
              </w:rPr>
              <w:t>be</w:t>
            </w:r>
            <w:r>
              <w:rPr>
                <w:spacing w:val="-8"/>
                <w:sz w:val="16"/>
              </w:rPr>
              <w:t> </w:t>
            </w:r>
            <w:r>
              <w:rPr>
                <w:sz w:val="16"/>
              </w:rPr>
              <w:t>worth</w:t>
            </w:r>
            <w:r>
              <w:rPr>
                <w:spacing w:val="-8"/>
                <w:sz w:val="16"/>
              </w:rPr>
              <w:t> </w:t>
            </w:r>
            <w:r>
              <w:rPr>
                <w:sz w:val="16"/>
              </w:rPr>
              <w:t>mentioning</w:t>
            </w:r>
            <w:r>
              <w:rPr>
                <w:spacing w:val="-8"/>
                <w:sz w:val="16"/>
              </w:rPr>
              <w:t> </w:t>
            </w:r>
            <w:r>
              <w:rPr>
                <w:sz w:val="16"/>
              </w:rPr>
              <w:t>that</w:t>
            </w:r>
            <w:r>
              <w:rPr>
                <w:spacing w:val="-7"/>
                <w:sz w:val="16"/>
              </w:rPr>
              <w:t> </w:t>
            </w:r>
            <w:r>
              <w:rPr>
                <w:sz w:val="16"/>
              </w:rPr>
              <w:t>additional</w:t>
            </w:r>
            <w:r>
              <w:rPr>
                <w:spacing w:val="-8"/>
                <w:sz w:val="16"/>
              </w:rPr>
              <w:t> </w:t>
            </w:r>
            <w:r>
              <w:rPr>
                <w:sz w:val="16"/>
              </w:rPr>
              <w:t>funding is</w:t>
            </w:r>
            <w:r>
              <w:rPr>
                <w:spacing w:val="-4"/>
                <w:sz w:val="16"/>
              </w:rPr>
              <w:t> </w:t>
            </w:r>
            <w:r>
              <w:rPr>
                <w:sz w:val="16"/>
              </w:rPr>
              <w:t>available</w:t>
            </w:r>
            <w:r>
              <w:rPr>
                <w:spacing w:val="-4"/>
                <w:sz w:val="16"/>
              </w:rPr>
              <w:t> </w:t>
            </w:r>
            <w:r>
              <w:rPr>
                <w:sz w:val="16"/>
              </w:rPr>
              <w:t>for</w:t>
            </w:r>
            <w:r>
              <w:rPr>
                <w:spacing w:val="-3"/>
                <w:sz w:val="16"/>
              </w:rPr>
              <w:t> </w:t>
            </w:r>
            <w:r>
              <w:rPr>
                <w:sz w:val="16"/>
              </w:rPr>
              <w:t>environmental</w:t>
            </w:r>
            <w:r>
              <w:rPr>
                <w:spacing w:val="-4"/>
                <w:sz w:val="16"/>
              </w:rPr>
              <w:t> </w:t>
            </w:r>
            <w:r>
              <w:rPr>
                <w:sz w:val="16"/>
              </w:rPr>
              <w:t>outcomes.</w:t>
            </w:r>
            <w:r>
              <w:rPr>
                <w:spacing w:val="-4"/>
                <w:sz w:val="16"/>
              </w:rPr>
              <w:t> </w:t>
            </w:r>
            <w:r>
              <w:rPr>
                <w:sz w:val="16"/>
              </w:rPr>
              <w:t>Is</w:t>
            </w:r>
            <w:r>
              <w:rPr>
                <w:spacing w:val="-3"/>
                <w:sz w:val="16"/>
              </w:rPr>
              <w:t> </w:t>
            </w:r>
            <w:r>
              <w:rPr>
                <w:sz w:val="16"/>
              </w:rPr>
              <w:t>it</w:t>
            </w:r>
            <w:r>
              <w:rPr>
                <w:spacing w:val="-4"/>
                <w:sz w:val="16"/>
              </w:rPr>
              <w:t> </w:t>
            </w:r>
            <w:r>
              <w:rPr>
                <w:sz w:val="16"/>
              </w:rPr>
              <w:t>worth</w:t>
            </w:r>
            <w:r>
              <w:rPr>
                <w:spacing w:val="-4"/>
                <w:sz w:val="16"/>
              </w:rPr>
              <w:t> </w:t>
            </w:r>
            <w:r>
              <w:rPr>
                <w:sz w:val="16"/>
              </w:rPr>
              <w:t>eluding</w:t>
            </w:r>
            <w:r>
              <w:rPr>
                <w:spacing w:val="-3"/>
                <w:sz w:val="16"/>
              </w:rPr>
              <w:t> </w:t>
            </w:r>
            <w:r>
              <w:rPr>
                <w:sz w:val="16"/>
              </w:rPr>
              <w:t>to</w:t>
            </w:r>
            <w:r>
              <w:rPr>
                <w:spacing w:val="-3"/>
                <w:sz w:val="16"/>
              </w:rPr>
              <w:t> </w:t>
            </w:r>
            <w:r>
              <w:rPr>
                <w:sz w:val="16"/>
              </w:rPr>
              <w:t>PF</w:t>
            </w:r>
            <w:r>
              <w:rPr>
                <w:spacing w:val="-3"/>
                <w:sz w:val="16"/>
              </w:rPr>
              <w:t> </w:t>
            </w:r>
            <w:r>
              <w:rPr>
                <w:sz w:val="16"/>
              </w:rPr>
              <w:t>scores</w:t>
            </w:r>
            <w:r>
              <w:rPr>
                <w:spacing w:val="-3"/>
                <w:sz w:val="16"/>
              </w:rPr>
              <w:t> </w:t>
            </w:r>
            <w:r>
              <w:rPr>
                <w:sz w:val="16"/>
              </w:rPr>
              <w:t>and</w:t>
            </w:r>
            <w:r>
              <w:rPr>
                <w:spacing w:val="-4"/>
                <w:sz w:val="16"/>
              </w:rPr>
              <w:t> </w:t>
            </w:r>
            <w:r>
              <w:rPr>
                <w:sz w:val="16"/>
              </w:rPr>
              <w:t>set</w:t>
            </w:r>
            <w:r>
              <w:rPr>
                <w:spacing w:val="-3"/>
                <w:sz w:val="16"/>
              </w:rPr>
              <w:t> </w:t>
            </w:r>
            <w:r>
              <w:rPr>
                <w:sz w:val="16"/>
              </w:rPr>
              <w:t>payment</w:t>
            </w:r>
            <w:r>
              <w:rPr>
                <w:spacing w:val="-4"/>
                <w:sz w:val="16"/>
              </w:rPr>
              <w:t> </w:t>
            </w:r>
            <w:r>
              <w:rPr>
                <w:sz w:val="16"/>
              </w:rPr>
              <w:t>rates</w:t>
            </w:r>
            <w:r>
              <w:rPr>
                <w:spacing w:val="-3"/>
                <w:sz w:val="16"/>
              </w:rPr>
              <w:t> </w:t>
            </w:r>
            <w:r>
              <w:rPr>
                <w:sz w:val="16"/>
              </w:rPr>
              <w:t>here?</w:t>
            </w:r>
          </w:p>
          <w:p>
            <w:pPr>
              <w:pStyle w:val="TableParagraph"/>
              <w:spacing w:line="254" w:lineRule="auto"/>
              <w:ind w:left="34"/>
              <w:rPr>
                <w:sz w:val="16"/>
              </w:rPr>
            </w:pPr>
            <w:r>
              <w:rPr>
                <w:sz w:val="16"/>
              </w:rPr>
              <w:t>It</w:t>
            </w:r>
            <w:r>
              <w:rPr>
                <w:spacing w:val="-6"/>
                <w:sz w:val="16"/>
              </w:rPr>
              <w:t> </w:t>
            </w:r>
            <w:r>
              <w:rPr>
                <w:sz w:val="16"/>
              </w:rPr>
              <w:t>is</w:t>
            </w:r>
            <w:r>
              <w:rPr>
                <w:spacing w:val="-7"/>
                <w:sz w:val="16"/>
              </w:rPr>
              <w:t> </w:t>
            </w:r>
            <w:r>
              <w:rPr>
                <w:sz w:val="16"/>
              </w:rPr>
              <w:t>worth</w:t>
            </w:r>
            <w:r>
              <w:rPr>
                <w:spacing w:val="-6"/>
                <w:sz w:val="16"/>
              </w:rPr>
              <w:t> </w:t>
            </w:r>
            <w:r>
              <w:rPr>
                <w:sz w:val="16"/>
              </w:rPr>
              <w:t>noting</w:t>
            </w:r>
            <w:r>
              <w:rPr>
                <w:spacing w:val="-7"/>
                <w:sz w:val="16"/>
              </w:rPr>
              <w:t> </w:t>
            </w:r>
            <w:r>
              <w:rPr>
                <w:sz w:val="16"/>
              </w:rPr>
              <w:t>that</w:t>
            </w:r>
            <w:r>
              <w:rPr>
                <w:spacing w:val="-5"/>
                <w:sz w:val="16"/>
              </w:rPr>
              <w:t> </w:t>
            </w:r>
            <w:r>
              <w:rPr>
                <w:sz w:val="16"/>
              </w:rPr>
              <w:t>£20m</w:t>
            </w:r>
            <w:r>
              <w:rPr>
                <w:spacing w:val="-7"/>
                <w:sz w:val="16"/>
              </w:rPr>
              <w:t> </w:t>
            </w:r>
            <w:r>
              <w:rPr>
                <w:sz w:val="16"/>
              </w:rPr>
              <w:t>was</w:t>
            </w:r>
            <w:r>
              <w:rPr>
                <w:spacing w:val="-6"/>
                <w:sz w:val="16"/>
              </w:rPr>
              <w:t> </w:t>
            </w:r>
            <w:r>
              <w:rPr>
                <w:sz w:val="16"/>
              </w:rPr>
              <w:t>secured</w:t>
            </w:r>
            <w:r>
              <w:rPr>
                <w:spacing w:val="-6"/>
                <w:sz w:val="16"/>
              </w:rPr>
              <w:t> </w:t>
            </w:r>
            <w:r>
              <w:rPr>
                <w:sz w:val="16"/>
              </w:rPr>
              <w:t>in</w:t>
            </w:r>
            <w:r>
              <w:rPr>
                <w:spacing w:val="-6"/>
                <w:sz w:val="16"/>
              </w:rPr>
              <w:t> </w:t>
            </w:r>
            <w:r>
              <w:rPr>
                <w:sz w:val="16"/>
              </w:rPr>
              <w:t>the</w:t>
            </w:r>
            <w:r>
              <w:rPr>
                <w:spacing w:val="-6"/>
                <w:sz w:val="16"/>
              </w:rPr>
              <w:t> </w:t>
            </w:r>
            <w:r>
              <w:rPr>
                <w:sz w:val="16"/>
              </w:rPr>
              <w:t>last</w:t>
            </w:r>
            <w:r>
              <w:rPr>
                <w:spacing w:val="-6"/>
                <w:sz w:val="16"/>
              </w:rPr>
              <w:t> </w:t>
            </w:r>
            <w:r>
              <w:rPr>
                <w:sz w:val="16"/>
              </w:rPr>
              <w:t>Local</w:t>
            </w:r>
            <w:r>
              <w:rPr>
                <w:spacing w:val="-7"/>
                <w:sz w:val="16"/>
              </w:rPr>
              <w:t> </w:t>
            </w:r>
            <w:r>
              <w:rPr>
                <w:sz w:val="16"/>
              </w:rPr>
              <w:t>Growth</w:t>
            </w:r>
            <w:r>
              <w:rPr>
                <w:spacing w:val="-5"/>
                <w:sz w:val="16"/>
              </w:rPr>
              <w:t> </w:t>
            </w:r>
            <w:r>
              <w:rPr>
                <w:sz w:val="16"/>
              </w:rPr>
              <w:t>Fund</w:t>
            </w:r>
            <w:r>
              <w:rPr>
                <w:spacing w:val="-6"/>
                <w:sz w:val="16"/>
              </w:rPr>
              <w:t> </w:t>
            </w:r>
            <w:r>
              <w:rPr>
                <w:sz w:val="16"/>
              </w:rPr>
              <w:t>bid</w:t>
            </w:r>
            <w:r>
              <w:rPr>
                <w:spacing w:val="-6"/>
                <w:sz w:val="16"/>
              </w:rPr>
              <w:t> </w:t>
            </w:r>
            <w:r>
              <w:rPr>
                <w:sz w:val="16"/>
              </w:rPr>
              <w:t>for</w:t>
            </w:r>
            <w:r>
              <w:rPr>
                <w:spacing w:val="-6"/>
                <w:sz w:val="16"/>
              </w:rPr>
              <w:t> </w:t>
            </w:r>
            <w:r>
              <w:rPr>
                <w:sz w:val="16"/>
              </w:rPr>
              <w:t>flood</w:t>
            </w:r>
            <w:r>
              <w:rPr>
                <w:spacing w:val="-6"/>
                <w:sz w:val="16"/>
              </w:rPr>
              <w:t> </w:t>
            </w:r>
            <w:r>
              <w:rPr>
                <w:sz w:val="16"/>
              </w:rPr>
              <w:t>risk</w:t>
            </w:r>
            <w:r>
              <w:rPr>
                <w:spacing w:val="-5"/>
                <w:sz w:val="16"/>
              </w:rPr>
              <w:t> </w:t>
            </w:r>
            <w:r>
              <w:rPr>
                <w:sz w:val="16"/>
              </w:rPr>
              <w:t>projects</w:t>
            </w:r>
            <w:r>
              <w:rPr>
                <w:spacing w:val="-7"/>
                <w:sz w:val="16"/>
              </w:rPr>
              <w:t> </w:t>
            </w:r>
            <w:r>
              <w:rPr>
                <w:sz w:val="16"/>
              </w:rPr>
              <w:t>across</w:t>
            </w:r>
            <w:r>
              <w:rPr>
                <w:spacing w:val="-6"/>
                <w:sz w:val="16"/>
              </w:rPr>
              <w:t> </w:t>
            </w:r>
            <w:r>
              <w:rPr>
                <w:sz w:val="16"/>
              </w:rPr>
              <w:t>the</w:t>
            </w:r>
            <w:r>
              <w:rPr>
                <w:spacing w:val="-6"/>
                <w:sz w:val="16"/>
              </w:rPr>
              <w:t> </w:t>
            </w:r>
            <w:r>
              <w:rPr>
                <w:sz w:val="16"/>
              </w:rPr>
              <w:t>Leeds</w:t>
            </w:r>
            <w:r>
              <w:rPr>
                <w:spacing w:val="-6"/>
                <w:sz w:val="16"/>
              </w:rPr>
              <w:t> </w:t>
            </w:r>
            <w:r>
              <w:rPr>
                <w:sz w:val="16"/>
              </w:rPr>
              <w:t>City Region incl. a number of projects in Leeds (see</w:t>
            </w:r>
            <w:r>
              <w:rPr>
                <w:spacing w:val="-18"/>
                <w:sz w:val="16"/>
              </w:rPr>
              <w:t> </w:t>
            </w:r>
            <w:r>
              <w:rPr>
                <w:sz w:val="16"/>
              </w:rPr>
              <w:t>above).</w:t>
            </w:r>
          </w:p>
          <w:p>
            <w:pPr>
              <w:pStyle w:val="TableParagraph"/>
              <w:spacing w:before="8"/>
              <w:rPr>
                <w:rFonts w:ascii="Calibri"/>
                <w:sz w:val="15"/>
              </w:rPr>
            </w:pPr>
          </w:p>
          <w:p>
            <w:pPr>
              <w:pStyle w:val="TableParagraph"/>
              <w:spacing w:line="254" w:lineRule="auto"/>
              <w:ind w:left="34" w:right="-13"/>
              <w:rPr>
                <w:sz w:val="16"/>
              </w:rPr>
            </w:pPr>
            <w:r>
              <w:rPr>
                <w:sz w:val="16"/>
              </w:rPr>
              <w:t>It says FDGiA but should be called –Flood and Coastal Erosion Risk Management (FCERM) GiA (this should be changed throughout incl. in the abbreviations section)</w:t>
            </w:r>
          </w:p>
          <w:p>
            <w:pPr>
              <w:pStyle w:val="TableParagraph"/>
              <w:spacing w:before="10"/>
              <w:rPr>
                <w:rFonts w:ascii="Calibri"/>
                <w:sz w:val="15"/>
              </w:rPr>
            </w:pPr>
          </w:p>
          <w:p>
            <w:pPr>
              <w:pStyle w:val="TableParagraph"/>
              <w:ind w:left="34"/>
              <w:rPr>
                <w:sz w:val="16"/>
              </w:rPr>
            </w:pPr>
            <w:r>
              <w:rPr>
                <w:sz w:val="16"/>
              </w:rPr>
              <w:t>To</w:t>
            </w:r>
            <w:r>
              <w:rPr>
                <w:spacing w:val="-10"/>
                <w:sz w:val="16"/>
              </w:rPr>
              <w:t> </w:t>
            </w:r>
            <w:r>
              <w:rPr>
                <w:sz w:val="16"/>
              </w:rPr>
              <w:t>add:</w:t>
            </w:r>
          </w:p>
          <w:p>
            <w:pPr>
              <w:pStyle w:val="TableParagraph"/>
              <w:spacing w:line="254" w:lineRule="auto" w:before="11"/>
              <w:ind w:left="34"/>
              <w:rPr>
                <w:sz w:val="16"/>
              </w:rPr>
            </w:pPr>
            <w:r>
              <w:rPr>
                <w:spacing w:val="-3"/>
                <w:sz w:val="16"/>
              </w:rPr>
              <w:t>□Highways</w:t>
            </w:r>
            <w:r>
              <w:rPr>
                <w:spacing w:val="-4"/>
                <w:sz w:val="16"/>
              </w:rPr>
              <w:t> </w:t>
            </w:r>
            <w:r>
              <w:rPr>
                <w:sz w:val="16"/>
              </w:rPr>
              <w:t>England</w:t>
            </w:r>
            <w:r>
              <w:rPr>
                <w:spacing w:val="-3"/>
                <w:sz w:val="16"/>
              </w:rPr>
              <w:t> </w:t>
            </w:r>
            <w:r>
              <w:rPr>
                <w:sz w:val="16"/>
              </w:rPr>
              <w:t>Designated</w:t>
            </w:r>
            <w:r>
              <w:rPr>
                <w:spacing w:val="-4"/>
                <w:sz w:val="16"/>
              </w:rPr>
              <w:t> </w:t>
            </w:r>
            <w:r>
              <w:rPr>
                <w:sz w:val="16"/>
              </w:rPr>
              <w:t>Funds</w:t>
            </w:r>
            <w:r>
              <w:rPr>
                <w:spacing w:val="-2"/>
                <w:sz w:val="16"/>
              </w:rPr>
              <w:t> </w:t>
            </w:r>
            <w:r>
              <w:rPr>
                <w:sz w:val="16"/>
              </w:rPr>
              <w:t>–Environment</w:t>
            </w:r>
            <w:r>
              <w:rPr>
                <w:spacing w:val="-3"/>
                <w:sz w:val="16"/>
              </w:rPr>
              <w:t> </w:t>
            </w:r>
            <w:r>
              <w:rPr>
                <w:sz w:val="16"/>
              </w:rPr>
              <w:t>funds</w:t>
            </w:r>
            <w:r>
              <w:rPr>
                <w:spacing w:val="-3"/>
                <w:sz w:val="16"/>
              </w:rPr>
              <w:t> </w:t>
            </w:r>
            <w:r>
              <w:rPr>
                <w:sz w:val="16"/>
              </w:rPr>
              <w:t>are</w:t>
            </w:r>
            <w:r>
              <w:rPr>
                <w:spacing w:val="-3"/>
                <w:sz w:val="16"/>
              </w:rPr>
              <w:t> </w:t>
            </w:r>
            <w:r>
              <w:rPr>
                <w:sz w:val="16"/>
              </w:rPr>
              <w:t>available</w:t>
            </w:r>
            <w:r>
              <w:rPr>
                <w:spacing w:val="-4"/>
                <w:sz w:val="16"/>
              </w:rPr>
              <w:t> </w:t>
            </w:r>
            <w:r>
              <w:rPr>
                <w:sz w:val="16"/>
              </w:rPr>
              <w:t>for</w:t>
            </w:r>
            <w:r>
              <w:rPr>
                <w:spacing w:val="-3"/>
                <w:sz w:val="16"/>
              </w:rPr>
              <w:t> </w:t>
            </w:r>
            <w:r>
              <w:rPr>
                <w:sz w:val="16"/>
              </w:rPr>
              <w:t>flood</w:t>
            </w:r>
            <w:r>
              <w:rPr>
                <w:spacing w:val="-2"/>
                <w:sz w:val="16"/>
              </w:rPr>
              <w:t> </w:t>
            </w:r>
            <w:r>
              <w:rPr>
                <w:sz w:val="16"/>
              </w:rPr>
              <w:t>risk</w:t>
            </w:r>
            <w:r>
              <w:rPr>
                <w:spacing w:val="-3"/>
                <w:sz w:val="16"/>
              </w:rPr>
              <w:t> </w:t>
            </w:r>
            <w:r>
              <w:rPr>
                <w:sz w:val="16"/>
              </w:rPr>
              <w:t>projects</w:t>
            </w:r>
            <w:r>
              <w:rPr>
                <w:spacing w:val="-4"/>
                <w:sz w:val="16"/>
              </w:rPr>
              <w:t> </w:t>
            </w:r>
            <w:r>
              <w:rPr>
                <w:sz w:val="16"/>
              </w:rPr>
              <w:t>on</w:t>
            </w:r>
            <w:r>
              <w:rPr>
                <w:spacing w:val="-3"/>
                <w:sz w:val="16"/>
              </w:rPr>
              <w:t> </w:t>
            </w:r>
            <w:r>
              <w:rPr>
                <w:sz w:val="16"/>
              </w:rPr>
              <w:t>or</w:t>
            </w:r>
            <w:r>
              <w:rPr>
                <w:spacing w:val="-4"/>
                <w:sz w:val="16"/>
              </w:rPr>
              <w:t> </w:t>
            </w:r>
            <w:r>
              <w:rPr>
                <w:sz w:val="16"/>
              </w:rPr>
              <w:t>near</w:t>
            </w:r>
            <w:r>
              <w:rPr>
                <w:spacing w:val="-4"/>
                <w:sz w:val="16"/>
              </w:rPr>
              <w:t> </w:t>
            </w:r>
            <w:r>
              <w:rPr>
                <w:sz w:val="16"/>
              </w:rPr>
              <w:t>to</w:t>
            </w:r>
            <w:r>
              <w:rPr>
                <w:spacing w:val="-2"/>
                <w:sz w:val="16"/>
              </w:rPr>
              <w:t> </w:t>
            </w:r>
            <w:r>
              <w:rPr>
                <w:sz w:val="16"/>
              </w:rPr>
              <w:t>the</w:t>
            </w:r>
            <w:r>
              <w:rPr>
                <w:spacing w:val="-3"/>
                <w:sz w:val="16"/>
              </w:rPr>
              <w:t> </w:t>
            </w:r>
            <w:r>
              <w:rPr>
                <w:sz w:val="16"/>
              </w:rPr>
              <w:t>HE network</w:t>
            </w:r>
          </w:p>
          <w:p>
            <w:pPr>
              <w:pStyle w:val="TableParagraph"/>
              <w:spacing w:line="183" w:lineRule="exact"/>
              <w:ind w:left="34"/>
              <w:rPr>
                <w:sz w:val="16"/>
              </w:rPr>
            </w:pPr>
            <w:r>
              <w:rPr>
                <w:spacing w:val="-4"/>
                <w:sz w:val="16"/>
              </w:rPr>
              <w:t>□Housing </w:t>
            </w:r>
            <w:r>
              <w:rPr>
                <w:sz w:val="16"/>
              </w:rPr>
              <w:t>Infrastructure</w:t>
            </w:r>
            <w:r>
              <w:rPr>
                <w:spacing w:val="10"/>
                <w:sz w:val="16"/>
              </w:rPr>
              <w:t> </w:t>
            </w:r>
            <w:r>
              <w:rPr>
                <w:sz w:val="16"/>
              </w:rPr>
              <w:t>Fund?</w:t>
            </w:r>
          </w:p>
          <w:p>
            <w:pPr>
              <w:pStyle w:val="TableParagraph"/>
              <w:spacing w:before="10"/>
              <w:ind w:left="34"/>
              <w:rPr>
                <w:sz w:val="16"/>
              </w:rPr>
            </w:pPr>
            <w:r>
              <w:rPr>
                <w:sz w:val="16"/>
              </w:rPr>
              <w:t>□Yorkshire Water –incl.</w:t>
            </w:r>
            <w:r>
              <w:rPr>
                <w:spacing w:val="20"/>
                <w:sz w:val="16"/>
              </w:rPr>
              <w:t> </w:t>
            </w:r>
            <w:r>
              <w:rPr>
                <w:sz w:val="16"/>
              </w:rPr>
              <w:t>PR19</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FCERM GiA description updated</w:t>
            </w:r>
          </w:p>
          <w:p>
            <w:pPr>
              <w:pStyle w:val="TableParagraph"/>
              <w:spacing w:before="9"/>
              <w:rPr>
                <w:rFonts w:ascii="Calibri"/>
                <w:sz w:val="16"/>
              </w:rPr>
            </w:pPr>
          </w:p>
          <w:p>
            <w:pPr>
              <w:pStyle w:val="TableParagraph"/>
              <w:spacing w:line="254" w:lineRule="auto"/>
              <w:ind w:left="33"/>
              <w:rPr>
                <w:sz w:val="16"/>
              </w:rPr>
            </w:pPr>
            <w:r>
              <w:rPr>
                <w:w w:val="99"/>
                <w:sz w:val="16"/>
              </w:rPr>
              <w:t>Yorkshire</w:t>
            </w:r>
            <w:r>
              <w:rPr>
                <w:rFonts w:ascii="Times New Roman"/>
                <w:sz w:val="16"/>
              </w:rPr>
              <w:t> </w:t>
            </w:r>
            <w:r>
              <w:rPr>
                <w:spacing w:val="-1"/>
                <w:w w:val="99"/>
                <w:sz w:val="16"/>
              </w:rPr>
              <w:t>wate</w:t>
            </w:r>
            <w:r>
              <w:rPr>
                <w:w w:val="99"/>
                <w:sz w:val="16"/>
              </w:rPr>
              <w:t>r</w:t>
            </w:r>
            <w:r>
              <w:rPr>
                <w:rFonts w:ascii="Times New Roman"/>
                <w:sz w:val="16"/>
              </w:rPr>
              <w:t> </w:t>
            </w:r>
            <w:r>
              <w:rPr>
                <w:w w:val="99"/>
                <w:sz w:val="16"/>
              </w:rPr>
              <w:t>funding</w:t>
            </w:r>
            <w:r>
              <w:rPr>
                <w:rFonts w:ascii="Times New Roman"/>
                <w:sz w:val="16"/>
              </w:rPr>
              <w:t> </w:t>
            </w:r>
            <w:r>
              <w:rPr>
                <w:spacing w:val="-1"/>
                <w:w w:val="99"/>
                <w:sz w:val="16"/>
              </w:rPr>
              <w:t>include</w:t>
            </w:r>
            <w:r>
              <w:rPr>
                <w:w w:val="99"/>
                <w:sz w:val="16"/>
              </w:rPr>
              <w:t>d</w:t>
            </w:r>
            <w:r>
              <w:rPr>
                <w:rFonts w:ascii="Times New Roman"/>
                <w:sz w:val="16"/>
              </w:rPr>
              <w:t> </w:t>
            </w:r>
            <w:r>
              <w:rPr>
                <w:spacing w:val="-1"/>
                <w:w w:val="99"/>
                <w:sz w:val="16"/>
              </w:rPr>
              <w:t>i</w:t>
            </w:r>
            <w:r>
              <w:rPr>
                <w:w w:val="99"/>
                <w:sz w:val="16"/>
              </w:rPr>
              <w:t>n</w:t>
            </w:r>
            <w:r>
              <w:rPr>
                <w:rFonts w:ascii="Times New Roman"/>
                <w:sz w:val="16"/>
              </w:rPr>
              <w:t> </w:t>
            </w:r>
            <w:r>
              <w:rPr>
                <w:w w:val="99"/>
                <w:sz w:val="16"/>
              </w:rPr>
              <w:t>this</w:t>
            </w:r>
            <w:r>
              <w:rPr>
                <w:rFonts w:ascii="Times New Roman"/>
                <w:sz w:val="16"/>
              </w:rPr>
              <w:t> </w:t>
            </w:r>
            <w:r>
              <w:rPr>
                <w:w w:val="99"/>
                <w:sz w:val="16"/>
              </w:rPr>
              <w:t>table</w:t>
            </w:r>
            <w:r>
              <w:rPr>
                <w:rFonts w:ascii="Times New Roman"/>
                <w:sz w:val="16"/>
              </w:rPr>
              <w:t> </w:t>
            </w:r>
            <w:r>
              <w:rPr>
                <w:w w:val="99"/>
                <w:sz w:val="16"/>
              </w:rPr>
              <w:t>-</w:t>
            </w:r>
            <w:r>
              <w:rPr>
                <w:rFonts w:ascii="Times New Roman"/>
                <w:sz w:val="16"/>
              </w:rPr>
              <w:t> </w:t>
            </w:r>
            <w:r>
              <w:rPr>
                <w:spacing w:val="-89"/>
                <w:w w:val="388"/>
                <w:sz w:val="16"/>
              </w:rPr>
              <w:t>'</w:t>
            </w:r>
            <w:r>
              <w:rPr>
                <w:w w:val="99"/>
                <w:sz w:val="16"/>
              </w:rPr>
              <w:t>Water</w:t>
            </w:r>
            <w:r>
              <w:rPr>
                <w:rFonts w:ascii="Times New Roman"/>
                <w:sz w:val="16"/>
              </w:rPr>
              <w:t> </w:t>
            </w:r>
            <w:r>
              <w:rPr>
                <w:spacing w:val="-1"/>
                <w:w w:val="99"/>
                <w:sz w:val="16"/>
              </w:rPr>
              <w:t>Company</w:t>
            </w:r>
            <w:r>
              <w:rPr>
                <w:rFonts w:ascii="Times New Roman"/>
                <w:spacing w:val="-1"/>
                <w:w w:val="99"/>
                <w:sz w:val="16"/>
              </w:rPr>
              <w:t> </w:t>
            </w:r>
            <w:r>
              <w:rPr>
                <w:w w:val="105"/>
                <w:sz w:val="16"/>
              </w:rPr>
              <w:t>Investment'</w:t>
            </w:r>
          </w:p>
          <w:p>
            <w:pPr>
              <w:pStyle w:val="TableParagraph"/>
              <w:spacing w:before="10"/>
              <w:rPr>
                <w:rFonts w:ascii="Calibri"/>
                <w:sz w:val="15"/>
              </w:rPr>
            </w:pPr>
          </w:p>
          <w:p>
            <w:pPr>
              <w:pStyle w:val="TableParagraph"/>
              <w:ind w:left="33"/>
              <w:rPr>
                <w:sz w:val="16"/>
              </w:rPr>
            </w:pPr>
            <w:r>
              <w:rPr>
                <w:sz w:val="16"/>
              </w:rPr>
              <w:t>Other funding to be reviewed at next update</w:t>
            </w:r>
          </w:p>
        </w:tc>
      </w:tr>
      <w:tr>
        <w:trPr>
          <w:trHeight w:val="378"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Section 4.1 - Appendix D</w:t>
            </w:r>
          </w:p>
          <w:p>
            <w:pPr>
              <w:pStyle w:val="TableParagraph"/>
              <w:spacing w:line="167" w:lineRule="exact" w:before="10"/>
              <w:ind w:left="34"/>
              <w:rPr>
                <w:sz w:val="16"/>
              </w:rPr>
            </w:pPr>
            <w:r>
              <w:rPr>
                <w:sz w:val="16"/>
              </w:rPr>
              <w:t>EA contact is down as John Woods. Can you put both Luke Williams and John Woods for EA PSO contact?</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Appendix D Updated</w:t>
            </w:r>
          </w:p>
        </w:tc>
      </w:tr>
      <w:tr>
        <w:trPr>
          <w:trHeight w:val="577"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General</w:t>
            </w:r>
          </w:p>
          <w:p>
            <w:pPr>
              <w:pStyle w:val="TableParagraph"/>
              <w:spacing w:line="190" w:lineRule="atLeast" w:before="4"/>
              <w:ind w:left="34" w:right="520"/>
              <w:rPr>
                <w:sz w:val="16"/>
              </w:rPr>
            </w:pPr>
            <w:r>
              <w:rPr>
                <w:sz w:val="16"/>
              </w:rPr>
              <w:t>It talks interchangeably about the council’s MTP and the EA MTP a few times. Is it worth clarifying somewhere the difference and perhaps defining what they are?</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ind w:left="33" w:right="225"/>
              <w:rPr>
                <w:sz w:val="16"/>
              </w:rPr>
            </w:pPr>
            <w:r>
              <w:rPr>
                <w:spacing w:val="-1"/>
                <w:w w:val="99"/>
                <w:sz w:val="16"/>
              </w:rPr>
              <w:t>LFRM</w:t>
            </w:r>
            <w:r>
              <w:rPr>
                <w:w w:val="99"/>
                <w:sz w:val="16"/>
              </w:rPr>
              <w:t>S</w:t>
            </w:r>
            <w:r>
              <w:rPr>
                <w:rFonts w:ascii="Times New Roman"/>
                <w:sz w:val="16"/>
              </w:rPr>
              <w:t> </w:t>
            </w:r>
            <w:r>
              <w:rPr>
                <w:w w:val="99"/>
                <w:sz w:val="16"/>
              </w:rPr>
              <w:t>changes</w:t>
            </w:r>
            <w:r>
              <w:rPr>
                <w:rFonts w:ascii="Times New Roman"/>
                <w:sz w:val="16"/>
              </w:rPr>
              <w:t> </w:t>
            </w:r>
            <w:r>
              <w:rPr>
                <w:w w:val="99"/>
                <w:sz w:val="16"/>
              </w:rPr>
              <w:t>to</w:t>
            </w:r>
            <w:r>
              <w:rPr>
                <w:rFonts w:ascii="Times New Roman"/>
                <w:sz w:val="16"/>
              </w:rPr>
              <w:t> </w:t>
            </w:r>
            <w:r>
              <w:rPr>
                <w:w w:val="99"/>
                <w:sz w:val="16"/>
              </w:rPr>
              <w:t>refer</w:t>
            </w:r>
            <w:r>
              <w:rPr>
                <w:rFonts w:ascii="Times New Roman"/>
                <w:sz w:val="16"/>
              </w:rPr>
              <w:t> </w:t>
            </w:r>
            <w:r>
              <w:rPr>
                <w:w w:val="99"/>
                <w:sz w:val="16"/>
              </w:rPr>
              <w:t>to</w:t>
            </w:r>
            <w:r>
              <w:rPr>
                <w:rFonts w:ascii="Times New Roman"/>
                <w:sz w:val="16"/>
              </w:rPr>
              <w:t> </w:t>
            </w:r>
            <w:r>
              <w:rPr>
                <w:w w:val="99"/>
                <w:sz w:val="16"/>
              </w:rPr>
              <w:t>council</w:t>
            </w:r>
            <w:r>
              <w:rPr>
                <w:spacing w:val="-89"/>
                <w:w w:val="388"/>
                <w:sz w:val="16"/>
              </w:rPr>
              <w:t>'</w:t>
            </w:r>
            <w:r>
              <w:rPr>
                <w:w w:val="99"/>
                <w:sz w:val="16"/>
              </w:rPr>
              <w:t>s</w:t>
            </w:r>
            <w:r>
              <w:rPr>
                <w:rFonts w:ascii="Times New Roman"/>
                <w:sz w:val="16"/>
              </w:rPr>
              <w:t> </w:t>
            </w:r>
            <w:r>
              <w:rPr>
                <w:spacing w:val="-1"/>
                <w:w w:val="99"/>
                <w:sz w:val="16"/>
              </w:rPr>
              <w:t>programm</w:t>
            </w:r>
            <w:r>
              <w:rPr>
                <w:w w:val="99"/>
                <w:sz w:val="16"/>
              </w:rPr>
              <w:t>e</w:t>
            </w:r>
            <w:r>
              <w:rPr>
                <w:rFonts w:ascii="Times New Roman"/>
                <w:sz w:val="16"/>
              </w:rPr>
              <w:t> </w:t>
            </w:r>
            <w:r>
              <w:rPr>
                <w:spacing w:val="-1"/>
                <w:w w:val="99"/>
                <w:sz w:val="16"/>
              </w:rPr>
              <w:t>o</w:t>
            </w:r>
            <w:r>
              <w:rPr>
                <w:w w:val="99"/>
                <w:sz w:val="16"/>
              </w:rPr>
              <w:t>f</w:t>
            </w:r>
            <w:r>
              <w:rPr>
                <w:rFonts w:ascii="Times New Roman"/>
                <w:sz w:val="16"/>
              </w:rPr>
              <w:t> </w:t>
            </w:r>
            <w:r>
              <w:rPr>
                <w:spacing w:val="-1"/>
                <w:w w:val="99"/>
                <w:sz w:val="16"/>
              </w:rPr>
              <w:t>wor</w:t>
            </w:r>
            <w:r>
              <w:rPr>
                <w:w w:val="99"/>
                <w:sz w:val="16"/>
              </w:rPr>
              <w:t>k</w:t>
            </w:r>
            <w:r>
              <w:rPr>
                <w:rFonts w:ascii="Times New Roman"/>
                <w:sz w:val="16"/>
              </w:rPr>
              <w:t> </w:t>
            </w:r>
            <w:r>
              <w:rPr>
                <w:spacing w:val="-1"/>
                <w:w w:val="99"/>
                <w:sz w:val="16"/>
              </w:rPr>
              <w:t>not</w:t>
            </w:r>
            <w:r>
              <w:rPr>
                <w:rFonts w:ascii="Times New Roman"/>
                <w:spacing w:val="-1"/>
                <w:w w:val="99"/>
                <w:sz w:val="16"/>
              </w:rPr>
              <w:t> </w:t>
            </w:r>
            <w:r>
              <w:rPr>
                <w:sz w:val="16"/>
              </w:rPr>
              <w:t>MTP</w:t>
            </w:r>
          </w:p>
        </w:tc>
      </w:tr>
      <w:tr>
        <w:trPr>
          <w:trHeight w:val="774" w:hRule="atLeast"/>
        </w:trPr>
        <w:tc>
          <w:tcPr>
            <w:tcW w:w="2909" w:type="dxa"/>
            <w:tcBorders>
              <w:top w:val="single" w:sz="6" w:space="0" w:color="000000"/>
              <w:left w:val="single" w:sz="6" w:space="0" w:color="000000"/>
              <w:bottom w:val="single" w:sz="6" w:space="0" w:color="000000"/>
              <w:right w:val="single" w:sz="6" w:space="0" w:color="000000"/>
            </w:tcBorders>
          </w:tcPr>
          <w:p>
            <w:pPr>
              <w:pStyle w:val="TableParagraph"/>
              <w:spacing w:before="1"/>
              <w:rPr>
                <w:rFonts w:ascii="Calibri"/>
                <w:sz w:val="24"/>
              </w:rPr>
            </w:pPr>
          </w:p>
          <w:p>
            <w:pPr>
              <w:pStyle w:val="TableParagraph"/>
              <w:spacing w:before="1"/>
              <w:ind w:left="34"/>
              <w:rPr>
                <w:b/>
                <w:sz w:val="16"/>
              </w:rPr>
            </w:pPr>
            <w:r>
              <w:rPr>
                <w:b/>
                <w:sz w:val="16"/>
              </w:rPr>
              <w:t>Canals and Rivers Trust</w:t>
            </w: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I have had a look through and note no issues of concern or omissions relating to the Canal &amp; River Trust.</w:t>
            </w:r>
          </w:p>
          <w:p>
            <w:pPr>
              <w:pStyle w:val="TableParagraph"/>
              <w:spacing w:before="3"/>
              <w:rPr>
                <w:rFonts w:ascii="Calibri"/>
                <w:sz w:val="16"/>
              </w:rPr>
            </w:pPr>
          </w:p>
          <w:p>
            <w:pPr>
              <w:pStyle w:val="TableParagraph"/>
              <w:spacing w:line="190" w:lineRule="atLeast"/>
              <w:ind w:left="34"/>
              <w:rPr>
                <w:sz w:val="16"/>
              </w:rPr>
            </w:pPr>
            <w:r>
              <w:rPr>
                <w:sz w:val="16"/>
              </w:rPr>
              <w:t>I</w:t>
            </w:r>
            <w:r>
              <w:rPr>
                <w:spacing w:val="-6"/>
                <w:sz w:val="16"/>
              </w:rPr>
              <w:t> </w:t>
            </w:r>
            <w:r>
              <w:rPr>
                <w:sz w:val="16"/>
              </w:rPr>
              <w:t>did</w:t>
            </w:r>
            <w:r>
              <w:rPr>
                <w:spacing w:val="-6"/>
                <w:sz w:val="16"/>
              </w:rPr>
              <w:t> </w:t>
            </w:r>
            <w:r>
              <w:rPr>
                <w:sz w:val="16"/>
              </w:rPr>
              <w:t>notice</w:t>
            </w:r>
            <w:r>
              <w:rPr>
                <w:spacing w:val="-7"/>
                <w:sz w:val="16"/>
              </w:rPr>
              <w:t> </w:t>
            </w:r>
            <w:r>
              <w:rPr>
                <w:sz w:val="16"/>
              </w:rPr>
              <w:t>a</w:t>
            </w:r>
            <w:r>
              <w:rPr>
                <w:spacing w:val="-6"/>
                <w:sz w:val="16"/>
              </w:rPr>
              <w:t> </w:t>
            </w:r>
            <w:r>
              <w:rPr>
                <w:sz w:val="16"/>
              </w:rPr>
              <w:t>figure</w:t>
            </w:r>
            <w:r>
              <w:rPr>
                <w:spacing w:val="-5"/>
                <w:sz w:val="16"/>
              </w:rPr>
              <w:t> </w:t>
            </w:r>
            <w:r>
              <w:rPr>
                <w:sz w:val="16"/>
              </w:rPr>
              <w:t>in</w:t>
            </w:r>
            <w:r>
              <w:rPr>
                <w:spacing w:val="-7"/>
                <w:sz w:val="16"/>
              </w:rPr>
              <w:t> </w:t>
            </w:r>
            <w:r>
              <w:rPr>
                <w:sz w:val="16"/>
              </w:rPr>
              <w:t>one</w:t>
            </w:r>
            <w:r>
              <w:rPr>
                <w:spacing w:val="-6"/>
                <w:sz w:val="16"/>
              </w:rPr>
              <w:t> </w:t>
            </w:r>
            <w:r>
              <w:rPr>
                <w:sz w:val="16"/>
              </w:rPr>
              <w:t>of</w:t>
            </w:r>
            <w:r>
              <w:rPr>
                <w:spacing w:val="-6"/>
                <w:sz w:val="16"/>
              </w:rPr>
              <w:t> </w:t>
            </w:r>
            <w:r>
              <w:rPr>
                <w:sz w:val="16"/>
              </w:rPr>
              <w:t>the</w:t>
            </w:r>
            <w:r>
              <w:rPr>
                <w:spacing w:val="-6"/>
                <w:sz w:val="16"/>
              </w:rPr>
              <w:t> </w:t>
            </w:r>
            <w:r>
              <w:rPr>
                <w:sz w:val="16"/>
              </w:rPr>
              <w:t>tables</w:t>
            </w:r>
            <w:r>
              <w:rPr>
                <w:spacing w:val="-5"/>
                <w:sz w:val="16"/>
              </w:rPr>
              <w:t> </w:t>
            </w:r>
            <w:r>
              <w:rPr>
                <w:sz w:val="16"/>
              </w:rPr>
              <w:t>though</w:t>
            </w:r>
            <w:r>
              <w:rPr>
                <w:spacing w:val="-6"/>
                <w:sz w:val="16"/>
              </w:rPr>
              <w:t> </w:t>
            </w:r>
            <w:r>
              <w:rPr>
                <w:sz w:val="16"/>
              </w:rPr>
              <w:t>which</w:t>
            </w:r>
            <w:r>
              <w:rPr>
                <w:spacing w:val="-6"/>
                <w:sz w:val="16"/>
              </w:rPr>
              <w:t> </w:t>
            </w:r>
            <w:r>
              <w:rPr>
                <w:sz w:val="16"/>
              </w:rPr>
              <w:t>looks</w:t>
            </w:r>
            <w:r>
              <w:rPr>
                <w:spacing w:val="-6"/>
                <w:sz w:val="16"/>
              </w:rPr>
              <w:t> </w:t>
            </w:r>
            <w:r>
              <w:rPr>
                <w:sz w:val="16"/>
              </w:rPr>
              <w:t>suspect;</w:t>
            </w:r>
            <w:r>
              <w:rPr>
                <w:spacing w:val="-6"/>
                <w:sz w:val="16"/>
              </w:rPr>
              <w:t> </w:t>
            </w:r>
            <w:r>
              <w:rPr>
                <w:sz w:val="16"/>
              </w:rPr>
              <w:t>apologies</w:t>
            </w:r>
            <w:r>
              <w:rPr>
                <w:spacing w:val="-6"/>
                <w:sz w:val="16"/>
              </w:rPr>
              <w:t> </w:t>
            </w:r>
            <w:r>
              <w:rPr>
                <w:sz w:val="16"/>
              </w:rPr>
              <w:t>if</w:t>
            </w:r>
            <w:r>
              <w:rPr>
                <w:spacing w:val="-6"/>
                <w:sz w:val="16"/>
              </w:rPr>
              <w:t> </w:t>
            </w:r>
            <w:r>
              <w:rPr>
                <w:sz w:val="16"/>
              </w:rPr>
              <w:t>it</w:t>
            </w:r>
            <w:r>
              <w:rPr>
                <w:spacing w:val="-7"/>
                <w:sz w:val="16"/>
              </w:rPr>
              <w:t> </w:t>
            </w:r>
            <w:r>
              <w:rPr>
                <w:sz w:val="16"/>
              </w:rPr>
              <w:t>is</w:t>
            </w:r>
            <w:r>
              <w:rPr>
                <w:spacing w:val="-6"/>
                <w:sz w:val="16"/>
              </w:rPr>
              <w:t> </w:t>
            </w:r>
            <w:r>
              <w:rPr>
                <w:sz w:val="16"/>
              </w:rPr>
              <w:t>actually</w:t>
            </w:r>
            <w:r>
              <w:rPr>
                <w:spacing w:val="-6"/>
                <w:sz w:val="16"/>
              </w:rPr>
              <w:t> </w:t>
            </w:r>
            <w:r>
              <w:rPr>
                <w:sz w:val="16"/>
              </w:rPr>
              <w:t>correct.</w:t>
            </w:r>
            <w:r>
              <w:rPr>
                <w:spacing w:val="-6"/>
                <w:sz w:val="16"/>
              </w:rPr>
              <w:t> </w:t>
            </w:r>
            <w:r>
              <w:rPr>
                <w:sz w:val="16"/>
              </w:rPr>
              <w:t>It</w:t>
            </w:r>
            <w:r>
              <w:rPr>
                <w:spacing w:val="-5"/>
                <w:sz w:val="16"/>
              </w:rPr>
              <w:t> </w:t>
            </w:r>
            <w:r>
              <w:rPr>
                <w:sz w:val="16"/>
              </w:rPr>
              <w:t>doesn’t</w:t>
            </w:r>
            <w:r>
              <w:rPr>
                <w:spacing w:val="-5"/>
                <w:sz w:val="16"/>
              </w:rPr>
              <w:t> </w:t>
            </w:r>
            <w:r>
              <w:rPr>
                <w:sz w:val="16"/>
              </w:rPr>
              <w:t>follow</w:t>
            </w:r>
            <w:r>
              <w:rPr>
                <w:spacing w:val="-6"/>
                <w:sz w:val="16"/>
              </w:rPr>
              <w:t> </w:t>
            </w:r>
            <w:r>
              <w:rPr>
                <w:sz w:val="16"/>
              </w:rPr>
              <w:t>the pattern of change in all the other</w:t>
            </w:r>
            <w:r>
              <w:rPr>
                <w:spacing w:val="-11"/>
                <w:sz w:val="16"/>
              </w:rPr>
              <w:t> </w:t>
            </w:r>
            <w:r>
              <w:rPr>
                <w:sz w:val="16"/>
              </w:rPr>
              <w:t>figures?</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Table matches climate projection data</w:t>
            </w:r>
          </w:p>
        </w:tc>
      </w:tr>
    </w:tbl>
    <w:p>
      <w:pPr>
        <w:spacing w:after="0" w:line="181" w:lineRule="exact"/>
        <w:rPr>
          <w:sz w:val="16"/>
        </w:rPr>
        <w:sectPr>
          <w:footerReference w:type="default" r:id="rId131"/>
          <w:pgSz w:w="16840" w:h="11910" w:orient="landscape"/>
          <w:pgMar w:footer="0" w:header="0" w:top="780" w:bottom="280" w:left="220" w:right="240"/>
        </w:sectPr>
      </w:pPr>
    </w:p>
    <w:tbl>
      <w:tblPr>
        <w:tblW w:w="0" w:type="auto"/>
        <w:jc w:val="left"/>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09"/>
        <w:gridCol w:w="8638"/>
        <w:gridCol w:w="4572"/>
      </w:tblGrid>
      <w:tr>
        <w:trPr>
          <w:trHeight w:val="394" w:hRule="atLeast"/>
        </w:trPr>
        <w:tc>
          <w:tcPr>
            <w:tcW w:w="16119" w:type="dxa"/>
            <w:gridSpan w:val="3"/>
            <w:shd w:val="clear" w:color="auto" w:fill="F9423A"/>
          </w:tcPr>
          <w:p>
            <w:pPr>
              <w:pStyle w:val="TableParagraph"/>
              <w:spacing w:before="62"/>
              <w:ind w:left="36"/>
              <w:rPr>
                <w:b/>
                <w:sz w:val="23"/>
              </w:rPr>
            </w:pPr>
            <w:r>
              <w:rPr>
                <w:b/>
                <w:color w:val="FFFFFF"/>
                <w:w w:val="105"/>
                <w:sz w:val="23"/>
              </w:rPr>
              <w:t>Appendix F - Responses of consultees</w:t>
            </w:r>
          </w:p>
        </w:tc>
      </w:tr>
      <w:tr>
        <w:trPr>
          <w:trHeight w:val="206" w:hRule="atLeast"/>
        </w:trPr>
        <w:tc>
          <w:tcPr>
            <w:tcW w:w="2909" w:type="dxa"/>
            <w:tcBorders>
              <w:left w:val="single" w:sz="6" w:space="0" w:color="000000"/>
              <w:bottom w:val="single" w:sz="6" w:space="0" w:color="000000"/>
              <w:right w:val="single" w:sz="6" w:space="0" w:color="000000"/>
            </w:tcBorders>
          </w:tcPr>
          <w:p>
            <w:pPr>
              <w:pStyle w:val="TableParagraph"/>
              <w:spacing w:line="187" w:lineRule="exact"/>
              <w:ind w:left="36"/>
              <w:rPr>
                <w:b/>
                <w:sz w:val="18"/>
              </w:rPr>
            </w:pPr>
            <w:r>
              <w:rPr>
                <w:b/>
                <w:w w:val="105"/>
                <w:sz w:val="18"/>
              </w:rPr>
              <w:t>Consultee</w:t>
            </w:r>
          </w:p>
        </w:tc>
        <w:tc>
          <w:tcPr>
            <w:tcW w:w="8638" w:type="dxa"/>
            <w:tcBorders>
              <w:left w:val="single" w:sz="6" w:space="0" w:color="000000"/>
              <w:bottom w:val="single" w:sz="6" w:space="0" w:color="000000"/>
              <w:right w:val="single" w:sz="6" w:space="0" w:color="000000"/>
            </w:tcBorders>
          </w:tcPr>
          <w:p>
            <w:pPr>
              <w:pStyle w:val="TableParagraph"/>
              <w:spacing w:line="187" w:lineRule="exact"/>
              <w:ind w:left="36"/>
              <w:rPr>
                <w:b/>
                <w:sz w:val="18"/>
              </w:rPr>
            </w:pPr>
            <w:r>
              <w:rPr>
                <w:b/>
                <w:w w:val="105"/>
                <w:sz w:val="18"/>
              </w:rPr>
              <w:t>Consultee Response</w:t>
            </w:r>
          </w:p>
        </w:tc>
        <w:tc>
          <w:tcPr>
            <w:tcW w:w="4572" w:type="dxa"/>
            <w:tcBorders>
              <w:left w:val="single" w:sz="6" w:space="0" w:color="000000"/>
              <w:bottom w:val="single" w:sz="6" w:space="0" w:color="000000"/>
              <w:right w:val="single" w:sz="6" w:space="0" w:color="000000"/>
            </w:tcBorders>
          </w:tcPr>
          <w:p>
            <w:pPr>
              <w:pStyle w:val="TableParagraph"/>
              <w:spacing w:line="187" w:lineRule="exact"/>
              <w:ind w:left="36"/>
              <w:rPr>
                <w:b/>
                <w:sz w:val="18"/>
              </w:rPr>
            </w:pPr>
            <w:r>
              <w:rPr>
                <w:b/>
                <w:w w:val="105"/>
                <w:sz w:val="18"/>
              </w:rPr>
              <w:t>LCC Flood Risk Management Response</w:t>
            </w:r>
          </w:p>
        </w:tc>
      </w:tr>
      <w:tr>
        <w:trPr>
          <w:trHeight w:val="2236" w:hRule="atLeast"/>
        </w:trPr>
        <w:tc>
          <w:tcPr>
            <w:tcW w:w="290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ind w:left="34"/>
              <w:rPr>
                <w:b/>
                <w:sz w:val="16"/>
              </w:rPr>
            </w:pPr>
            <w:r>
              <w:rPr>
                <w:b/>
                <w:sz w:val="16"/>
              </w:rPr>
              <w:t>iCaSP</w:t>
            </w: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Section 4.4.4</w:t>
            </w:r>
          </w:p>
          <w:p>
            <w:pPr>
              <w:pStyle w:val="TableParagraph"/>
              <w:spacing w:before="10"/>
              <w:ind w:left="34"/>
              <w:rPr>
                <w:sz w:val="16"/>
              </w:rPr>
            </w:pPr>
            <w:r>
              <w:rPr>
                <w:sz w:val="16"/>
              </w:rPr>
              <w:t>Suggest reword, as follows:</w:t>
            </w:r>
          </w:p>
          <w:p>
            <w:pPr>
              <w:pStyle w:val="TableParagraph"/>
              <w:spacing w:line="254" w:lineRule="auto" w:before="11"/>
              <w:ind w:left="34"/>
              <w:rPr>
                <w:sz w:val="16"/>
              </w:rPr>
            </w:pPr>
            <w:r>
              <w:rPr>
                <w:sz w:val="16"/>
              </w:rPr>
              <w:t>iCASP’s</w:t>
            </w:r>
            <w:r>
              <w:rPr>
                <w:spacing w:val="-8"/>
                <w:sz w:val="16"/>
              </w:rPr>
              <w:t> </w:t>
            </w:r>
            <w:r>
              <w:rPr>
                <w:sz w:val="16"/>
              </w:rPr>
              <w:t>first</w:t>
            </w:r>
            <w:r>
              <w:rPr>
                <w:spacing w:val="-7"/>
                <w:sz w:val="16"/>
              </w:rPr>
              <w:t> </w:t>
            </w:r>
            <w:r>
              <w:rPr>
                <w:sz w:val="16"/>
              </w:rPr>
              <w:t>project</w:t>
            </w:r>
            <w:r>
              <w:rPr>
                <w:spacing w:val="-9"/>
                <w:sz w:val="16"/>
              </w:rPr>
              <w:t> </w:t>
            </w:r>
            <w:r>
              <w:rPr>
                <w:sz w:val="16"/>
              </w:rPr>
              <w:t>helped</w:t>
            </w:r>
            <w:r>
              <w:rPr>
                <w:spacing w:val="-8"/>
                <w:sz w:val="16"/>
              </w:rPr>
              <w:t> </w:t>
            </w:r>
            <w:r>
              <w:rPr>
                <w:sz w:val="16"/>
              </w:rPr>
              <w:t>organisations</w:t>
            </w:r>
            <w:r>
              <w:rPr>
                <w:spacing w:val="-8"/>
                <w:sz w:val="16"/>
              </w:rPr>
              <w:t> </w:t>
            </w:r>
            <w:r>
              <w:rPr>
                <w:sz w:val="16"/>
              </w:rPr>
              <w:t>in</w:t>
            </w:r>
            <w:r>
              <w:rPr>
                <w:spacing w:val="-9"/>
                <w:sz w:val="16"/>
              </w:rPr>
              <w:t> </w:t>
            </w:r>
            <w:r>
              <w:rPr>
                <w:sz w:val="16"/>
              </w:rPr>
              <w:t>Yorkshire</w:t>
            </w:r>
            <w:r>
              <w:rPr>
                <w:spacing w:val="-7"/>
                <w:sz w:val="16"/>
              </w:rPr>
              <w:t> </w:t>
            </w:r>
            <w:r>
              <w:rPr>
                <w:sz w:val="16"/>
              </w:rPr>
              <w:t>to</w:t>
            </w:r>
            <w:r>
              <w:rPr>
                <w:spacing w:val="-8"/>
                <w:sz w:val="16"/>
              </w:rPr>
              <w:t> </w:t>
            </w:r>
            <w:r>
              <w:rPr>
                <w:sz w:val="16"/>
              </w:rPr>
              <w:t>prepare</w:t>
            </w:r>
            <w:r>
              <w:rPr>
                <w:spacing w:val="-8"/>
                <w:sz w:val="16"/>
              </w:rPr>
              <w:t> </w:t>
            </w:r>
            <w:r>
              <w:rPr>
                <w:sz w:val="16"/>
              </w:rPr>
              <w:t>in</w:t>
            </w:r>
            <w:r>
              <w:rPr>
                <w:spacing w:val="-8"/>
                <w:sz w:val="16"/>
              </w:rPr>
              <w:t> </w:t>
            </w:r>
            <w:r>
              <w:rPr>
                <w:sz w:val="16"/>
              </w:rPr>
              <w:t>advance</w:t>
            </w:r>
            <w:r>
              <w:rPr>
                <w:spacing w:val="-8"/>
                <w:sz w:val="16"/>
              </w:rPr>
              <w:t> </w:t>
            </w:r>
            <w:r>
              <w:rPr>
                <w:sz w:val="16"/>
              </w:rPr>
              <w:t>for</w:t>
            </w:r>
            <w:r>
              <w:rPr>
                <w:spacing w:val="-8"/>
                <w:sz w:val="16"/>
              </w:rPr>
              <w:t> </w:t>
            </w:r>
            <w:r>
              <w:rPr>
                <w:sz w:val="16"/>
              </w:rPr>
              <w:t>the</w:t>
            </w:r>
            <w:r>
              <w:rPr>
                <w:spacing w:val="-7"/>
                <w:sz w:val="16"/>
              </w:rPr>
              <w:t> </w:t>
            </w:r>
            <w:r>
              <w:rPr>
                <w:sz w:val="16"/>
              </w:rPr>
              <w:t>publication</w:t>
            </w:r>
            <w:r>
              <w:rPr>
                <w:spacing w:val="-9"/>
                <w:sz w:val="16"/>
              </w:rPr>
              <w:t> </w:t>
            </w:r>
            <w:r>
              <w:rPr>
                <w:sz w:val="16"/>
              </w:rPr>
              <w:t>of</w:t>
            </w:r>
            <w:r>
              <w:rPr>
                <w:spacing w:val="-8"/>
                <w:sz w:val="16"/>
              </w:rPr>
              <w:t> </w:t>
            </w:r>
            <w:r>
              <w:rPr>
                <w:sz w:val="16"/>
              </w:rPr>
              <w:t>new</w:t>
            </w:r>
            <w:r>
              <w:rPr>
                <w:spacing w:val="-8"/>
                <w:sz w:val="16"/>
              </w:rPr>
              <w:t> </w:t>
            </w:r>
            <w:r>
              <w:rPr>
                <w:sz w:val="16"/>
              </w:rPr>
              <w:t>UK</w:t>
            </w:r>
            <w:r>
              <w:rPr>
                <w:spacing w:val="-9"/>
                <w:sz w:val="16"/>
              </w:rPr>
              <w:t> </w:t>
            </w:r>
            <w:r>
              <w:rPr>
                <w:sz w:val="16"/>
              </w:rPr>
              <w:t>climate</w:t>
            </w:r>
            <w:r>
              <w:rPr>
                <w:spacing w:val="-7"/>
                <w:sz w:val="16"/>
              </w:rPr>
              <w:t> </w:t>
            </w:r>
            <w:r>
              <w:rPr>
                <w:sz w:val="16"/>
              </w:rPr>
              <w:t>change projections due for release in November 2018</w:t>
            </w:r>
            <w:r>
              <w:rPr>
                <w:spacing w:val="-12"/>
                <w:sz w:val="16"/>
              </w:rPr>
              <w:t> </w:t>
            </w:r>
            <w:r>
              <w:rPr>
                <w:sz w:val="16"/>
              </w:rPr>
              <w:t>(UKCP18).</w:t>
            </w:r>
          </w:p>
          <w:p>
            <w:pPr>
              <w:pStyle w:val="TableParagraph"/>
              <w:spacing w:line="254" w:lineRule="auto"/>
              <w:ind w:left="34"/>
              <w:rPr>
                <w:sz w:val="16"/>
              </w:rPr>
            </w:pPr>
            <w:r>
              <w:rPr>
                <w:sz w:val="16"/>
              </w:rPr>
              <w:t>In collaboration with the UK Met Office, which is responsible for producing the projections, the iCASP project has been giving</w:t>
            </w:r>
            <w:r>
              <w:rPr>
                <w:spacing w:val="-10"/>
                <w:sz w:val="16"/>
              </w:rPr>
              <w:t> </w:t>
            </w:r>
            <w:r>
              <w:rPr>
                <w:sz w:val="16"/>
              </w:rPr>
              <w:t>organisations</w:t>
            </w:r>
            <w:r>
              <w:rPr>
                <w:spacing w:val="-9"/>
                <w:sz w:val="16"/>
              </w:rPr>
              <w:t> </w:t>
            </w:r>
            <w:r>
              <w:rPr>
                <w:sz w:val="16"/>
              </w:rPr>
              <w:t>including</w:t>
            </w:r>
            <w:r>
              <w:rPr>
                <w:spacing w:val="-10"/>
                <w:sz w:val="16"/>
              </w:rPr>
              <w:t> </w:t>
            </w:r>
            <w:r>
              <w:rPr>
                <w:sz w:val="16"/>
              </w:rPr>
              <w:t>Leeds</w:t>
            </w:r>
            <w:r>
              <w:rPr>
                <w:spacing w:val="-9"/>
                <w:sz w:val="16"/>
              </w:rPr>
              <w:t> </w:t>
            </w:r>
            <w:r>
              <w:rPr>
                <w:sz w:val="16"/>
              </w:rPr>
              <w:t>City</w:t>
            </w:r>
            <w:r>
              <w:rPr>
                <w:spacing w:val="-10"/>
                <w:sz w:val="16"/>
              </w:rPr>
              <w:t> </w:t>
            </w:r>
            <w:r>
              <w:rPr>
                <w:sz w:val="16"/>
              </w:rPr>
              <w:t>Council</w:t>
            </w:r>
            <w:r>
              <w:rPr>
                <w:spacing w:val="-9"/>
                <w:sz w:val="16"/>
              </w:rPr>
              <w:t> </w:t>
            </w:r>
            <w:r>
              <w:rPr>
                <w:sz w:val="16"/>
              </w:rPr>
              <w:t>an</w:t>
            </w:r>
            <w:r>
              <w:rPr>
                <w:spacing w:val="-10"/>
                <w:sz w:val="16"/>
              </w:rPr>
              <w:t> </w:t>
            </w:r>
            <w:r>
              <w:rPr>
                <w:sz w:val="16"/>
              </w:rPr>
              <w:t>opportunity</w:t>
            </w:r>
            <w:r>
              <w:rPr>
                <w:spacing w:val="-9"/>
                <w:sz w:val="16"/>
              </w:rPr>
              <w:t> </w:t>
            </w:r>
            <w:r>
              <w:rPr>
                <w:sz w:val="16"/>
              </w:rPr>
              <w:t>to</w:t>
            </w:r>
            <w:r>
              <w:rPr>
                <w:spacing w:val="-9"/>
                <w:sz w:val="16"/>
              </w:rPr>
              <w:t> </w:t>
            </w:r>
            <w:r>
              <w:rPr>
                <w:sz w:val="16"/>
              </w:rPr>
              <w:t>rehearse</w:t>
            </w:r>
            <w:r>
              <w:rPr>
                <w:spacing w:val="-8"/>
                <w:sz w:val="16"/>
              </w:rPr>
              <w:t> </w:t>
            </w:r>
            <w:r>
              <w:rPr>
                <w:sz w:val="16"/>
              </w:rPr>
              <w:t>ways</w:t>
            </w:r>
            <w:r>
              <w:rPr>
                <w:spacing w:val="-10"/>
                <w:sz w:val="16"/>
              </w:rPr>
              <w:t> </w:t>
            </w:r>
            <w:r>
              <w:rPr>
                <w:sz w:val="16"/>
              </w:rPr>
              <w:t>of</w:t>
            </w:r>
            <w:r>
              <w:rPr>
                <w:spacing w:val="-9"/>
                <w:sz w:val="16"/>
              </w:rPr>
              <w:t> </w:t>
            </w:r>
            <w:r>
              <w:rPr>
                <w:sz w:val="16"/>
              </w:rPr>
              <w:t>using</w:t>
            </w:r>
            <w:r>
              <w:rPr>
                <w:spacing w:val="-10"/>
                <w:sz w:val="16"/>
              </w:rPr>
              <w:t> </w:t>
            </w:r>
            <w:r>
              <w:rPr>
                <w:sz w:val="16"/>
              </w:rPr>
              <w:t>the</w:t>
            </w:r>
            <w:r>
              <w:rPr>
                <w:spacing w:val="-8"/>
                <w:sz w:val="16"/>
              </w:rPr>
              <w:t> </w:t>
            </w:r>
            <w:r>
              <w:rPr>
                <w:sz w:val="16"/>
              </w:rPr>
              <w:t>updated</w:t>
            </w:r>
            <w:r>
              <w:rPr>
                <w:spacing w:val="-10"/>
                <w:sz w:val="16"/>
              </w:rPr>
              <w:t> </w:t>
            </w:r>
            <w:r>
              <w:rPr>
                <w:sz w:val="16"/>
              </w:rPr>
              <w:t>information</w:t>
            </w:r>
            <w:r>
              <w:rPr>
                <w:spacing w:val="-9"/>
                <w:sz w:val="16"/>
              </w:rPr>
              <w:t> </w:t>
            </w:r>
            <w:r>
              <w:rPr>
                <w:sz w:val="16"/>
              </w:rPr>
              <w:t>in</w:t>
            </w:r>
            <w:r>
              <w:rPr>
                <w:spacing w:val="-10"/>
                <w:sz w:val="16"/>
              </w:rPr>
              <w:t> </w:t>
            </w:r>
            <w:r>
              <w:rPr>
                <w:sz w:val="16"/>
              </w:rPr>
              <w:t>their operations and strategies –including for surface water flood risk management</w:t>
            </w:r>
            <w:r>
              <w:rPr>
                <w:spacing w:val="-13"/>
                <w:sz w:val="16"/>
              </w:rPr>
              <w:t> </w:t>
            </w:r>
            <w:r>
              <w:rPr>
                <w:sz w:val="16"/>
              </w:rPr>
              <w:t>.</w:t>
            </w:r>
          </w:p>
          <w:p>
            <w:pPr>
              <w:pStyle w:val="TableParagraph"/>
              <w:spacing w:line="254" w:lineRule="auto"/>
              <w:ind w:left="34" w:right="60"/>
              <w:rPr>
                <w:sz w:val="16"/>
              </w:rPr>
            </w:pPr>
            <w:r>
              <w:rPr>
                <w:sz w:val="16"/>
              </w:rPr>
              <w:t>The project was selected as a demonstrator by the Met Office to be made available nationally as part of the release guidance</w:t>
            </w:r>
            <w:r>
              <w:rPr>
                <w:spacing w:val="-8"/>
                <w:sz w:val="16"/>
              </w:rPr>
              <w:t> </w:t>
            </w:r>
            <w:r>
              <w:rPr>
                <w:sz w:val="16"/>
              </w:rPr>
              <w:t>material</w:t>
            </w:r>
            <w:r>
              <w:rPr>
                <w:spacing w:val="-6"/>
                <w:sz w:val="16"/>
              </w:rPr>
              <w:t> </w:t>
            </w:r>
            <w:r>
              <w:rPr>
                <w:sz w:val="16"/>
              </w:rPr>
              <w:t>.</w:t>
            </w:r>
            <w:r>
              <w:rPr>
                <w:spacing w:val="-6"/>
                <w:sz w:val="16"/>
              </w:rPr>
              <w:t> </w:t>
            </w:r>
            <w:r>
              <w:rPr>
                <w:sz w:val="16"/>
              </w:rPr>
              <w:t>iCASP</w:t>
            </w:r>
            <w:r>
              <w:rPr>
                <w:spacing w:val="-7"/>
                <w:sz w:val="16"/>
              </w:rPr>
              <w:t> </w:t>
            </w:r>
            <w:r>
              <w:rPr>
                <w:sz w:val="16"/>
              </w:rPr>
              <w:t>will</w:t>
            </w:r>
            <w:r>
              <w:rPr>
                <w:spacing w:val="-7"/>
                <w:sz w:val="16"/>
              </w:rPr>
              <w:t> </w:t>
            </w:r>
            <w:r>
              <w:rPr>
                <w:sz w:val="16"/>
              </w:rPr>
              <w:t>continue</w:t>
            </w:r>
            <w:r>
              <w:rPr>
                <w:spacing w:val="-6"/>
                <w:sz w:val="16"/>
              </w:rPr>
              <w:t> </w:t>
            </w:r>
            <w:r>
              <w:rPr>
                <w:sz w:val="16"/>
              </w:rPr>
              <w:t>this</w:t>
            </w:r>
            <w:r>
              <w:rPr>
                <w:spacing w:val="-6"/>
                <w:sz w:val="16"/>
              </w:rPr>
              <w:t> </w:t>
            </w:r>
            <w:r>
              <w:rPr>
                <w:sz w:val="16"/>
              </w:rPr>
              <w:t>support</w:t>
            </w:r>
            <w:r>
              <w:rPr>
                <w:spacing w:val="-7"/>
                <w:sz w:val="16"/>
              </w:rPr>
              <w:t> </w:t>
            </w:r>
            <w:r>
              <w:rPr>
                <w:sz w:val="16"/>
              </w:rPr>
              <w:t>following</w:t>
            </w:r>
            <w:r>
              <w:rPr>
                <w:spacing w:val="-6"/>
                <w:sz w:val="16"/>
              </w:rPr>
              <w:t> </w:t>
            </w:r>
            <w:r>
              <w:rPr>
                <w:sz w:val="16"/>
              </w:rPr>
              <w:t>the</w:t>
            </w:r>
            <w:r>
              <w:rPr>
                <w:spacing w:val="-6"/>
                <w:sz w:val="16"/>
              </w:rPr>
              <w:t> </w:t>
            </w:r>
            <w:r>
              <w:rPr>
                <w:sz w:val="16"/>
              </w:rPr>
              <w:t>release</w:t>
            </w:r>
            <w:r>
              <w:rPr>
                <w:spacing w:val="-6"/>
                <w:sz w:val="16"/>
              </w:rPr>
              <w:t> </w:t>
            </w:r>
            <w:r>
              <w:rPr>
                <w:sz w:val="16"/>
              </w:rPr>
              <w:t>of</w:t>
            </w:r>
            <w:r>
              <w:rPr>
                <w:spacing w:val="-7"/>
                <w:sz w:val="16"/>
              </w:rPr>
              <w:t> </w:t>
            </w:r>
            <w:r>
              <w:rPr>
                <w:sz w:val="16"/>
              </w:rPr>
              <w:t>UKCP18</w:t>
            </w:r>
            <w:r>
              <w:rPr>
                <w:spacing w:val="-7"/>
                <w:sz w:val="16"/>
              </w:rPr>
              <w:t> </w:t>
            </w:r>
            <w:r>
              <w:rPr>
                <w:sz w:val="16"/>
              </w:rPr>
              <w:t>by</w:t>
            </w:r>
            <w:r>
              <w:rPr>
                <w:spacing w:val="-7"/>
                <w:sz w:val="16"/>
              </w:rPr>
              <w:t> </w:t>
            </w:r>
            <w:r>
              <w:rPr>
                <w:sz w:val="16"/>
              </w:rPr>
              <w:t>organising</w:t>
            </w:r>
            <w:r>
              <w:rPr>
                <w:spacing w:val="-7"/>
                <w:sz w:val="16"/>
              </w:rPr>
              <w:t> </w:t>
            </w:r>
            <w:r>
              <w:rPr>
                <w:sz w:val="16"/>
              </w:rPr>
              <w:t>a</w:t>
            </w:r>
            <w:r>
              <w:rPr>
                <w:spacing w:val="-7"/>
                <w:sz w:val="16"/>
              </w:rPr>
              <w:t> </w:t>
            </w:r>
            <w:r>
              <w:rPr>
                <w:sz w:val="16"/>
              </w:rPr>
              <w:t>regional</w:t>
            </w:r>
            <w:r>
              <w:rPr>
                <w:spacing w:val="-7"/>
                <w:sz w:val="16"/>
              </w:rPr>
              <w:t> </w:t>
            </w:r>
            <w:r>
              <w:rPr>
                <w:sz w:val="16"/>
              </w:rPr>
              <w:t>forum</w:t>
            </w:r>
            <w:r>
              <w:rPr>
                <w:spacing w:val="-6"/>
                <w:sz w:val="16"/>
              </w:rPr>
              <w:t> </w:t>
            </w:r>
            <w:r>
              <w:rPr>
                <w:sz w:val="16"/>
              </w:rPr>
              <w:t>in 2019 </w:t>
            </w:r>
            <w:r>
              <w:rPr>
                <w:spacing w:val="6"/>
                <w:sz w:val="16"/>
              </w:rPr>
              <w:t>–a </w:t>
            </w:r>
            <w:r>
              <w:rPr>
                <w:sz w:val="16"/>
              </w:rPr>
              <w:t>one day event in designed for organisations who need to use UK climate projections for resilience planning, including flood risk</w:t>
            </w:r>
            <w:r>
              <w:rPr>
                <w:spacing w:val="-3"/>
                <w:sz w:val="16"/>
              </w:rPr>
              <w:t> </w:t>
            </w:r>
            <w:r>
              <w:rPr>
                <w:sz w:val="16"/>
              </w:rPr>
              <w:t>management.</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Section updated as suggested</w:t>
            </w:r>
          </w:p>
        </w:tc>
      </w:tr>
      <w:tr>
        <w:trPr>
          <w:trHeight w:val="2550"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Leeds City Council are also a partner in a currently ‘live’ iCASP project on enhanced warnings for surface water flooding.</w:t>
            </w:r>
          </w:p>
          <w:p>
            <w:pPr>
              <w:pStyle w:val="TableParagraph"/>
              <w:spacing w:before="9"/>
              <w:rPr>
                <w:rFonts w:ascii="Calibri"/>
                <w:sz w:val="16"/>
              </w:rPr>
            </w:pPr>
          </w:p>
          <w:p>
            <w:pPr>
              <w:pStyle w:val="TableParagraph"/>
              <w:spacing w:line="254" w:lineRule="auto"/>
              <w:ind w:left="34"/>
              <w:rPr>
                <w:sz w:val="16"/>
              </w:rPr>
            </w:pPr>
            <w:r>
              <w:rPr>
                <w:sz w:val="16"/>
              </w:rPr>
              <w:t>This</w:t>
            </w:r>
            <w:r>
              <w:rPr>
                <w:spacing w:val="-8"/>
                <w:sz w:val="16"/>
              </w:rPr>
              <w:t> </w:t>
            </w:r>
            <w:r>
              <w:rPr>
                <w:sz w:val="16"/>
              </w:rPr>
              <w:t>iCASP</w:t>
            </w:r>
            <w:r>
              <w:rPr>
                <w:spacing w:val="-8"/>
                <w:sz w:val="16"/>
              </w:rPr>
              <w:t> </w:t>
            </w:r>
            <w:r>
              <w:rPr>
                <w:sz w:val="16"/>
              </w:rPr>
              <w:t>project</w:t>
            </w:r>
            <w:r>
              <w:rPr>
                <w:spacing w:val="-9"/>
                <w:sz w:val="16"/>
              </w:rPr>
              <w:t> </w:t>
            </w:r>
            <w:r>
              <w:rPr>
                <w:sz w:val="16"/>
              </w:rPr>
              <w:t>aims</w:t>
            </w:r>
            <w:r>
              <w:rPr>
                <w:spacing w:val="-8"/>
                <w:sz w:val="16"/>
              </w:rPr>
              <w:t> </w:t>
            </w:r>
            <w:r>
              <w:rPr>
                <w:sz w:val="16"/>
              </w:rPr>
              <w:t>to</w:t>
            </w:r>
            <w:r>
              <w:rPr>
                <w:spacing w:val="-8"/>
                <w:sz w:val="16"/>
              </w:rPr>
              <w:t> </w:t>
            </w:r>
            <w:r>
              <w:rPr>
                <w:sz w:val="16"/>
              </w:rPr>
              <w:t>road-test</w:t>
            </w:r>
            <w:r>
              <w:rPr>
                <w:spacing w:val="-7"/>
                <w:sz w:val="16"/>
              </w:rPr>
              <w:t> </w:t>
            </w:r>
            <w:r>
              <w:rPr>
                <w:sz w:val="16"/>
              </w:rPr>
              <w:t>the</w:t>
            </w:r>
            <w:r>
              <w:rPr>
                <w:spacing w:val="-8"/>
                <w:sz w:val="16"/>
              </w:rPr>
              <w:t> </w:t>
            </w:r>
            <w:r>
              <w:rPr>
                <w:sz w:val="16"/>
              </w:rPr>
              <w:t>feasibility</w:t>
            </w:r>
            <w:r>
              <w:rPr>
                <w:spacing w:val="-7"/>
                <w:sz w:val="16"/>
              </w:rPr>
              <w:t> </w:t>
            </w:r>
            <w:r>
              <w:rPr>
                <w:sz w:val="16"/>
              </w:rPr>
              <w:t>and</w:t>
            </w:r>
            <w:r>
              <w:rPr>
                <w:spacing w:val="-9"/>
                <w:sz w:val="16"/>
              </w:rPr>
              <w:t> </w:t>
            </w:r>
            <w:r>
              <w:rPr>
                <w:sz w:val="16"/>
              </w:rPr>
              <w:t>usefulness</w:t>
            </w:r>
            <w:r>
              <w:rPr>
                <w:spacing w:val="-8"/>
                <w:sz w:val="16"/>
              </w:rPr>
              <w:t> </w:t>
            </w:r>
            <w:r>
              <w:rPr>
                <w:sz w:val="16"/>
              </w:rPr>
              <w:t>of</w:t>
            </w:r>
            <w:r>
              <w:rPr>
                <w:spacing w:val="-8"/>
                <w:sz w:val="16"/>
              </w:rPr>
              <w:t> </w:t>
            </w:r>
            <w:r>
              <w:rPr>
                <w:sz w:val="16"/>
              </w:rPr>
              <w:t>converting</w:t>
            </w:r>
            <w:r>
              <w:rPr>
                <w:spacing w:val="-8"/>
                <w:sz w:val="16"/>
              </w:rPr>
              <w:t> </w:t>
            </w:r>
            <w:r>
              <w:rPr>
                <w:sz w:val="16"/>
              </w:rPr>
              <w:t>the</w:t>
            </w:r>
            <w:r>
              <w:rPr>
                <w:spacing w:val="-7"/>
                <w:sz w:val="16"/>
              </w:rPr>
              <w:t> </w:t>
            </w:r>
            <w:r>
              <w:rPr>
                <w:sz w:val="16"/>
              </w:rPr>
              <w:t>latest</w:t>
            </w:r>
            <w:r>
              <w:rPr>
                <w:spacing w:val="-9"/>
                <w:sz w:val="16"/>
              </w:rPr>
              <w:t> </w:t>
            </w:r>
            <w:r>
              <w:rPr>
                <w:sz w:val="16"/>
              </w:rPr>
              <w:t>advances</w:t>
            </w:r>
            <w:r>
              <w:rPr>
                <w:spacing w:val="-8"/>
                <w:sz w:val="16"/>
              </w:rPr>
              <w:t> </w:t>
            </w:r>
            <w:r>
              <w:rPr>
                <w:sz w:val="16"/>
              </w:rPr>
              <w:t>in</w:t>
            </w:r>
            <w:r>
              <w:rPr>
                <w:spacing w:val="-9"/>
                <w:sz w:val="16"/>
              </w:rPr>
              <w:t> </w:t>
            </w:r>
            <w:r>
              <w:rPr>
                <w:sz w:val="16"/>
              </w:rPr>
              <w:t>probabilistic</w:t>
            </w:r>
            <w:r>
              <w:rPr>
                <w:spacing w:val="-8"/>
                <w:sz w:val="16"/>
              </w:rPr>
              <w:t> </w:t>
            </w:r>
            <w:r>
              <w:rPr>
                <w:sz w:val="16"/>
              </w:rPr>
              <w:t>rainfall forecasting and high-resolution surface water modelling into real-time forecasts and/or warnings for Lead Local Flood Authorities (LLFAs) and other decision</w:t>
            </w:r>
            <w:r>
              <w:rPr>
                <w:spacing w:val="-8"/>
                <w:sz w:val="16"/>
              </w:rPr>
              <w:t> </w:t>
            </w:r>
            <w:r>
              <w:rPr>
                <w:sz w:val="16"/>
              </w:rPr>
              <w:t>makers.</w:t>
            </w:r>
          </w:p>
          <w:p>
            <w:pPr>
              <w:pStyle w:val="TableParagraph"/>
              <w:spacing w:before="9"/>
              <w:rPr>
                <w:rFonts w:ascii="Calibri"/>
                <w:sz w:val="15"/>
              </w:rPr>
            </w:pPr>
          </w:p>
          <w:p>
            <w:pPr>
              <w:pStyle w:val="TableParagraph"/>
              <w:spacing w:before="1"/>
              <w:ind w:left="34"/>
              <w:rPr>
                <w:sz w:val="16"/>
              </w:rPr>
            </w:pPr>
            <w:r>
              <w:rPr>
                <w:sz w:val="16"/>
              </w:rPr>
              <w:t>Leeds are a partner, as are the EA, City of York Council, Met Office &amp; FFC, JBA &amp; Yorkshire Water.</w:t>
            </w:r>
          </w:p>
          <w:p>
            <w:pPr>
              <w:pStyle w:val="TableParagraph"/>
              <w:spacing w:before="9"/>
              <w:rPr>
                <w:rFonts w:ascii="Calibri"/>
                <w:sz w:val="16"/>
              </w:rPr>
            </w:pPr>
          </w:p>
          <w:p>
            <w:pPr>
              <w:pStyle w:val="TableParagraph"/>
              <w:spacing w:line="254" w:lineRule="auto"/>
              <w:ind w:left="34"/>
              <w:rPr>
                <w:sz w:val="16"/>
              </w:rPr>
            </w:pPr>
            <w:r>
              <w:rPr>
                <w:sz w:val="16"/>
              </w:rPr>
              <w:t>I’ve attached a brief summary of the main aims of the project </w:t>
            </w:r>
            <w:r>
              <w:rPr>
                <w:spacing w:val="6"/>
                <w:sz w:val="16"/>
              </w:rPr>
              <w:t>–I </w:t>
            </w:r>
            <w:r>
              <w:rPr>
                <w:sz w:val="16"/>
              </w:rPr>
              <w:t>think it is worth including in the strategy given the Council’s</w:t>
            </w:r>
            <w:r>
              <w:rPr>
                <w:spacing w:val="-7"/>
                <w:sz w:val="16"/>
              </w:rPr>
              <w:t> </w:t>
            </w:r>
            <w:r>
              <w:rPr>
                <w:sz w:val="16"/>
              </w:rPr>
              <w:t>remit</w:t>
            </w:r>
            <w:r>
              <w:rPr>
                <w:spacing w:val="-6"/>
                <w:sz w:val="16"/>
              </w:rPr>
              <w:t> </w:t>
            </w:r>
            <w:r>
              <w:rPr>
                <w:sz w:val="16"/>
              </w:rPr>
              <w:t>in</w:t>
            </w:r>
            <w:r>
              <w:rPr>
                <w:spacing w:val="-6"/>
                <w:sz w:val="16"/>
              </w:rPr>
              <w:t> </w:t>
            </w:r>
            <w:r>
              <w:rPr>
                <w:sz w:val="16"/>
              </w:rPr>
              <w:t>responding</w:t>
            </w:r>
            <w:r>
              <w:rPr>
                <w:spacing w:val="-6"/>
                <w:sz w:val="16"/>
              </w:rPr>
              <w:t> </w:t>
            </w:r>
            <w:r>
              <w:rPr>
                <w:sz w:val="16"/>
              </w:rPr>
              <w:t>to</w:t>
            </w:r>
            <w:r>
              <w:rPr>
                <w:spacing w:val="-6"/>
                <w:sz w:val="16"/>
              </w:rPr>
              <w:t> </w:t>
            </w:r>
            <w:r>
              <w:rPr>
                <w:sz w:val="16"/>
              </w:rPr>
              <w:t>SWF</w:t>
            </w:r>
            <w:r>
              <w:rPr>
                <w:spacing w:val="-6"/>
                <w:sz w:val="16"/>
              </w:rPr>
              <w:t> </w:t>
            </w:r>
            <w:r>
              <w:rPr>
                <w:sz w:val="16"/>
              </w:rPr>
              <w:t>events</w:t>
            </w:r>
            <w:r>
              <w:rPr>
                <w:spacing w:val="-7"/>
                <w:sz w:val="16"/>
              </w:rPr>
              <w:t> </w:t>
            </w:r>
            <w:r>
              <w:rPr>
                <w:sz w:val="16"/>
              </w:rPr>
              <w:t>as</w:t>
            </w:r>
            <w:r>
              <w:rPr>
                <w:spacing w:val="-7"/>
                <w:sz w:val="16"/>
              </w:rPr>
              <w:t> </w:t>
            </w:r>
            <w:r>
              <w:rPr>
                <w:sz w:val="16"/>
              </w:rPr>
              <w:t>part</w:t>
            </w:r>
            <w:r>
              <w:rPr>
                <w:spacing w:val="-7"/>
                <w:sz w:val="16"/>
              </w:rPr>
              <w:t> </w:t>
            </w:r>
            <w:r>
              <w:rPr>
                <w:sz w:val="16"/>
              </w:rPr>
              <w:t>the</w:t>
            </w:r>
            <w:r>
              <w:rPr>
                <w:spacing w:val="-6"/>
                <w:sz w:val="16"/>
              </w:rPr>
              <w:t> </w:t>
            </w:r>
            <w:r>
              <w:rPr>
                <w:sz w:val="16"/>
              </w:rPr>
              <w:t>West</w:t>
            </w:r>
            <w:r>
              <w:rPr>
                <w:spacing w:val="-6"/>
                <w:sz w:val="16"/>
              </w:rPr>
              <w:t> </w:t>
            </w:r>
            <w:r>
              <w:rPr>
                <w:sz w:val="16"/>
              </w:rPr>
              <w:t>Yorkshire</w:t>
            </w:r>
            <w:r>
              <w:rPr>
                <w:spacing w:val="-6"/>
                <w:sz w:val="16"/>
              </w:rPr>
              <w:t> </w:t>
            </w:r>
            <w:r>
              <w:rPr>
                <w:sz w:val="16"/>
              </w:rPr>
              <w:t>Local</w:t>
            </w:r>
            <w:r>
              <w:rPr>
                <w:spacing w:val="-7"/>
                <w:sz w:val="16"/>
              </w:rPr>
              <w:t> </w:t>
            </w:r>
            <w:r>
              <w:rPr>
                <w:sz w:val="16"/>
              </w:rPr>
              <w:t>Resilience</w:t>
            </w:r>
            <w:r>
              <w:rPr>
                <w:spacing w:val="-7"/>
                <w:sz w:val="16"/>
              </w:rPr>
              <w:t> </w:t>
            </w:r>
            <w:r>
              <w:rPr>
                <w:sz w:val="16"/>
              </w:rPr>
              <w:t>Forum.</w:t>
            </w:r>
            <w:r>
              <w:rPr>
                <w:spacing w:val="-6"/>
                <w:sz w:val="16"/>
              </w:rPr>
              <w:t> </w:t>
            </w:r>
            <w:r>
              <w:rPr>
                <w:sz w:val="16"/>
              </w:rPr>
              <w:t>Let</w:t>
            </w:r>
            <w:r>
              <w:rPr>
                <w:spacing w:val="-7"/>
                <w:sz w:val="16"/>
              </w:rPr>
              <w:t> </w:t>
            </w:r>
            <w:r>
              <w:rPr>
                <w:sz w:val="16"/>
              </w:rPr>
              <w:t>me</w:t>
            </w:r>
            <w:r>
              <w:rPr>
                <w:spacing w:val="-6"/>
                <w:sz w:val="16"/>
              </w:rPr>
              <w:t> </w:t>
            </w:r>
            <w:r>
              <w:rPr>
                <w:sz w:val="16"/>
              </w:rPr>
              <w:t>know</w:t>
            </w:r>
            <w:r>
              <w:rPr>
                <w:spacing w:val="-6"/>
                <w:sz w:val="16"/>
              </w:rPr>
              <w:t> </w:t>
            </w:r>
            <w:r>
              <w:rPr>
                <w:sz w:val="16"/>
              </w:rPr>
              <w:t>if</w:t>
            </w:r>
            <w:r>
              <w:rPr>
                <w:spacing w:val="-7"/>
                <w:sz w:val="16"/>
              </w:rPr>
              <w:t> </w:t>
            </w:r>
            <w:r>
              <w:rPr>
                <w:sz w:val="16"/>
              </w:rPr>
              <w:t>you’d</w:t>
            </w:r>
            <w:r>
              <w:rPr>
                <w:spacing w:val="-7"/>
                <w:sz w:val="16"/>
              </w:rPr>
              <w:t> </w:t>
            </w:r>
            <w:r>
              <w:rPr>
                <w:sz w:val="16"/>
              </w:rPr>
              <w:t>like more info on</w:t>
            </w:r>
            <w:r>
              <w:rPr>
                <w:spacing w:val="-4"/>
                <w:sz w:val="16"/>
              </w:rPr>
              <w:t> </w:t>
            </w:r>
            <w:r>
              <w:rPr>
                <w:sz w:val="16"/>
              </w:rPr>
              <w:t>this.</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Reference to this project included in Section 4.4.4</w:t>
            </w:r>
          </w:p>
        </w:tc>
      </w:tr>
      <w:tr>
        <w:trPr>
          <w:trHeight w:val="1856"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4"/>
              <w:rPr>
                <w:sz w:val="16"/>
              </w:rPr>
            </w:pPr>
            <w:r>
              <w:rPr>
                <w:sz w:val="16"/>
              </w:rPr>
              <w:t>Section 5</w:t>
            </w:r>
          </w:p>
          <w:p>
            <w:pPr>
              <w:pStyle w:val="TableParagraph"/>
              <w:spacing w:before="10"/>
              <w:ind w:left="34"/>
              <w:rPr>
                <w:sz w:val="16"/>
              </w:rPr>
            </w:pPr>
            <w:r>
              <w:rPr>
                <w:sz w:val="16"/>
              </w:rPr>
              <w:t>One of the objectives is stated as:</w:t>
            </w:r>
          </w:p>
          <w:p>
            <w:pPr>
              <w:pStyle w:val="TableParagraph"/>
              <w:spacing w:line="254" w:lineRule="auto" w:before="11"/>
              <w:ind w:left="34"/>
              <w:rPr>
                <w:sz w:val="16"/>
              </w:rPr>
            </w:pPr>
            <w:r>
              <w:rPr>
                <w:spacing w:val="-67"/>
                <w:w w:val="222"/>
                <w:sz w:val="16"/>
              </w:rPr>
              <w:t>“</w:t>
            </w:r>
            <w:r>
              <w:rPr>
                <w:w w:val="99"/>
                <w:sz w:val="16"/>
              </w:rPr>
              <w:t>Promote</w:t>
            </w:r>
            <w:r>
              <w:rPr>
                <w:rFonts w:ascii="Times New Roman" w:hAnsi="Times New Roman"/>
                <w:sz w:val="16"/>
              </w:rPr>
              <w:t> </w:t>
            </w:r>
            <w:r>
              <w:rPr>
                <w:w w:val="99"/>
                <w:sz w:val="16"/>
              </w:rPr>
              <w:t>sustainable</w:t>
            </w:r>
            <w:r>
              <w:rPr>
                <w:rFonts w:ascii="Times New Roman" w:hAnsi="Times New Roman"/>
                <w:sz w:val="16"/>
              </w:rPr>
              <w:t> </w:t>
            </w:r>
            <w:r>
              <w:rPr>
                <w:w w:val="99"/>
                <w:sz w:val="16"/>
              </w:rPr>
              <w:t>flood</w:t>
            </w:r>
            <w:r>
              <w:rPr>
                <w:rFonts w:ascii="Times New Roman" w:hAnsi="Times New Roman"/>
                <w:sz w:val="16"/>
              </w:rPr>
              <w:t> </w:t>
            </w:r>
            <w:r>
              <w:rPr>
                <w:w w:val="99"/>
                <w:sz w:val="16"/>
              </w:rPr>
              <w:t>risk</w:t>
            </w:r>
            <w:r>
              <w:rPr>
                <w:rFonts w:ascii="Times New Roman" w:hAnsi="Times New Roman"/>
                <w:sz w:val="16"/>
              </w:rPr>
              <w:t> </w:t>
            </w:r>
            <w:r>
              <w:rPr>
                <w:w w:val="99"/>
                <w:sz w:val="16"/>
              </w:rPr>
              <w:t>management</w:t>
            </w:r>
            <w:r>
              <w:rPr>
                <w:rFonts w:ascii="Times New Roman" w:hAnsi="Times New Roman"/>
                <w:sz w:val="16"/>
              </w:rPr>
              <w:t> </w:t>
            </w:r>
            <w:r>
              <w:rPr>
                <w:w w:val="99"/>
                <w:sz w:val="16"/>
              </w:rPr>
              <w:t>through</w:t>
            </w:r>
            <w:r>
              <w:rPr>
                <w:rFonts w:ascii="Times New Roman" w:hAnsi="Times New Roman"/>
                <w:sz w:val="16"/>
              </w:rPr>
              <w:t> </w:t>
            </w:r>
            <w:r>
              <w:rPr>
                <w:w w:val="99"/>
                <w:sz w:val="16"/>
              </w:rPr>
              <w:t>WFD</w:t>
            </w:r>
            <w:r>
              <w:rPr>
                <w:rFonts w:ascii="Times New Roman" w:hAnsi="Times New Roman"/>
                <w:sz w:val="16"/>
              </w:rPr>
              <w:t> </w:t>
            </w:r>
            <w:r>
              <w:rPr>
                <w:w w:val="99"/>
                <w:sz w:val="16"/>
              </w:rPr>
              <w:t>compliance,</w:t>
            </w:r>
            <w:r>
              <w:rPr>
                <w:rFonts w:ascii="Times New Roman" w:hAnsi="Times New Roman"/>
                <w:sz w:val="16"/>
              </w:rPr>
              <w:t> </w:t>
            </w:r>
            <w:r>
              <w:rPr>
                <w:w w:val="99"/>
                <w:sz w:val="16"/>
              </w:rPr>
              <w:t>climate</w:t>
            </w:r>
            <w:r>
              <w:rPr>
                <w:rFonts w:ascii="Times New Roman" w:hAnsi="Times New Roman"/>
                <w:sz w:val="16"/>
              </w:rPr>
              <w:t> </w:t>
            </w:r>
            <w:r>
              <w:rPr>
                <w:w w:val="99"/>
                <w:sz w:val="16"/>
              </w:rPr>
              <w:t>change</w:t>
            </w:r>
            <w:r>
              <w:rPr>
                <w:rFonts w:ascii="Times New Roman" w:hAnsi="Times New Roman"/>
                <w:sz w:val="16"/>
              </w:rPr>
              <w:t> </w:t>
            </w:r>
            <w:r>
              <w:rPr>
                <w:spacing w:val="-1"/>
                <w:w w:val="99"/>
                <w:sz w:val="16"/>
              </w:rPr>
              <w:t>adaptatio</w:t>
            </w:r>
            <w:r>
              <w:rPr>
                <w:w w:val="99"/>
                <w:sz w:val="16"/>
              </w:rPr>
              <w:t>n</w:t>
            </w:r>
            <w:r>
              <w:rPr>
                <w:rFonts w:ascii="Times New Roman" w:hAnsi="Times New Roman"/>
                <w:sz w:val="16"/>
              </w:rPr>
              <w:t> </w:t>
            </w:r>
            <w:r>
              <w:rPr>
                <w:w w:val="99"/>
                <w:sz w:val="16"/>
              </w:rPr>
              <w:t>(UKCIP,</w:t>
            </w:r>
            <w:r>
              <w:rPr>
                <w:rFonts w:ascii="Times New Roman" w:hAnsi="Times New Roman"/>
                <w:sz w:val="16"/>
              </w:rPr>
              <w:t> </w:t>
            </w:r>
            <w:r>
              <w:rPr>
                <w:spacing w:val="-1"/>
                <w:w w:val="99"/>
                <w:sz w:val="16"/>
              </w:rPr>
              <w:t>iCASP)</w:t>
            </w:r>
            <w:r>
              <w:rPr>
                <w:w w:val="99"/>
                <w:sz w:val="16"/>
              </w:rPr>
              <w:t>,</w:t>
            </w:r>
            <w:r>
              <w:rPr>
                <w:rFonts w:ascii="Times New Roman" w:hAnsi="Times New Roman"/>
                <w:sz w:val="16"/>
              </w:rPr>
              <w:t> </w:t>
            </w:r>
            <w:r>
              <w:rPr>
                <w:spacing w:val="-1"/>
                <w:w w:val="99"/>
                <w:sz w:val="16"/>
              </w:rPr>
              <w:t>land</w:t>
            </w:r>
            <w:r>
              <w:rPr>
                <w:rFonts w:ascii="Times New Roman" w:hAnsi="Times New Roman"/>
                <w:spacing w:val="-1"/>
                <w:w w:val="99"/>
                <w:sz w:val="16"/>
              </w:rPr>
              <w:t> </w:t>
            </w:r>
            <w:r>
              <w:rPr>
                <w:sz w:val="16"/>
              </w:rPr>
              <w:t>management, habitat protection and creation.”</w:t>
            </w:r>
          </w:p>
          <w:p>
            <w:pPr>
              <w:pStyle w:val="TableParagraph"/>
              <w:spacing w:line="254" w:lineRule="auto"/>
              <w:ind w:left="34" w:right="83"/>
              <w:rPr>
                <w:sz w:val="16"/>
              </w:rPr>
            </w:pPr>
            <w:r>
              <w:rPr>
                <w:sz w:val="16"/>
              </w:rPr>
              <w:t>Suggest</w:t>
            </w:r>
            <w:r>
              <w:rPr>
                <w:spacing w:val="-8"/>
                <w:sz w:val="16"/>
              </w:rPr>
              <w:t> </w:t>
            </w:r>
            <w:r>
              <w:rPr>
                <w:sz w:val="16"/>
              </w:rPr>
              <w:t>acronyms</w:t>
            </w:r>
            <w:r>
              <w:rPr>
                <w:spacing w:val="-8"/>
                <w:sz w:val="16"/>
              </w:rPr>
              <w:t> </w:t>
            </w:r>
            <w:r>
              <w:rPr>
                <w:sz w:val="16"/>
              </w:rPr>
              <w:t>in</w:t>
            </w:r>
            <w:r>
              <w:rPr>
                <w:spacing w:val="-8"/>
                <w:sz w:val="16"/>
              </w:rPr>
              <w:t> </w:t>
            </w:r>
            <w:r>
              <w:rPr>
                <w:sz w:val="16"/>
              </w:rPr>
              <w:t>parentheses</w:t>
            </w:r>
            <w:r>
              <w:rPr>
                <w:spacing w:val="-9"/>
                <w:sz w:val="16"/>
              </w:rPr>
              <w:t> </w:t>
            </w:r>
            <w:r>
              <w:rPr>
                <w:sz w:val="16"/>
              </w:rPr>
              <w:t>are</w:t>
            </w:r>
            <w:r>
              <w:rPr>
                <w:spacing w:val="-8"/>
                <w:sz w:val="16"/>
              </w:rPr>
              <w:t> </w:t>
            </w:r>
            <w:r>
              <w:rPr>
                <w:sz w:val="16"/>
              </w:rPr>
              <w:t>replaced.</w:t>
            </w:r>
            <w:r>
              <w:rPr>
                <w:spacing w:val="-7"/>
                <w:sz w:val="16"/>
              </w:rPr>
              <w:t> </w:t>
            </w:r>
            <w:r>
              <w:rPr>
                <w:sz w:val="16"/>
              </w:rPr>
              <w:t>UKCIP</w:t>
            </w:r>
            <w:r>
              <w:rPr>
                <w:spacing w:val="-8"/>
                <w:sz w:val="16"/>
              </w:rPr>
              <w:t> </w:t>
            </w:r>
            <w:r>
              <w:rPr>
                <w:sz w:val="16"/>
              </w:rPr>
              <w:t>is</w:t>
            </w:r>
            <w:r>
              <w:rPr>
                <w:spacing w:val="-9"/>
                <w:sz w:val="16"/>
              </w:rPr>
              <w:t> </w:t>
            </w:r>
            <w:r>
              <w:rPr>
                <w:sz w:val="16"/>
              </w:rPr>
              <w:t>an</w:t>
            </w:r>
            <w:r>
              <w:rPr>
                <w:spacing w:val="-8"/>
                <w:sz w:val="16"/>
              </w:rPr>
              <w:t> </w:t>
            </w:r>
            <w:r>
              <w:rPr>
                <w:sz w:val="16"/>
              </w:rPr>
              <w:t>organisation</w:t>
            </w:r>
            <w:r>
              <w:rPr>
                <w:spacing w:val="-8"/>
                <w:sz w:val="16"/>
              </w:rPr>
              <w:t> </w:t>
            </w:r>
            <w:r>
              <w:rPr>
                <w:sz w:val="16"/>
              </w:rPr>
              <w:t>that</w:t>
            </w:r>
            <w:r>
              <w:rPr>
                <w:spacing w:val="-7"/>
                <w:sz w:val="16"/>
              </w:rPr>
              <w:t> </w:t>
            </w:r>
            <w:r>
              <w:rPr>
                <w:sz w:val="16"/>
              </w:rPr>
              <w:t>advises</w:t>
            </w:r>
            <w:r>
              <w:rPr>
                <w:spacing w:val="-9"/>
                <w:sz w:val="16"/>
              </w:rPr>
              <w:t> </w:t>
            </w:r>
            <w:r>
              <w:rPr>
                <w:sz w:val="16"/>
              </w:rPr>
              <w:t>on</w:t>
            </w:r>
            <w:r>
              <w:rPr>
                <w:spacing w:val="-8"/>
                <w:sz w:val="16"/>
              </w:rPr>
              <w:t> </w:t>
            </w:r>
            <w:r>
              <w:rPr>
                <w:sz w:val="16"/>
              </w:rPr>
              <w:t>adaptation</w:t>
            </w:r>
            <w:r>
              <w:rPr>
                <w:spacing w:val="-8"/>
                <w:sz w:val="16"/>
              </w:rPr>
              <w:t> </w:t>
            </w:r>
            <w:r>
              <w:rPr>
                <w:sz w:val="16"/>
              </w:rPr>
              <w:t>matters</w:t>
            </w:r>
            <w:r>
              <w:rPr>
                <w:spacing w:val="-8"/>
                <w:sz w:val="16"/>
              </w:rPr>
              <w:t> </w:t>
            </w:r>
            <w:r>
              <w:rPr>
                <w:sz w:val="16"/>
              </w:rPr>
              <w:t>(based</w:t>
            </w:r>
            <w:r>
              <w:rPr>
                <w:spacing w:val="-7"/>
                <w:sz w:val="16"/>
              </w:rPr>
              <w:t> </w:t>
            </w:r>
            <w:r>
              <w:rPr>
                <w:sz w:val="16"/>
              </w:rPr>
              <w:t>at the</w:t>
            </w:r>
            <w:r>
              <w:rPr>
                <w:spacing w:val="-7"/>
                <w:sz w:val="16"/>
              </w:rPr>
              <w:t> </w:t>
            </w:r>
            <w:r>
              <w:rPr>
                <w:sz w:val="16"/>
              </w:rPr>
              <w:t>University</w:t>
            </w:r>
            <w:r>
              <w:rPr>
                <w:spacing w:val="-7"/>
                <w:sz w:val="16"/>
              </w:rPr>
              <w:t> </w:t>
            </w:r>
            <w:r>
              <w:rPr>
                <w:sz w:val="16"/>
              </w:rPr>
              <w:t>of</w:t>
            </w:r>
            <w:r>
              <w:rPr>
                <w:spacing w:val="-8"/>
                <w:sz w:val="16"/>
              </w:rPr>
              <w:t> </w:t>
            </w:r>
            <w:r>
              <w:rPr>
                <w:sz w:val="16"/>
              </w:rPr>
              <w:t>Oxford).</w:t>
            </w:r>
            <w:r>
              <w:rPr>
                <w:spacing w:val="-6"/>
                <w:sz w:val="16"/>
              </w:rPr>
              <w:t> </w:t>
            </w:r>
            <w:r>
              <w:rPr>
                <w:sz w:val="16"/>
              </w:rPr>
              <w:t>Suggest</w:t>
            </w:r>
            <w:r>
              <w:rPr>
                <w:spacing w:val="-7"/>
                <w:sz w:val="16"/>
              </w:rPr>
              <w:t> </w:t>
            </w:r>
            <w:r>
              <w:rPr>
                <w:sz w:val="16"/>
              </w:rPr>
              <w:t>removing</w:t>
            </w:r>
            <w:r>
              <w:rPr>
                <w:spacing w:val="-6"/>
                <w:sz w:val="16"/>
              </w:rPr>
              <w:t> </w:t>
            </w:r>
            <w:r>
              <w:rPr>
                <w:sz w:val="16"/>
              </w:rPr>
              <w:t>all</w:t>
            </w:r>
            <w:r>
              <w:rPr>
                <w:spacing w:val="-8"/>
                <w:sz w:val="16"/>
              </w:rPr>
              <w:t> </w:t>
            </w:r>
            <w:r>
              <w:rPr>
                <w:sz w:val="16"/>
              </w:rPr>
              <w:t>references</w:t>
            </w:r>
            <w:r>
              <w:rPr>
                <w:spacing w:val="-6"/>
                <w:sz w:val="16"/>
              </w:rPr>
              <w:t> </w:t>
            </w:r>
            <w:r>
              <w:rPr>
                <w:sz w:val="16"/>
              </w:rPr>
              <w:t>to</w:t>
            </w:r>
            <w:r>
              <w:rPr>
                <w:spacing w:val="-7"/>
                <w:sz w:val="16"/>
              </w:rPr>
              <w:t> </w:t>
            </w:r>
            <w:r>
              <w:rPr>
                <w:sz w:val="16"/>
              </w:rPr>
              <w:t>UKCIP</w:t>
            </w:r>
            <w:r>
              <w:rPr>
                <w:spacing w:val="-7"/>
                <w:sz w:val="16"/>
              </w:rPr>
              <w:t> </w:t>
            </w:r>
            <w:r>
              <w:rPr>
                <w:sz w:val="16"/>
              </w:rPr>
              <w:t>in</w:t>
            </w:r>
            <w:r>
              <w:rPr>
                <w:spacing w:val="-7"/>
                <w:sz w:val="16"/>
              </w:rPr>
              <w:t> </w:t>
            </w:r>
            <w:r>
              <w:rPr>
                <w:sz w:val="16"/>
              </w:rPr>
              <w:t>all</w:t>
            </w:r>
            <w:r>
              <w:rPr>
                <w:spacing w:val="-8"/>
                <w:sz w:val="16"/>
              </w:rPr>
              <w:t> </w:t>
            </w:r>
            <w:r>
              <w:rPr>
                <w:sz w:val="16"/>
              </w:rPr>
              <w:t>Appendices</w:t>
            </w:r>
            <w:r>
              <w:rPr>
                <w:spacing w:val="-6"/>
                <w:sz w:val="16"/>
              </w:rPr>
              <w:t> </w:t>
            </w:r>
            <w:r>
              <w:rPr>
                <w:sz w:val="16"/>
              </w:rPr>
              <w:t>too.</w:t>
            </w:r>
            <w:r>
              <w:rPr>
                <w:spacing w:val="-7"/>
                <w:sz w:val="16"/>
              </w:rPr>
              <w:t> </w:t>
            </w:r>
            <w:r>
              <w:rPr>
                <w:sz w:val="16"/>
              </w:rPr>
              <w:t>iCASP</w:t>
            </w:r>
            <w:r>
              <w:rPr>
                <w:spacing w:val="-7"/>
                <w:sz w:val="16"/>
              </w:rPr>
              <w:t> </w:t>
            </w:r>
            <w:r>
              <w:rPr>
                <w:sz w:val="16"/>
              </w:rPr>
              <w:t>is</w:t>
            </w:r>
            <w:r>
              <w:rPr>
                <w:spacing w:val="-7"/>
                <w:sz w:val="16"/>
              </w:rPr>
              <w:t> </w:t>
            </w:r>
            <w:r>
              <w:rPr>
                <w:sz w:val="16"/>
              </w:rPr>
              <w:t>a</w:t>
            </w:r>
            <w:r>
              <w:rPr>
                <w:spacing w:val="-8"/>
                <w:sz w:val="16"/>
              </w:rPr>
              <w:t> </w:t>
            </w:r>
            <w:r>
              <w:rPr>
                <w:sz w:val="16"/>
              </w:rPr>
              <w:t>programme</w:t>
            </w:r>
            <w:r>
              <w:rPr>
                <w:spacing w:val="-7"/>
                <w:sz w:val="16"/>
              </w:rPr>
              <w:t> </w:t>
            </w:r>
            <w:r>
              <w:rPr>
                <w:sz w:val="16"/>
              </w:rPr>
              <w:t>which involves issues beyond strictly climate change</w:t>
            </w:r>
            <w:r>
              <w:rPr>
                <w:spacing w:val="-10"/>
                <w:sz w:val="16"/>
              </w:rPr>
              <w:t> </w:t>
            </w:r>
            <w:r>
              <w:rPr>
                <w:sz w:val="16"/>
              </w:rPr>
              <w:t>adaptation.</w:t>
            </w:r>
          </w:p>
          <w:p>
            <w:pPr>
              <w:pStyle w:val="TableParagraph"/>
              <w:spacing w:line="182" w:lineRule="exact"/>
              <w:ind w:left="34"/>
              <w:rPr>
                <w:sz w:val="16"/>
              </w:rPr>
            </w:pPr>
            <w:r>
              <w:rPr>
                <w:sz w:val="16"/>
              </w:rPr>
              <w:t>Suggest reworded to something like:</w:t>
            </w:r>
          </w:p>
          <w:p>
            <w:pPr>
              <w:pStyle w:val="TableParagraph"/>
              <w:spacing w:before="9"/>
              <w:ind w:left="34"/>
              <w:rPr>
                <w:sz w:val="16"/>
              </w:rPr>
            </w:pPr>
            <w:r>
              <w:rPr>
                <w:spacing w:val="-67"/>
                <w:w w:val="222"/>
                <w:sz w:val="16"/>
              </w:rPr>
              <w:t>“</w:t>
            </w:r>
            <w:r>
              <w:rPr>
                <w:w w:val="99"/>
                <w:sz w:val="16"/>
              </w:rPr>
              <w:t>climate</w:t>
            </w:r>
            <w:r>
              <w:rPr>
                <w:rFonts w:ascii="Times New Roman" w:hAnsi="Times New Roman"/>
                <w:spacing w:val="4"/>
                <w:sz w:val="16"/>
              </w:rPr>
              <w:t> </w:t>
            </w:r>
            <w:r>
              <w:rPr>
                <w:w w:val="99"/>
                <w:sz w:val="16"/>
              </w:rPr>
              <w:t>change</w:t>
            </w:r>
            <w:r>
              <w:rPr>
                <w:rFonts w:ascii="Times New Roman" w:hAnsi="Times New Roman"/>
                <w:spacing w:val="4"/>
                <w:sz w:val="16"/>
              </w:rPr>
              <w:t> </w:t>
            </w:r>
            <w:r>
              <w:rPr>
                <w:spacing w:val="-1"/>
                <w:w w:val="99"/>
                <w:sz w:val="16"/>
              </w:rPr>
              <w:t>adaptatio</w:t>
            </w:r>
            <w:r>
              <w:rPr>
                <w:w w:val="99"/>
                <w:sz w:val="16"/>
              </w:rPr>
              <w:t>n</w:t>
            </w:r>
            <w:r>
              <w:rPr>
                <w:rFonts w:ascii="Times New Roman" w:hAnsi="Times New Roman"/>
                <w:spacing w:val="3"/>
                <w:sz w:val="16"/>
              </w:rPr>
              <w:t> </w:t>
            </w:r>
            <w:r>
              <w:rPr>
                <w:w w:val="99"/>
                <w:sz w:val="16"/>
              </w:rPr>
              <w:t>(based</w:t>
            </w:r>
            <w:r>
              <w:rPr>
                <w:rFonts w:ascii="Times New Roman" w:hAnsi="Times New Roman"/>
                <w:spacing w:val="4"/>
                <w:sz w:val="16"/>
              </w:rPr>
              <w:t> </w:t>
            </w:r>
            <w:r>
              <w:rPr>
                <w:spacing w:val="-1"/>
                <w:w w:val="99"/>
                <w:sz w:val="16"/>
              </w:rPr>
              <w:t>o</w:t>
            </w:r>
            <w:r>
              <w:rPr>
                <w:w w:val="99"/>
                <w:sz w:val="16"/>
              </w:rPr>
              <w:t>n</w:t>
            </w:r>
            <w:r>
              <w:rPr>
                <w:rFonts w:ascii="Times New Roman" w:hAnsi="Times New Roman"/>
                <w:spacing w:val="3"/>
                <w:sz w:val="16"/>
              </w:rPr>
              <w:t> </w:t>
            </w:r>
            <w:r>
              <w:rPr>
                <w:spacing w:val="-1"/>
                <w:w w:val="99"/>
                <w:sz w:val="16"/>
              </w:rPr>
              <w:t>lates</w:t>
            </w:r>
            <w:r>
              <w:rPr>
                <w:w w:val="99"/>
                <w:sz w:val="16"/>
              </w:rPr>
              <w:t>t</w:t>
            </w:r>
            <w:r>
              <w:rPr>
                <w:rFonts w:ascii="Times New Roman" w:hAnsi="Times New Roman"/>
                <w:spacing w:val="3"/>
                <w:sz w:val="16"/>
              </w:rPr>
              <w:t> </w:t>
            </w:r>
            <w:r>
              <w:rPr>
                <w:spacing w:val="-1"/>
                <w:w w:val="99"/>
                <w:sz w:val="16"/>
              </w:rPr>
              <w:t>U</w:t>
            </w:r>
            <w:r>
              <w:rPr>
                <w:w w:val="99"/>
                <w:sz w:val="16"/>
              </w:rPr>
              <w:t>K</w:t>
            </w:r>
            <w:r>
              <w:rPr>
                <w:rFonts w:ascii="Times New Roman" w:hAnsi="Times New Roman"/>
                <w:spacing w:val="3"/>
                <w:sz w:val="16"/>
              </w:rPr>
              <w:t> </w:t>
            </w:r>
            <w:r>
              <w:rPr>
                <w:spacing w:val="-1"/>
                <w:w w:val="99"/>
                <w:sz w:val="16"/>
              </w:rPr>
              <w:t>projections</w:t>
            </w:r>
            <w:r>
              <w:rPr>
                <w:w w:val="99"/>
                <w:sz w:val="16"/>
              </w:rPr>
              <w:t>,</w:t>
            </w:r>
            <w:r>
              <w:rPr>
                <w:rFonts w:ascii="Times New Roman" w:hAnsi="Times New Roman"/>
                <w:spacing w:val="3"/>
                <w:sz w:val="16"/>
              </w:rPr>
              <w:t> </w:t>
            </w:r>
            <w:r>
              <w:rPr>
                <w:spacing w:val="-1"/>
                <w:w w:val="99"/>
                <w:sz w:val="16"/>
              </w:rPr>
              <w:t>UKCP1</w:t>
            </w:r>
            <w:r>
              <w:rPr>
                <w:w w:val="99"/>
                <w:sz w:val="16"/>
              </w:rPr>
              <w:t>8</w:t>
            </w:r>
            <w:r>
              <w:rPr>
                <w:rFonts w:ascii="Times New Roman" w:hAnsi="Times New Roman"/>
                <w:spacing w:val="3"/>
                <w:sz w:val="16"/>
              </w:rPr>
              <w:t> </w:t>
            </w:r>
            <w:r>
              <w:rPr>
                <w:spacing w:val="-1"/>
                <w:w w:val="99"/>
                <w:sz w:val="16"/>
              </w:rPr>
              <w:t>wit</w:t>
            </w:r>
            <w:r>
              <w:rPr>
                <w:w w:val="99"/>
                <w:sz w:val="16"/>
              </w:rPr>
              <w:t>h</w:t>
            </w:r>
            <w:r>
              <w:rPr>
                <w:rFonts w:ascii="Times New Roman" w:hAnsi="Times New Roman"/>
                <w:spacing w:val="3"/>
                <w:sz w:val="16"/>
              </w:rPr>
              <w:t> </w:t>
            </w:r>
            <w:r>
              <w:rPr>
                <w:w w:val="99"/>
                <w:sz w:val="16"/>
              </w:rPr>
              <w:t>support</w:t>
            </w:r>
            <w:r>
              <w:rPr>
                <w:rFonts w:ascii="Times New Roman" w:hAnsi="Times New Roman"/>
                <w:spacing w:val="4"/>
                <w:sz w:val="16"/>
              </w:rPr>
              <w:t> </w:t>
            </w:r>
            <w:r>
              <w:rPr>
                <w:w w:val="99"/>
                <w:sz w:val="16"/>
              </w:rPr>
              <w:t>from</w:t>
            </w:r>
            <w:r>
              <w:rPr>
                <w:rFonts w:ascii="Times New Roman" w:hAnsi="Times New Roman"/>
                <w:spacing w:val="4"/>
                <w:sz w:val="16"/>
              </w:rPr>
              <w:t> </w:t>
            </w:r>
            <w:r>
              <w:rPr>
                <w:spacing w:val="-1"/>
                <w:w w:val="110"/>
                <w:sz w:val="16"/>
              </w:rPr>
              <w:t>iCASP)”</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Reference to UKCIP removed</w:t>
            </w:r>
          </w:p>
        </w:tc>
      </w:tr>
      <w:tr>
        <w:trPr>
          <w:trHeight w:val="1257" w:hRule="atLeast"/>
        </w:trPr>
        <w:tc>
          <w:tcPr>
            <w:tcW w:w="2909" w:type="dxa"/>
            <w:vMerge/>
            <w:tcBorders>
              <w:top w:val="nil"/>
              <w:left w:val="single" w:sz="6" w:space="0" w:color="000000"/>
              <w:bottom w:val="single" w:sz="6" w:space="0" w:color="000000"/>
              <w:right w:val="single" w:sz="6" w:space="0" w:color="000000"/>
            </w:tcBorders>
          </w:tcPr>
          <w:p>
            <w:pPr>
              <w:rPr>
                <w:sz w:val="2"/>
                <w:szCs w:val="2"/>
              </w:rPr>
            </w:pPr>
          </w:p>
        </w:tc>
        <w:tc>
          <w:tcPr>
            <w:tcW w:w="8638"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ind w:left="34" w:right="4455"/>
              <w:rPr>
                <w:sz w:val="16"/>
              </w:rPr>
            </w:pPr>
            <w:r>
              <w:rPr>
                <w:sz w:val="16"/>
              </w:rPr>
              <w:t>Appendix A: UKCP09 Climate Projections for Leeds UKCIP not related to UKCP09 in this case</w:t>
            </w:r>
          </w:p>
          <w:p>
            <w:pPr>
              <w:pStyle w:val="TableParagraph"/>
              <w:spacing w:line="254" w:lineRule="auto"/>
              <w:ind w:left="34" w:right="349"/>
              <w:rPr>
                <w:sz w:val="16"/>
              </w:rPr>
            </w:pPr>
            <w:r>
              <w:rPr>
                <w:sz w:val="16"/>
              </w:rPr>
              <w:t>I suggest also referring to (recently revised) national guidance on </w:t>
            </w:r>
            <w:r>
              <w:rPr>
                <w:spacing w:val="-3"/>
                <w:sz w:val="16"/>
              </w:rPr>
              <w:t>‘climate </w:t>
            </w:r>
            <w:r>
              <w:rPr>
                <w:sz w:val="16"/>
              </w:rPr>
              <w:t>change factors’ for flood risk management: </w:t>
            </w:r>
            <w:hyperlink r:id="rId133">
              <w:r>
                <w:rPr>
                  <w:sz w:val="16"/>
                </w:rPr>
                <w:t>https://www.gov.uk/guidance/flood-risk-assessments-climate-change-allowances#table-1</w:t>
              </w:r>
            </w:hyperlink>
          </w:p>
          <w:p>
            <w:pPr>
              <w:pStyle w:val="TableParagraph"/>
              <w:ind w:left="34"/>
              <w:rPr>
                <w:sz w:val="16"/>
              </w:rPr>
            </w:pPr>
            <w:r>
              <w:rPr>
                <w:sz w:val="16"/>
              </w:rPr>
              <w:t>I</w:t>
            </w:r>
            <w:r>
              <w:rPr>
                <w:spacing w:val="-6"/>
                <w:sz w:val="16"/>
              </w:rPr>
              <w:t> </w:t>
            </w:r>
            <w:r>
              <w:rPr>
                <w:sz w:val="16"/>
              </w:rPr>
              <w:t>suspect</w:t>
            </w:r>
            <w:r>
              <w:rPr>
                <w:spacing w:val="-5"/>
                <w:sz w:val="16"/>
              </w:rPr>
              <w:t> </w:t>
            </w:r>
            <w:r>
              <w:rPr>
                <w:sz w:val="16"/>
              </w:rPr>
              <w:t>these</w:t>
            </w:r>
            <w:r>
              <w:rPr>
                <w:spacing w:val="-5"/>
                <w:sz w:val="16"/>
              </w:rPr>
              <w:t> </w:t>
            </w:r>
            <w:r>
              <w:rPr>
                <w:sz w:val="16"/>
              </w:rPr>
              <w:t>will</w:t>
            </w:r>
            <w:r>
              <w:rPr>
                <w:spacing w:val="-6"/>
                <w:sz w:val="16"/>
              </w:rPr>
              <w:t> </w:t>
            </w:r>
            <w:r>
              <w:rPr>
                <w:sz w:val="16"/>
              </w:rPr>
              <w:t>be</w:t>
            </w:r>
            <w:r>
              <w:rPr>
                <w:spacing w:val="-6"/>
                <w:sz w:val="16"/>
              </w:rPr>
              <w:t> </w:t>
            </w:r>
            <w:r>
              <w:rPr>
                <w:sz w:val="16"/>
              </w:rPr>
              <w:t>revised</w:t>
            </w:r>
            <w:r>
              <w:rPr>
                <w:spacing w:val="-5"/>
                <w:sz w:val="16"/>
              </w:rPr>
              <w:t> </w:t>
            </w:r>
            <w:r>
              <w:rPr>
                <w:sz w:val="16"/>
              </w:rPr>
              <w:t>(upwards)</w:t>
            </w:r>
            <w:r>
              <w:rPr>
                <w:spacing w:val="-5"/>
                <w:sz w:val="16"/>
              </w:rPr>
              <w:t> </w:t>
            </w:r>
            <w:r>
              <w:rPr>
                <w:sz w:val="16"/>
              </w:rPr>
              <w:t>in</w:t>
            </w:r>
            <w:r>
              <w:rPr>
                <w:spacing w:val="-6"/>
                <w:sz w:val="16"/>
              </w:rPr>
              <w:t> </w:t>
            </w:r>
            <w:r>
              <w:rPr>
                <w:sz w:val="16"/>
              </w:rPr>
              <w:t>light</w:t>
            </w:r>
            <w:r>
              <w:rPr>
                <w:spacing w:val="-6"/>
                <w:sz w:val="16"/>
              </w:rPr>
              <w:t> </w:t>
            </w:r>
            <w:r>
              <w:rPr>
                <w:sz w:val="16"/>
              </w:rPr>
              <w:t>of</w:t>
            </w:r>
            <w:r>
              <w:rPr>
                <w:spacing w:val="-6"/>
                <w:sz w:val="16"/>
              </w:rPr>
              <w:t> </w:t>
            </w:r>
            <w:r>
              <w:rPr>
                <w:sz w:val="16"/>
              </w:rPr>
              <w:t>UKCP18</w:t>
            </w:r>
            <w:r>
              <w:rPr>
                <w:spacing w:val="-5"/>
                <w:sz w:val="16"/>
              </w:rPr>
              <w:t> </w:t>
            </w:r>
            <w:r>
              <w:rPr>
                <w:sz w:val="16"/>
              </w:rPr>
              <w:t>(although</w:t>
            </w:r>
            <w:r>
              <w:rPr>
                <w:spacing w:val="-6"/>
                <w:sz w:val="16"/>
              </w:rPr>
              <w:t> </w:t>
            </w:r>
            <w:r>
              <w:rPr>
                <w:sz w:val="16"/>
              </w:rPr>
              <w:t>this</w:t>
            </w:r>
            <w:r>
              <w:rPr>
                <w:spacing w:val="-5"/>
                <w:sz w:val="16"/>
              </w:rPr>
              <w:t> </w:t>
            </w:r>
            <w:r>
              <w:rPr>
                <w:sz w:val="16"/>
              </w:rPr>
              <w:t>might</w:t>
            </w:r>
            <w:r>
              <w:rPr>
                <w:spacing w:val="-5"/>
                <w:sz w:val="16"/>
              </w:rPr>
              <w:t> </w:t>
            </w:r>
            <w:r>
              <w:rPr>
                <w:sz w:val="16"/>
              </w:rPr>
              <w:t>take</w:t>
            </w:r>
            <w:r>
              <w:rPr>
                <w:spacing w:val="-5"/>
                <w:sz w:val="16"/>
              </w:rPr>
              <w:t> </w:t>
            </w:r>
            <w:r>
              <w:rPr>
                <w:sz w:val="16"/>
              </w:rPr>
              <w:t>some</w:t>
            </w:r>
            <w:r>
              <w:rPr>
                <w:spacing w:val="-5"/>
                <w:sz w:val="16"/>
              </w:rPr>
              <w:t> </w:t>
            </w:r>
            <w:r>
              <w:rPr>
                <w:sz w:val="16"/>
              </w:rPr>
              <w:t>time</w:t>
            </w:r>
            <w:r>
              <w:rPr>
                <w:spacing w:val="-5"/>
                <w:sz w:val="16"/>
              </w:rPr>
              <w:t> </w:t>
            </w:r>
            <w:r>
              <w:rPr>
                <w:sz w:val="16"/>
              </w:rPr>
              <w:t>following</w:t>
            </w:r>
            <w:r>
              <w:rPr>
                <w:spacing w:val="-5"/>
                <w:sz w:val="16"/>
              </w:rPr>
              <w:t> </w:t>
            </w:r>
            <w:r>
              <w:rPr>
                <w:sz w:val="16"/>
              </w:rPr>
              <w:t>release</w:t>
            </w:r>
            <w:r>
              <w:rPr>
                <w:spacing w:val="-5"/>
                <w:sz w:val="16"/>
              </w:rPr>
              <w:t> </w:t>
            </w:r>
            <w:r>
              <w:rPr>
                <w:sz w:val="16"/>
              </w:rPr>
              <w:t>in</w:t>
            </w:r>
            <w:r>
              <w:rPr>
                <w:spacing w:val="-6"/>
                <w:sz w:val="16"/>
              </w:rPr>
              <w:t> </w:t>
            </w:r>
            <w:r>
              <w:rPr>
                <w:sz w:val="16"/>
              </w:rPr>
              <w:t>Nov).</w:t>
            </w:r>
          </w:p>
        </w:tc>
        <w:tc>
          <w:tcPr>
            <w:tcW w:w="4572"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33"/>
              <w:rPr>
                <w:sz w:val="16"/>
              </w:rPr>
            </w:pPr>
            <w:r>
              <w:rPr>
                <w:sz w:val="16"/>
              </w:rPr>
              <w:t>Reference to UKCIP removed</w:t>
            </w:r>
          </w:p>
        </w:tc>
      </w:tr>
    </w:tbl>
    <w:p>
      <w:pPr>
        <w:spacing w:after="0" w:line="181" w:lineRule="exact"/>
        <w:rPr>
          <w:sz w:val="16"/>
        </w:rPr>
        <w:sectPr>
          <w:footerReference w:type="even" r:id="rId132"/>
          <w:pgSz w:w="16840" w:h="11910" w:orient="landscape"/>
          <w:pgMar w:footer="0" w:header="0" w:top="780" w:bottom="280" w:left="220" w:right="2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19"/>
        </w:rPr>
      </w:pPr>
    </w:p>
    <w:p>
      <w:pPr>
        <w:tabs>
          <w:tab w:pos="4616" w:val="left" w:leader="none"/>
        </w:tabs>
        <w:spacing w:before="59"/>
        <w:ind w:left="161" w:right="0" w:firstLine="0"/>
        <w:jc w:val="left"/>
        <w:rPr>
          <w:sz w:val="125"/>
        </w:rPr>
      </w:pPr>
      <w:r>
        <w:rPr/>
        <w:drawing>
          <wp:anchor distT="0" distB="0" distL="0" distR="0" allowOverlap="1" layoutInCell="1" locked="0" behindDoc="1" simplePos="0" relativeHeight="268037087">
            <wp:simplePos x="0" y="0"/>
            <wp:positionH relativeFrom="page">
              <wp:posOffset>2869860</wp:posOffset>
            </wp:positionH>
            <wp:positionV relativeFrom="paragraph">
              <wp:posOffset>255011</wp:posOffset>
            </wp:positionV>
            <wp:extent cx="825402" cy="546029"/>
            <wp:effectExtent l="0" t="0" r="0" b="0"/>
            <wp:wrapNone/>
            <wp:docPr id="91" name="image81.jpeg" descr=""/>
            <wp:cNvGraphicFramePr>
              <a:graphicFrameLocks noChangeAspect="1"/>
            </wp:cNvGraphicFramePr>
            <a:graphic>
              <a:graphicData uri="http://schemas.openxmlformats.org/drawingml/2006/picture">
                <pic:pic>
                  <pic:nvPicPr>
                    <pic:cNvPr id="92" name="image81.jpeg"/>
                    <pic:cNvPicPr/>
                  </pic:nvPicPr>
                  <pic:blipFill>
                    <a:blip r:embed="rId135" cstate="print"/>
                    <a:stretch>
                      <a:fillRect/>
                    </a:stretch>
                  </pic:blipFill>
                  <pic:spPr>
                    <a:xfrm>
                      <a:off x="0" y="0"/>
                      <a:ext cx="825402" cy="546029"/>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4634952</wp:posOffset>
            </wp:positionH>
            <wp:positionV relativeFrom="paragraph">
              <wp:posOffset>242312</wp:posOffset>
            </wp:positionV>
            <wp:extent cx="495241" cy="558727"/>
            <wp:effectExtent l="0" t="0" r="0" b="0"/>
            <wp:wrapNone/>
            <wp:docPr id="93" name="image82.jpeg" descr=""/>
            <wp:cNvGraphicFramePr>
              <a:graphicFrameLocks noChangeAspect="1"/>
            </wp:cNvGraphicFramePr>
            <a:graphic>
              <a:graphicData uri="http://schemas.openxmlformats.org/drawingml/2006/picture">
                <pic:pic>
                  <pic:nvPicPr>
                    <pic:cNvPr id="94" name="image82.jpeg"/>
                    <pic:cNvPicPr/>
                  </pic:nvPicPr>
                  <pic:blipFill>
                    <a:blip r:embed="rId136" cstate="print"/>
                    <a:stretch>
                      <a:fillRect/>
                    </a:stretch>
                  </pic:blipFill>
                  <pic:spPr>
                    <a:xfrm>
                      <a:off x="0" y="0"/>
                      <a:ext cx="495241" cy="558727"/>
                    </a:xfrm>
                    <a:prstGeom prst="rect">
                      <a:avLst/>
                    </a:prstGeom>
                  </pic:spPr>
                </pic:pic>
              </a:graphicData>
            </a:graphic>
          </wp:anchor>
        </w:drawing>
      </w:r>
      <w:bookmarkStart w:name="END3_Page_61" w:id="109"/>
      <w:bookmarkEnd w:id="109"/>
      <w:r>
        <w:rPr/>
      </w:r>
      <w:r>
        <w:rPr>
          <w:color w:val="FB4446"/>
          <w:w w:val="105"/>
          <w:sz w:val="125"/>
        </w:rPr>
        <w:t>Appe</w:t>
        <w:tab/>
      </w:r>
      <w:r>
        <w:rPr>
          <w:color w:val="FB4436"/>
          <w:w w:val="105"/>
          <w:sz w:val="125"/>
        </w:rPr>
        <w:t>ix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r>
        <w:rPr/>
        <w:drawing>
          <wp:anchor distT="0" distB="0" distL="0" distR="0" allowOverlap="1" layoutInCell="1" locked="0" behindDoc="0" simplePos="0" relativeHeight="131">
            <wp:simplePos x="0" y="0"/>
            <wp:positionH relativeFrom="page">
              <wp:posOffset>888895</wp:posOffset>
            </wp:positionH>
            <wp:positionV relativeFrom="paragraph">
              <wp:posOffset>200355</wp:posOffset>
            </wp:positionV>
            <wp:extent cx="5054688" cy="88677"/>
            <wp:effectExtent l="0" t="0" r="0" b="0"/>
            <wp:wrapTopAndBottom/>
            <wp:docPr id="95" name="image38.png" descr=""/>
            <wp:cNvGraphicFramePr>
              <a:graphicFrameLocks noChangeAspect="1"/>
            </wp:cNvGraphicFramePr>
            <a:graphic>
              <a:graphicData uri="http://schemas.openxmlformats.org/drawingml/2006/picture">
                <pic:pic>
                  <pic:nvPicPr>
                    <pic:cNvPr id="96" name="image38.png"/>
                    <pic:cNvPicPr/>
                  </pic:nvPicPr>
                  <pic:blipFill>
                    <a:blip r:embed="rId56" cstate="print"/>
                    <a:stretch>
                      <a:fillRect/>
                    </a:stretch>
                  </pic:blipFill>
                  <pic:spPr>
                    <a:xfrm>
                      <a:off x="0" y="0"/>
                      <a:ext cx="5054688" cy="88677"/>
                    </a:xfrm>
                    <a:prstGeom prst="rect">
                      <a:avLst/>
                    </a:prstGeom>
                  </pic:spPr>
                </pic:pic>
              </a:graphicData>
            </a:graphic>
          </wp:anchor>
        </w:drawing>
      </w:r>
    </w:p>
    <w:p>
      <w:pPr>
        <w:pStyle w:val="BodyText"/>
      </w:pPr>
    </w:p>
    <w:p>
      <w:pPr>
        <w:tabs>
          <w:tab w:pos="3415" w:val="left" w:leader="none"/>
        </w:tabs>
        <w:spacing w:line="211" w:lineRule="auto" w:before="61"/>
        <w:ind w:left="136" w:right="2904" w:hanging="2"/>
        <w:jc w:val="left"/>
        <w:rPr>
          <w:rFonts w:ascii="Calibri"/>
          <w:sz w:val="52"/>
        </w:rPr>
      </w:pPr>
      <w:r>
        <w:rPr>
          <w:rFonts w:ascii="Calibri"/>
          <w:w w:val="120"/>
          <w:sz w:val="52"/>
        </w:rPr>
        <w:t>COMMENTS</w:t>
        <w:tab/>
        <w:t>FROM</w:t>
      </w:r>
      <w:r>
        <w:rPr>
          <w:rFonts w:ascii="Calibri"/>
          <w:spacing w:val="-8"/>
          <w:w w:val="120"/>
          <w:sz w:val="52"/>
        </w:rPr>
        <w:t> </w:t>
      </w:r>
      <w:r>
        <w:rPr>
          <w:rFonts w:ascii="Calibri"/>
          <w:w w:val="120"/>
          <w:sz w:val="52"/>
        </w:rPr>
        <w:t>LCC GOVERNANCE</w:t>
      </w:r>
    </w:p>
    <w:p>
      <w:pPr>
        <w:spacing w:after="0" w:line="211" w:lineRule="auto"/>
        <w:jc w:val="left"/>
        <w:rPr>
          <w:rFonts w:ascii="Calibri"/>
          <w:sz w:val="52"/>
        </w:rPr>
        <w:sectPr>
          <w:footerReference w:type="default" r:id="rId134"/>
          <w:pgSz w:w="11920" w:h="16840"/>
          <w:pgMar w:footer="0" w:header="0" w:top="1580" w:bottom="280" w:left="1280" w:right="1680"/>
        </w:sectPr>
      </w:pPr>
    </w:p>
    <w:p>
      <w:pPr>
        <w:pStyle w:val="BodyText"/>
        <w:ind w:right="-42"/>
        <w:rPr>
          <w:rFonts w:ascii="Calibri"/>
          <w:sz w:val="20"/>
        </w:rPr>
      </w:pPr>
      <w:bookmarkStart w:name="END3_Page_63" w:id="110"/>
      <w:bookmarkEnd w:id="110"/>
      <w:r>
        <w:rPr/>
      </w:r>
      <w:r>
        <w:rPr>
          <w:rFonts w:ascii="Calibri"/>
          <w:sz w:val="20"/>
        </w:rPr>
        <w:drawing>
          <wp:inline distT="0" distB="0" distL="0" distR="0">
            <wp:extent cx="7562190" cy="10693908"/>
            <wp:effectExtent l="0" t="0" r="0" b="0"/>
            <wp:docPr id="97" name="image9.png" descr=""/>
            <wp:cNvGraphicFramePr>
              <a:graphicFrameLocks noChangeAspect="1"/>
            </wp:cNvGraphicFramePr>
            <a:graphic>
              <a:graphicData uri="http://schemas.openxmlformats.org/drawingml/2006/picture">
                <pic:pic>
                  <pic:nvPicPr>
                    <pic:cNvPr id="98" name="image9.png"/>
                    <pic:cNvPicPr/>
                  </pic:nvPicPr>
                  <pic:blipFill>
                    <a:blip r:embed="rId13" cstate="print"/>
                    <a:stretch>
                      <a:fillRect/>
                    </a:stretch>
                  </pic:blipFill>
                  <pic:spPr>
                    <a:xfrm>
                      <a:off x="0" y="0"/>
                      <a:ext cx="7562190" cy="10693908"/>
                    </a:xfrm>
                    <a:prstGeom prst="rect">
                      <a:avLst/>
                    </a:prstGeom>
                  </pic:spPr>
                </pic:pic>
              </a:graphicData>
            </a:graphic>
          </wp:inline>
        </w:drawing>
      </w:r>
      <w:r>
        <w:rPr>
          <w:rFonts w:ascii="Calibri"/>
          <w:sz w:val="20"/>
        </w:rPr>
      </w:r>
    </w:p>
    <w:p>
      <w:pPr>
        <w:spacing w:after="0"/>
        <w:rPr>
          <w:rFonts w:ascii="Calibri"/>
          <w:sz w:val="20"/>
        </w:rPr>
        <w:sectPr>
          <w:footerReference w:type="even" r:id="rId137"/>
          <w:pgSz w:w="11910" w:h="16840"/>
          <w:pgMar w:footer="0" w:header="0" w:top="0" w:bottom="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7"/>
        </w:rPr>
      </w:pPr>
    </w:p>
    <w:p>
      <w:pPr>
        <w:pStyle w:val="BodyText"/>
        <w:ind w:left="1199"/>
        <w:rPr>
          <w:rFonts w:ascii="Calibri"/>
          <w:sz w:val="20"/>
        </w:rPr>
      </w:pPr>
      <w:r>
        <w:rPr>
          <w:rFonts w:ascii="Calibri"/>
          <w:sz w:val="20"/>
        </w:rPr>
        <w:drawing>
          <wp:inline distT="0" distB="0" distL="0" distR="0">
            <wp:extent cx="63818" cy="433959"/>
            <wp:effectExtent l="0" t="0" r="0" b="0"/>
            <wp:docPr id="99" name="image83.png" descr=""/>
            <wp:cNvGraphicFramePr>
              <a:graphicFrameLocks noChangeAspect="1"/>
            </wp:cNvGraphicFramePr>
            <a:graphic>
              <a:graphicData uri="http://schemas.openxmlformats.org/drawingml/2006/picture">
                <pic:pic>
                  <pic:nvPicPr>
                    <pic:cNvPr id="100" name="image83.png"/>
                    <pic:cNvPicPr/>
                  </pic:nvPicPr>
                  <pic:blipFill>
                    <a:blip r:embed="rId139" cstate="print"/>
                    <a:stretch>
                      <a:fillRect/>
                    </a:stretch>
                  </pic:blipFill>
                  <pic:spPr>
                    <a:xfrm>
                      <a:off x="0" y="0"/>
                      <a:ext cx="63818" cy="433959"/>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spacing w:before="1"/>
        <w:rPr>
          <w:rFonts w:ascii="Calibri"/>
          <w:sz w:val="27"/>
        </w:rPr>
      </w:pPr>
    </w:p>
    <w:p>
      <w:pPr>
        <w:spacing w:line="284" w:lineRule="exact" w:before="92"/>
        <w:ind w:left="112" w:right="0" w:firstLine="0"/>
        <w:jc w:val="left"/>
        <w:rPr>
          <w:sz w:val="25"/>
        </w:rPr>
      </w:pPr>
      <w:bookmarkStart w:name="END3_Page_64" w:id="111"/>
      <w:bookmarkEnd w:id="111"/>
      <w:r>
        <w:rPr/>
      </w:r>
      <w:r>
        <w:rPr>
          <w:color w:val="050505"/>
          <w:sz w:val="25"/>
        </w:rPr>
        <w:t>1st </w:t>
      </w:r>
      <w:r>
        <w:rPr>
          <w:sz w:val="25"/>
        </w:rPr>
        <w:t>Floor</w:t>
      </w:r>
    </w:p>
    <w:p>
      <w:pPr>
        <w:spacing w:line="284" w:lineRule="exact" w:before="0"/>
        <w:ind w:left="121" w:right="0" w:firstLine="0"/>
        <w:jc w:val="left"/>
        <w:rPr>
          <w:sz w:val="25"/>
        </w:rPr>
      </w:pPr>
      <w:r>
        <w:rPr>
          <w:color w:val="050505"/>
          <w:w w:val="95"/>
          <w:sz w:val="25"/>
        </w:rPr>
        <w:t>LS1 </w:t>
      </w:r>
      <w:r>
        <w:rPr>
          <w:w w:val="95"/>
          <w:sz w:val="25"/>
        </w:rPr>
        <w:t>Headrow</w:t>
      </w:r>
    </w:p>
    <w:p>
      <w:pPr>
        <w:spacing w:line="232" w:lineRule="auto" w:before="20"/>
        <w:ind w:left="121" w:right="5893" w:hanging="2"/>
        <w:jc w:val="left"/>
        <w:rPr>
          <w:sz w:val="25"/>
        </w:rPr>
      </w:pPr>
      <w:r>
        <w:rPr>
          <w:color w:val="050505"/>
          <w:w w:val="95"/>
          <w:sz w:val="25"/>
        </w:rPr>
        <w:t>Uni</w:t>
      </w:r>
      <w:r>
        <w:rPr>
          <w:color w:val="050505"/>
          <w:spacing w:val="-41"/>
          <w:w w:val="95"/>
          <w:sz w:val="25"/>
        </w:rPr>
        <w:t> </w:t>
      </w:r>
      <w:r>
        <w:rPr>
          <w:color w:val="000C18"/>
          <w:w w:val="95"/>
          <w:sz w:val="25"/>
        </w:rPr>
        <w:t>113</w:t>
      </w:r>
      <w:r>
        <w:rPr>
          <w:color w:val="000C18"/>
          <w:spacing w:val="-36"/>
          <w:w w:val="95"/>
          <w:sz w:val="25"/>
        </w:rPr>
        <w:t> </w:t>
      </w:r>
      <w:r>
        <w:rPr>
          <w:color w:val="011321"/>
          <w:w w:val="95"/>
          <w:sz w:val="25"/>
        </w:rPr>
        <w:t>The</w:t>
      </w:r>
      <w:r>
        <w:rPr>
          <w:color w:val="011321"/>
          <w:spacing w:val="-43"/>
          <w:w w:val="95"/>
          <w:sz w:val="25"/>
        </w:rPr>
        <w:t> </w:t>
      </w:r>
      <w:r>
        <w:rPr>
          <w:color w:val="050505"/>
          <w:w w:val="95"/>
          <w:sz w:val="25"/>
        </w:rPr>
        <w:t>Headrow,</w:t>
      </w:r>
      <w:r>
        <w:rPr>
          <w:color w:val="050505"/>
          <w:spacing w:val="-42"/>
          <w:w w:val="95"/>
          <w:sz w:val="25"/>
        </w:rPr>
        <w:t> </w:t>
      </w:r>
      <w:r>
        <w:rPr>
          <w:w w:val="95"/>
          <w:sz w:val="25"/>
        </w:rPr>
        <w:t>Leeds </w:t>
      </w:r>
      <w:r>
        <w:rPr>
          <w:color w:val="00111F"/>
          <w:sz w:val="25"/>
        </w:rPr>
        <w:t>LS1</w:t>
      </w:r>
      <w:r>
        <w:rPr>
          <w:color w:val="00111F"/>
          <w:spacing w:val="23"/>
          <w:sz w:val="25"/>
        </w:rPr>
        <w:t> </w:t>
      </w:r>
      <w:r>
        <w:rPr>
          <w:sz w:val="25"/>
        </w:rPr>
        <w:t>SJW</w:t>
      </w:r>
    </w:p>
    <w:sectPr>
      <w:footerReference w:type="default" r:id="rId138"/>
      <w:pgSz w:w="11920" w:h="16840"/>
      <w:pgMar w:footer="0" w:header="0" w:top="1580" w:bottom="280" w:left="12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ESRI North">
    <w:altName w:val="ESRI North"/>
    <w:charset w:val="0"/>
    <w:family w:val="auto"/>
    <w:pitch w:val="variable"/>
  </w:font>
  <w:font w:name="Consolas">
    <w:altName w:val="Consolas"/>
    <w:charset w:val="0"/>
    <w:family w:val="modern"/>
    <w:pitch w:val="fixed"/>
  </w:font>
  <w:font w:name="Symbol">
    <w:altName w:val="Symbol"/>
    <w:charset w:val="2"/>
    <w:family w:val="roman"/>
    <w:pitch w:val="variable"/>
  </w:font>
  <w:font w:name="Cambria">
    <w:altName w:val="Cambria"/>
    <w:charset w:val="0"/>
    <w:family w:val="roman"/>
    <w:pitch w:val="variable"/>
  </w:font>
  <w:font w:name="Calibri">
    <w:altName w:val="Calibri"/>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1536" from="69.114151pt,766.803284pt" to="562.032251pt,766.803284pt" stroked="true" strokeweight="1.420883pt" strokecolor="#ff3b42">
          <v:stroke dashstyle="solid"/>
          <w10:wrap type="none"/>
        </v:line>
      </w:pict>
    </w:r>
    <w:r>
      <w:rPr/>
      <w:pict>
        <v:shapetype id="_x0000_t202" o:spt="202" coordsize="21600,21600" path="m,l,21600r21600,l21600,xe">
          <v:stroke joinstyle="miter"/>
          <v:path gradientshapeok="t" o:connecttype="rect"/>
        </v:shapetype>
        <v:shape style="position:absolute;margin-left:70.223969pt;margin-top:778.420776pt;width:228.4pt;height:35.8pt;mso-position-horizontal-relative:page;mso-position-vertical-relative:page;z-index:-401512" type="#_x0000_t202" filled="false" stroked="false">
          <v:textbox inset="0,0,0,0">
            <w:txbxContent>
              <w:p>
                <w:pPr>
                  <w:spacing w:before="20"/>
                  <w:ind w:left="20" w:right="0" w:firstLine="0"/>
                  <w:jc w:val="left"/>
                  <w:rPr>
                    <w:sz w:val="19"/>
                  </w:rPr>
                </w:pPr>
                <w:r>
                  <w:rPr>
                    <w:w w:val="105"/>
                    <w:sz w:val="19"/>
                  </w:rPr>
                  <w:t>LOCAL FLOOD RISK MANAGEMENT STRATEGY</w:t>
                </w:r>
              </w:p>
              <w:p>
                <w:pPr>
                  <w:spacing w:line="249" w:lineRule="auto" w:before="9"/>
                  <w:ind w:left="20" w:right="873" w:hanging="1"/>
                  <w:jc w:val="left"/>
                  <w:rPr>
                    <w:sz w:val="19"/>
                  </w:rPr>
                </w:pPr>
                <w:r>
                  <w:rPr>
                    <w:w w:val="105"/>
                    <w:sz w:val="19"/>
                  </w:rPr>
                  <w:t>Project No.: 70046860 | Our Ref No.: 003 Leeds City Council</w:t>
                </w:r>
              </w:p>
            </w:txbxContent>
          </v:textbox>
          <w10:wrap type="none"/>
        </v:shape>
      </w:pict>
    </w:r>
    <w:r>
      <w:rPr/>
      <w:pict>
        <v:shape style="position:absolute;margin-left:488.230103pt;margin-top:778.420776pt;width:72.95pt;height:24.5pt;mso-position-horizontal-relative:page;mso-position-vertical-relative:page;z-index:-401488" type="#_x0000_t202" filled="false" stroked="false">
          <v:textbox inset="0,0,0,0">
            <w:txbxContent>
              <w:p>
                <w:pPr>
                  <w:spacing w:line="218" w:lineRule="exact" w:before="20"/>
                  <w:ind w:left="0" w:right="31" w:firstLine="0"/>
                  <w:jc w:val="right"/>
                  <w:rPr>
                    <w:sz w:val="19"/>
                  </w:rPr>
                </w:pPr>
                <w:r>
                  <w:rPr>
                    <w:spacing w:val="-1"/>
                    <w:sz w:val="19"/>
                  </w:rPr>
                  <w:t>WSP</w:t>
                </w:r>
              </w:p>
              <w:p>
                <w:pPr>
                  <w:spacing w:line="230" w:lineRule="exact" w:before="0"/>
                  <w:ind w:left="0" w:right="18" w:firstLine="0"/>
                  <w:jc w:val="right"/>
                  <w:rPr>
                    <w:sz w:val="20"/>
                  </w:rPr>
                </w:pPr>
                <w:r>
                  <w:rPr>
                    <w:sz w:val="20"/>
                  </w:rPr>
                  <w:t>December</w:t>
                </w:r>
                <w:r>
                  <w:rPr>
                    <w:spacing w:val="-18"/>
                    <w:sz w:val="20"/>
                  </w:rPr>
                  <w:t> </w:t>
                </w:r>
                <w:r>
                  <w:rPr>
                    <w:sz w:val="20"/>
                  </w:rPr>
                  <w:t>2018</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1176" from="69.114151pt,766.736267pt" to="562.032251pt,766.736267pt" stroked="true" strokeweight="1.43988pt" strokecolor="#ff3b42">
          <v:stroke dashstyle="solid"/>
          <w10:wrap type="none"/>
        </v:line>
      </w:pict>
    </w:r>
    <w:r>
      <w:rPr/>
      <w:pict>
        <v:shape style="position:absolute;margin-left:69.913986pt;margin-top:778.282471pt;width:72.650pt;height:36.6pt;mso-position-horizontal-relative:page;mso-position-vertical-relative:page;z-index:-401152" type="#_x0000_t202" filled="false" stroked="false">
          <v:textbox inset="0,0,0,0">
            <w:txbxContent>
              <w:p>
                <w:pPr>
                  <w:spacing w:before="13"/>
                  <w:ind w:left="20" w:right="0" w:firstLine="0"/>
                  <w:jc w:val="left"/>
                  <w:rPr>
                    <w:sz w:val="20"/>
                  </w:rPr>
                </w:pPr>
                <w:r>
                  <w:rPr>
                    <w:sz w:val="20"/>
                  </w:rPr>
                  <w:t>WSP</w:t>
                </w:r>
              </w:p>
              <w:p>
                <w:pPr>
                  <w:spacing w:before="1"/>
                  <w:ind w:left="26" w:right="0" w:firstLine="0"/>
                  <w:jc w:val="left"/>
                  <w:rPr>
                    <w:sz w:val="20"/>
                  </w:rPr>
                </w:pPr>
                <w:r>
                  <w:rPr>
                    <w:sz w:val="20"/>
                  </w:rPr>
                  <w:t>December 2018</w:t>
                </w:r>
              </w:p>
              <w:p>
                <w:pPr>
                  <w:spacing w:before="0"/>
                  <w:ind w:left="26" w:right="0" w:firstLine="0"/>
                  <w:jc w:val="left"/>
                  <w:rPr>
                    <w:sz w:val="20"/>
                  </w:rPr>
                </w:pPr>
                <w:r>
                  <w:rPr>
                    <w:sz w:val="20"/>
                  </w:rPr>
                  <w:t>Page </w:t>
                </w:r>
                <w:r>
                  <w:rPr/>
                  <w:fldChar w:fldCharType="begin"/>
                </w:r>
                <w:r>
                  <w:rPr>
                    <w:sz w:val="20"/>
                  </w:rPr>
                  <w:instrText> PAGE </w:instrText>
                </w:r>
                <w:r>
                  <w:rPr/>
                  <w:fldChar w:fldCharType="separate"/>
                </w:r>
                <w:r>
                  <w:rPr/>
                  <w:t>12</w:t>
                </w:r>
                <w:r>
                  <w:rPr/>
                  <w:fldChar w:fldCharType="end"/>
                </w:r>
                <w:r>
                  <w:rPr>
                    <w:sz w:val="20"/>
                  </w:rPr>
                  <w:t> of 36</w:t>
                </w:r>
              </w:p>
            </w:txbxContent>
          </v:textbox>
          <w10:wrap type="none"/>
        </v:shape>
      </w:pict>
    </w:r>
    <w:r>
      <w:rPr/>
      <w:pict>
        <v:shape style="position:absolute;margin-left:331.841797pt;margin-top:778.282471pt;width:229.4pt;height:36.25pt;mso-position-horizontal-relative:page;mso-position-vertical-relative:page;z-index:-401128" type="#_x0000_t202" filled="false" stroked="false">
          <v:textbox inset="0,0,0,0">
            <w:txbxContent>
              <w:p>
                <w:pPr>
                  <w:spacing w:before="13"/>
                  <w:ind w:left="20" w:right="0" w:firstLine="0"/>
                  <w:jc w:val="left"/>
                  <w:rPr>
                    <w:sz w:val="20"/>
                  </w:rPr>
                </w:pPr>
                <w:r>
                  <w:rPr>
                    <w:sz w:val="20"/>
                  </w:rPr>
                  <w:t>LOCAL FLOOD RISK MANAGEMENT</w:t>
                </w:r>
                <w:r>
                  <w:rPr>
                    <w:spacing w:val="-28"/>
                    <w:sz w:val="20"/>
                  </w:rPr>
                  <w:t> </w:t>
                </w:r>
                <w:r>
                  <w:rPr>
                    <w:sz w:val="20"/>
                  </w:rPr>
                  <w:t>STRATEGY</w:t>
                </w:r>
              </w:p>
              <w:p>
                <w:pPr>
                  <w:spacing w:before="1"/>
                  <w:ind w:left="902" w:right="0" w:firstLine="0"/>
                  <w:jc w:val="left"/>
                  <w:rPr>
                    <w:sz w:val="20"/>
                  </w:rPr>
                </w:pPr>
                <w:r>
                  <w:rPr>
                    <w:sz w:val="20"/>
                  </w:rPr>
                  <w:t>Project No.: 70046860 | Our Ref No.:</w:t>
                </w:r>
                <w:r>
                  <w:rPr>
                    <w:spacing w:val="-32"/>
                    <w:sz w:val="20"/>
                  </w:rPr>
                  <w:t> </w:t>
                </w:r>
                <w:r>
                  <w:rPr>
                    <w:sz w:val="20"/>
                  </w:rPr>
                  <w:t>003</w:t>
                </w:r>
              </w:p>
              <w:p>
                <w:pPr>
                  <w:spacing w:before="0"/>
                  <w:ind w:left="2909" w:right="0" w:firstLine="0"/>
                  <w:jc w:val="left"/>
                  <w:rPr>
                    <w:sz w:val="20"/>
                  </w:rPr>
                </w:pPr>
                <w:r>
                  <w:rPr>
                    <w:sz w:val="20"/>
                  </w:rPr>
                  <w:t>Leeds City</w:t>
                </w:r>
                <w:r>
                  <w:rPr>
                    <w:spacing w:val="-38"/>
                    <w:sz w:val="20"/>
                  </w:rPr>
                  <w:t> </w:t>
                </w:r>
                <w:r>
                  <w:rPr>
                    <w:sz w:val="20"/>
                  </w:rPr>
                  <w:t>Council</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0005pt;margin-top:798.648315pt;width:440.05pt;height:8.75pt;mso-position-horizontal-relative:page;mso-position-vertical-relative:page;z-index:-401104" type="#_x0000_t202" filled="false" stroked="false">
          <v:textbox inset="0,0,0,0">
            <w:txbxContent>
              <w:p>
                <w:pPr>
                  <w:spacing w:before="16"/>
                  <w:ind w:left="20" w:right="0" w:firstLine="0"/>
                  <w:jc w:val="left"/>
                  <w:rPr>
                    <w:sz w:val="12"/>
                  </w:rPr>
                </w:pPr>
                <w:r>
                  <w:rPr>
                    <w:sz w:val="12"/>
                  </w:rPr>
                  <w:t>L:\DRAINAGE\D_GROUP6\Local Strategy For Flood Risk Management\01_LCC - Local Flood Risk Management Strategy\04_SEA\FINAL_SEA_Report_040713.doc</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0005pt;margin-top:798.648315pt;width:440.05pt;height:8.75pt;mso-position-horizontal-relative:page;mso-position-vertical-relative:page;z-index:-401080" type="#_x0000_t202" filled="false" stroked="false">
          <v:textbox inset="0,0,0,0">
            <w:txbxContent>
              <w:p>
                <w:pPr>
                  <w:spacing w:before="16"/>
                  <w:ind w:left="20" w:right="0" w:firstLine="0"/>
                  <w:jc w:val="left"/>
                  <w:rPr>
                    <w:sz w:val="12"/>
                  </w:rPr>
                </w:pPr>
                <w:r>
                  <w:rPr>
                    <w:sz w:val="12"/>
                  </w:rPr>
                  <w:t>L:\DRAINAGE\D_GROUP6\Local Strategy For Flood Risk Management\01_LCC - Local Flood Risk Management Strategy\04_SEA\FINAL_SEA_Report_040713.doc</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200073pt;margin-top:785.582642pt;width:408.85pt;height:21.3pt;mso-position-horizontal-relative:page;mso-position-vertical-relative:page;z-index:-401056" type="#_x0000_t202" filled="false" stroked="false">
          <v:textbox inset="0,0,0,0">
            <w:txbxContent>
              <w:p>
                <w:pPr>
                  <w:spacing w:before="12"/>
                  <w:ind w:left="0" w:right="0" w:firstLine="0"/>
                  <w:jc w:val="center"/>
                  <w:rPr>
                    <w:sz w:val="20"/>
                  </w:rPr>
                </w:pPr>
                <w:r>
                  <w:rPr/>
                  <w:fldChar w:fldCharType="begin"/>
                </w:r>
                <w:r>
                  <w:rPr>
                    <w:sz w:val="20"/>
                  </w:rPr>
                  <w:instrText> PAGE </w:instrText>
                </w:r>
                <w:r>
                  <w:rPr/>
                  <w:fldChar w:fldCharType="separate"/>
                </w:r>
                <w:r>
                  <w:rPr/>
                  <w:t>11</w:t>
                </w:r>
                <w:r>
                  <w:rPr/>
                  <w:fldChar w:fldCharType="end"/>
                </w:r>
              </w:p>
              <w:p>
                <w:pPr>
                  <w:spacing w:before="2"/>
                  <w:ind w:left="0" w:right="0" w:firstLine="0"/>
                  <w:jc w:val="center"/>
                  <w:rPr>
                    <w:sz w:val="14"/>
                  </w:rPr>
                </w:pPr>
                <w:r>
                  <w:rPr>
                    <w:sz w:val="14"/>
                  </w:rPr>
                  <w:t>L:\DRAINAGE\D_GROUP6\Local Strategy For Flood Risk Management\01_LCC - Local Flood Risk Management Strategy\02_Draft</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200073pt;margin-top:785.582642pt;width:408.85pt;height:21.3pt;mso-position-horizontal-relative:page;mso-position-vertical-relative:page;z-index:-401032" type="#_x0000_t202" filled="false" stroked="false">
          <v:textbox inset="0,0,0,0">
            <w:txbxContent>
              <w:p>
                <w:pPr>
                  <w:spacing w:before="12"/>
                  <w:ind w:left="0" w:right="0" w:firstLine="0"/>
                  <w:jc w:val="center"/>
                  <w:rPr>
                    <w:sz w:val="20"/>
                  </w:rPr>
                </w:pPr>
                <w:r>
                  <w:rPr/>
                  <w:fldChar w:fldCharType="begin"/>
                </w:r>
                <w:r>
                  <w:rPr>
                    <w:sz w:val="20"/>
                  </w:rPr>
                  <w:instrText> PAGE </w:instrText>
                </w:r>
                <w:r>
                  <w:rPr/>
                  <w:fldChar w:fldCharType="separate"/>
                </w:r>
                <w:r>
                  <w:rPr/>
                  <w:t>10</w:t>
                </w:r>
                <w:r>
                  <w:rPr/>
                  <w:fldChar w:fldCharType="end"/>
                </w:r>
              </w:p>
              <w:p>
                <w:pPr>
                  <w:spacing w:before="2"/>
                  <w:ind w:left="0" w:right="0" w:firstLine="0"/>
                  <w:jc w:val="center"/>
                  <w:rPr>
                    <w:sz w:val="14"/>
                  </w:rPr>
                </w:pPr>
                <w:r>
                  <w:rPr>
                    <w:sz w:val="14"/>
                  </w:rPr>
                  <w:t>L:\DRAINAGE\D_GROUP6\Local Strategy For Flood Risk Management\01_LCC - Local Flood Risk Management Strategy\02_Draft</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1008" type="#_x0000_t202" filled="false" stroked="false">
          <v:textbox inset="0,0,0,0">
            <w:txbxContent>
              <w:p>
                <w:pPr>
                  <w:spacing w:line="230" w:lineRule="exact" w:before="12"/>
                  <w:ind w:left="10" w:right="10" w:firstLine="0"/>
                  <w:jc w:val="center"/>
                  <w:rPr>
                    <w:sz w:val="20"/>
                  </w:rPr>
                </w:pPr>
                <w:r>
                  <w:rPr/>
                  <w:fldChar w:fldCharType="begin"/>
                </w:r>
                <w:r>
                  <w:rPr>
                    <w:sz w:val="20"/>
                  </w:rPr>
                  <w:instrText> PAGE </w:instrText>
                </w:r>
                <w:r>
                  <w:rPr/>
                  <w:fldChar w:fldCharType="separate"/>
                </w:r>
                <w:r>
                  <w:rPr/>
                  <w:t>20</w:t>
                </w:r>
                <w:r>
                  <w:rPr/>
                  <w:fldChar w:fldCharType="end"/>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984" type="#_x0000_t202" filled="false" stroked="false">
          <v:textbox inset="0,0,0,0">
            <w:txbxContent>
              <w:p>
                <w:pPr>
                  <w:spacing w:line="230" w:lineRule="exact" w:before="12"/>
                  <w:ind w:left="10" w:right="10" w:firstLine="0"/>
                  <w:jc w:val="center"/>
                  <w:rPr>
                    <w:sz w:val="20"/>
                  </w:rPr>
                </w:pPr>
                <w:r>
                  <w:rPr/>
                  <w:fldChar w:fldCharType="begin"/>
                </w:r>
                <w:r>
                  <w:rPr>
                    <w:sz w:val="20"/>
                  </w:rPr>
                  <w:instrText> PAGE </w:instrText>
                </w:r>
                <w:r>
                  <w:rPr/>
                  <w:fldChar w:fldCharType="separate"/>
                </w:r>
                <w:r>
                  <w:rPr/>
                  <w:t>21</w:t>
                </w:r>
                <w:r>
                  <w:rPr/>
                  <w:fldChar w:fldCharType="end"/>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00061pt;margin-top:526.004761pt;width:137.450pt;height:15.2pt;mso-position-horizontal-relative:page;mso-position-vertical-relative:page;z-index:-400960" type="#_x0000_t202" filled="false" stroked="false">
          <v:textbox inset="0,0,0,0">
            <w:txbxContent>
              <w:p>
                <w:pPr>
                  <w:spacing w:before="21"/>
                  <w:ind w:left="20" w:right="0" w:firstLine="0"/>
                  <w:jc w:val="left"/>
                  <w:rPr>
                    <w:sz w:val="20"/>
                  </w:rPr>
                </w:pPr>
                <w:r>
                  <w:rPr>
                    <w:rFonts w:ascii="Symbol" w:hAnsi="Symbol"/>
                    <w:position w:val="9"/>
                    <w:sz w:val="13"/>
                  </w:rPr>
                  <w:t></w:t>
                </w:r>
                <w:r>
                  <w:rPr>
                    <w:rFonts w:ascii="Times New Roman" w:hAnsi="Times New Roman"/>
                    <w:position w:val="9"/>
                    <w:sz w:val="13"/>
                  </w:rPr>
                  <w:t> </w:t>
                </w:r>
                <w:r>
                  <w:rPr>
                    <w:sz w:val="20"/>
                  </w:rPr>
                  <w:t>SEA Directive: Human health</w:t>
                </w:r>
              </w:p>
            </w:txbxContent>
          </v:textbox>
          <w10:wrap type="none"/>
        </v:shape>
      </w:pict>
    </w:r>
    <w:r>
      <w:rPr/>
      <w:pict>
        <v:shape style="position:absolute;margin-left:218.120178pt;margin-top:539.582703pt;width:414.65pt;height:21.15pt;mso-position-horizontal-relative:page;mso-position-vertical-relative:page;z-index:-400936" type="#_x0000_t202" filled="false" stroked="false">
          <v:textbox inset="0,0,0,0">
            <w:txbxContent>
              <w:p>
                <w:pPr>
                  <w:spacing w:line="230" w:lineRule="exact" w:before="12"/>
                  <w:ind w:left="10" w:right="10" w:firstLine="0"/>
                  <w:jc w:val="center"/>
                  <w:rPr>
                    <w:sz w:val="20"/>
                  </w:rPr>
                </w:pPr>
                <w:r>
                  <w:rPr>
                    <w:sz w:val="20"/>
                  </w:rPr>
                  <w:t>26</w:t>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912" type="#_x0000_t202" filled="false" stroked="false">
          <v:textbox inset="0,0,0,0">
            <w:txbxContent>
              <w:p>
                <w:pPr>
                  <w:spacing w:line="230" w:lineRule="exact" w:before="12"/>
                  <w:ind w:left="10" w:right="10" w:firstLine="0"/>
                  <w:jc w:val="center"/>
                  <w:rPr>
                    <w:sz w:val="20"/>
                  </w:rPr>
                </w:pPr>
                <w:r>
                  <w:rPr>
                    <w:sz w:val="20"/>
                  </w:rPr>
                  <w:t>27</w:t>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0888" from="72pt,522.180176pt" to="216.000005pt,522.180176pt" stroked="true" strokeweight=".6pt" strokecolor="#000000">
          <v:stroke dashstyle="solid"/>
          <w10:wrap type="none"/>
        </v:line>
      </w:pict>
    </w:r>
    <w:r>
      <w:rPr/>
      <w:pict>
        <v:shape style="position:absolute;margin-left:71.000061pt;margin-top:526.004761pt;width:137.450pt;height:15.2pt;mso-position-horizontal-relative:page;mso-position-vertical-relative:page;z-index:-400864" type="#_x0000_t202" filled="false" stroked="false">
          <v:textbox inset="0,0,0,0">
            <w:txbxContent>
              <w:p>
                <w:pPr>
                  <w:spacing w:before="21"/>
                  <w:ind w:left="20" w:right="0" w:firstLine="0"/>
                  <w:jc w:val="left"/>
                  <w:rPr>
                    <w:sz w:val="20"/>
                  </w:rPr>
                </w:pPr>
                <w:r>
                  <w:rPr>
                    <w:rFonts w:ascii="Symbol" w:hAnsi="Symbol"/>
                    <w:position w:val="9"/>
                    <w:sz w:val="13"/>
                  </w:rPr>
                  <w:t></w:t>
                </w:r>
                <w:r>
                  <w:rPr>
                    <w:rFonts w:ascii="Times New Roman" w:hAnsi="Times New Roman"/>
                    <w:position w:val="9"/>
                    <w:sz w:val="13"/>
                  </w:rPr>
                  <w:t> </w:t>
                </w:r>
                <w:r>
                  <w:rPr>
                    <w:sz w:val="20"/>
                  </w:rPr>
                  <w:t>SEA Directive: Human health</w:t>
                </w:r>
              </w:p>
            </w:txbxContent>
          </v:textbox>
          <w10:wrap type="none"/>
        </v:shape>
      </w:pict>
    </w:r>
    <w:r>
      <w:rPr/>
      <w:pict>
        <v:shape style="position:absolute;margin-left:218.120178pt;margin-top:539.582703pt;width:414.65pt;height:21.15pt;mso-position-horizontal-relative:page;mso-position-vertical-relative:page;z-index:-400840" type="#_x0000_t202" filled="false" stroked="false">
          <v:textbox inset="0,0,0,0">
            <w:txbxContent>
              <w:p>
                <w:pPr>
                  <w:spacing w:line="230" w:lineRule="exact" w:before="12"/>
                  <w:ind w:left="10" w:right="10" w:firstLine="0"/>
                  <w:jc w:val="center"/>
                  <w:rPr>
                    <w:sz w:val="20"/>
                  </w:rPr>
                </w:pPr>
                <w:r>
                  <w:rPr>
                    <w:sz w:val="20"/>
                  </w:rPr>
                  <w:t>28</w:t>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816" type="#_x0000_t202" filled="false" stroked="false">
          <v:textbox inset="0,0,0,0">
            <w:txbxContent>
              <w:p>
                <w:pPr>
                  <w:spacing w:line="230" w:lineRule="exact" w:before="12"/>
                  <w:ind w:left="10" w:right="10" w:firstLine="0"/>
                  <w:jc w:val="center"/>
                  <w:rPr>
                    <w:sz w:val="20"/>
                  </w:rPr>
                </w:pPr>
                <w:r>
                  <w:rPr>
                    <w:sz w:val="20"/>
                  </w:rPr>
                  <w:t>29</w:t>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792" type="#_x0000_t202" filled="false" stroked="false">
          <v:textbox inset="0,0,0,0">
            <w:txbxContent>
              <w:p>
                <w:pPr>
                  <w:spacing w:line="230" w:lineRule="exact" w:before="12"/>
                  <w:ind w:left="10" w:right="10" w:firstLine="0"/>
                  <w:jc w:val="center"/>
                  <w:rPr>
                    <w:sz w:val="20"/>
                  </w:rPr>
                </w:pPr>
                <w:r>
                  <w:rPr/>
                  <w:fldChar w:fldCharType="begin"/>
                </w:r>
                <w:r>
                  <w:rPr>
                    <w:sz w:val="20"/>
                  </w:rPr>
                  <w:instrText> PAGE </w:instrText>
                </w:r>
                <w:r>
                  <w:rPr/>
                  <w:fldChar w:fldCharType="separate"/>
                </w:r>
                <w:r>
                  <w:rPr/>
                  <w:t>30</w:t>
                </w:r>
                <w:r>
                  <w:rPr/>
                  <w:fldChar w:fldCharType="end"/>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768" type="#_x0000_t202" filled="false" stroked="false">
          <v:textbox inset="0,0,0,0">
            <w:txbxContent>
              <w:p>
                <w:pPr>
                  <w:spacing w:line="230" w:lineRule="exact" w:before="12"/>
                  <w:ind w:left="10" w:right="10" w:firstLine="0"/>
                  <w:jc w:val="center"/>
                  <w:rPr>
                    <w:sz w:val="20"/>
                  </w:rPr>
                </w:pPr>
                <w:r>
                  <w:rPr/>
                  <w:fldChar w:fldCharType="begin"/>
                </w:r>
                <w:r>
                  <w:rPr>
                    <w:sz w:val="20"/>
                  </w:rPr>
                  <w:instrText> PAGE </w:instrText>
                </w:r>
                <w:r>
                  <w:rPr/>
                  <w:fldChar w:fldCharType="separate"/>
                </w:r>
                <w:r>
                  <w:rPr/>
                  <w:t>31</w:t>
                </w:r>
                <w:r>
                  <w:rPr/>
                  <w:fldChar w:fldCharType="end"/>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0744" from="72pt,497.700165pt" to="216.000005pt,497.700165pt" stroked="true" strokeweight=".6pt" strokecolor="#000000">
          <v:stroke dashstyle="solid"/>
          <w10:wrap type="none"/>
        </v:line>
      </w:pict>
    </w:r>
    <w:r>
      <w:rPr/>
      <w:pict>
        <v:shape style="position:absolute;margin-left:218.120178pt;margin-top:539.582703pt;width:414.65pt;height:21.15pt;mso-position-horizontal-relative:page;mso-position-vertical-relative:page;z-index:-400720" type="#_x0000_t202" filled="false" stroked="false">
          <v:textbox inset="0,0,0,0">
            <w:txbxContent>
              <w:p>
                <w:pPr>
                  <w:spacing w:line="230" w:lineRule="exact" w:before="12"/>
                  <w:ind w:left="10" w:right="10" w:firstLine="0"/>
                  <w:jc w:val="center"/>
                  <w:rPr>
                    <w:sz w:val="20"/>
                  </w:rPr>
                </w:pPr>
                <w:r>
                  <w:rPr>
                    <w:sz w:val="20"/>
                  </w:rPr>
                  <w:t>36</w:t>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696" type="#_x0000_t202" filled="false" stroked="false">
          <v:textbox inset="0,0,0,0">
            <w:txbxContent>
              <w:p>
                <w:pPr>
                  <w:spacing w:line="230" w:lineRule="exact" w:before="12"/>
                  <w:ind w:left="10" w:right="10" w:firstLine="0"/>
                  <w:jc w:val="center"/>
                  <w:rPr>
                    <w:sz w:val="20"/>
                  </w:rPr>
                </w:pPr>
                <w:r>
                  <w:rPr>
                    <w:sz w:val="20"/>
                  </w:rPr>
                  <w:t>37</w:t>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672" type="#_x0000_t202" filled="false" stroked="false">
          <v:textbox inset="0,0,0,0">
            <w:txbxContent>
              <w:p>
                <w:pPr>
                  <w:spacing w:line="230" w:lineRule="exact" w:before="12"/>
                  <w:ind w:left="10" w:right="10" w:firstLine="0"/>
                  <w:jc w:val="center"/>
                  <w:rPr>
                    <w:sz w:val="20"/>
                  </w:rPr>
                </w:pPr>
                <w:r>
                  <w:rPr>
                    <w:sz w:val="20"/>
                  </w:rPr>
                  <w:t>38</w:t>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648" type="#_x0000_t202" filled="false" stroked="false">
          <v:textbox inset="0,0,0,0">
            <w:txbxContent>
              <w:p>
                <w:pPr>
                  <w:spacing w:line="230" w:lineRule="exact" w:before="12"/>
                  <w:ind w:left="10" w:right="10" w:firstLine="0"/>
                  <w:jc w:val="center"/>
                  <w:rPr>
                    <w:sz w:val="20"/>
                  </w:rPr>
                </w:pPr>
                <w:r>
                  <w:rPr>
                    <w:sz w:val="20"/>
                  </w:rPr>
                  <w:t>39</w:t>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1464" from="69.114151pt,766.736267pt" to="562.032251pt,766.736267pt" stroked="true" strokeweight="1.43988pt" strokecolor="#ff3b42">
          <v:stroke dashstyle="solid"/>
          <w10:wrap type="none"/>
        </v:line>
      </w:pict>
    </w:r>
    <w:r>
      <w:rPr/>
      <w:pict>
        <v:shape style="position:absolute;margin-left:488.230103pt;margin-top:777.829895pt;width:72.95pt;height:25.25pt;mso-position-horizontal-relative:page;mso-position-vertical-relative:page;z-index:-401440" type="#_x0000_t202" filled="false" stroked="false">
          <v:textbox inset="0,0,0,0">
            <w:txbxContent>
              <w:p>
                <w:pPr>
                  <w:spacing w:line="236" w:lineRule="exact" w:before="13"/>
                  <w:ind w:left="0" w:right="28" w:firstLine="0"/>
                  <w:jc w:val="right"/>
                  <w:rPr>
                    <w:sz w:val="21"/>
                  </w:rPr>
                </w:pPr>
                <w:r>
                  <w:rPr>
                    <w:spacing w:val="-1"/>
                    <w:w w:val="90"/>
                    <w:sz w:val="21"/>
                  </w:rPr>
                  <w:t>WSP</w:t>
                </w:r>
              </w:p>
              <w:p>
                <w:pPr>
                  <w:spacing w:line="236" w:lineRule="exact" w:before="0"/>
                  <w:ind w:left="0" w:right="18" w:firstLine="0"/>
                  <w:jc w:val="right"/>
                  <w:rPr>
                    <w:sz w:val="21"/>
                  </w:rPr>
                </w:pPr>
                <w:r>
                  <w:rPr>
                    <w:w w:val="95"/>
                    <w:sz w:val="21"/>
                  </w:rPr>
                  <w:t>December</w:t>
                </w:r>
                <w:r>
                  <w:rPr>
                    <w:spacing w:val="-14"/>
                    <w:w w:val="95"/>
                    <w:sz w:val="21"/>
                  </w:rPr>
                  <w:t> </w:t>
                </w:r>
                <w:r>
                  <w:rPr>
                    <w:w w:val="95"/>
                    <w:sz w:val="21"/>
                  </w:rPr>
                  <w:t>2018</w:t>
                </w:r>
              </w:p>
            </w:txbxContent>
          </v:textbox>
          <w10:wrap type="none"/>
        </v:shape>
      </w:pict>
    </w:r>
    <w:r>
      <w:rPr/>
      <w:pict>
        <v:shape style="position:absolute;margin-left:70.223969pt;margin-top:778.282471pt;width:228.4pt;height:36.25pt;mso-position-horizontal-relative:page;mso-position-vertical-relative:page;z-index:-401416" type="#_x0000_t202" filled="false" stroked="false">
          <v:textbox inset="0,0,0,0">
            <w:txbxContent>
              <w:p>
                <w:pPr>
                  <w:spacing w:before="13"/>
                  <w:ind w:left="20" w:right="0" w:firstLine="0"/>
                  <w:jc w:val="left"/>
                  <w:rPr>
                    <w:sz w:val="20"/>
                  </w:rPr>
                </w:pPr>
                <w:r>
                  <w:rPr>
                    <w:sz w:val="20"/>
                  </w:rPr>
                  <w:t>LOCAL FLOOD RISK MANAGEMENT STRATEGY</w:t>
                </w:r>
              </w:p>
              <w:p>
                <w:pPr>
                  <w:spacing w:before="1"/>
                  <w:ind w:left="20" w:right="358" w:hanging="1"/>
                  <w:jc w:val="left"/>
                  <w:rPr>
                    <w:sz w:val="20"/>
                  </w:rPr>
                </w:pPr>
                <w:r>
                  <w:rPr>
                    <w:sz w:val="20"/>
                  </w:rPr>
                  <w:t>Project No.: 70046860 | Our Ref No.: 003 Leeds City Council</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0624" from="72pt,509.940155pt" to="216.000005pt,509.940155pt" stroked="true" strokeweight=".6pt" strokecolor="#000000">
          <v:stroke dashstyle="solid"/>
          <w10:wrap type="none"/>
        </v:line>
      </w:pict>
    </w:r>
    <w:r>
      <w:rPr/>
      <w:pict>
        <v:shape style="position:absolute;margin-left:218.120178pt;margin-top:539.582703pt;width:414.65pt;height:21.15pt;mso-position-horizontal-relative:page;mso-position-vertical-relative:page;z-index:-400600" type="#_x0000_t202" filled="false" stroked="false">
          <v:textbox inset="0,0,0,0">
            <w:txbxContent>
              <w:p>
                <w:pPr>
                  <w:spacing w:line="230" w:lineRule="exact" w:before="12"/>
                  <w:ind w:left="10" w:right="10" w:firstLine="0"/>
                  <w:jc w:val="center"/>
                  <w:rPr>
                    <w:sz w:val="20"/>
                  </w:rPr>
                </w:pPr>
                <w:r>
                  <w:rPr>
                    <w:sz w:val="20"/>
                  </w:rPr>
                  <w:t>40</w:t>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576" type="#_x0000_t202" filled="false" stroked="false">
          <v:textbox inset="0,0,0,0">
            <w:txbxContent>
              <w:p>
                <w:pPr>
                  <w:spacing w:line="230" w:lineRule="exact" w:before="12"/>
                  <w:ind w:left="10" w:right="10" w:firstLine="0"/>
                  <w:jc w:val="center"/>
                  <w:rPr>
                    <w:sz w:val="20"/>
                  </w:rPr>
                </w:pPr>
                <w:r>
                  <w:rPr>
                    <w:sz w:val="20"/>
                  </w:rPr>
                  <w:t>41</w:t>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552" type="#_x0000_t202" filled="false" stroked="false">
          <v:textbox inset="0,0,0,0">
            <w:txbxContent>
              <w:p>
                <w:pPr>
                  <w:spacing w:line="230" w:lineRule="exact" w:before="12"/>
                  <w:ind w:left="10" w:right="10" w:firstLine="0"/>
                  <w:jc w:val="center"/>
                  <w:rPr>
                    <w:sz w:val="20"/>
                  </w:rPr>
                </w:pPr>
                <w:r>
                  <w:rPr/>
                  <w:fldChar w:fldCharType="begin"/>
                </w:r>
                <w:r>
                  <w:rPr>
                    <w:sz w:val="20"/>
                  </w:rPr>
                  <w:instrText> PAGE </w:instrText>
                </w:r>
                <w:r>
                  <w:rPr/>
                  <w:fldChar w:fldCharType="separate"/>
                </w:r>
                <w:r>
                  <w:rPr/>
                  <w:t>42</w:t>
                </w:r>
                <w:r>
                  <w:rPr/>
                  <w:fldChar w:fldCharType="end"/>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120178pt;margin-top:539.582703pt;width:414.65pt;height:21.15pt;mso-position-horizontal-relative:page;mso-position-vertical-relative:page;z-index:-400528" type="#_x0000_t202" filled="false" stroked="false">
          <v:textbox inset="0,0,0,0">
            <w:txbxContent>
              <w:p>
                <w:pPr>
                  <w:spacing w:line="230" w:lineRule="exact" w:before="12"/>
                  <w:ind w:left="10" w:right="10" w:firstLine="0"/>
                  <w:jc w:val="center"/>
                  <w:rPr>
                    <w:sz w:val="20"/>
                  </w:rPr>
                </w:pPr>
                <w:r>
                  <w:rPr/>
                  <w:fldChar w:fldCharType="begin"/>
                </w:r>
                <w:r>
                  <w:rPr>
                    <w:sz w:val="20"/>
                  </w:rPr>
                  <w:instrText> PAGE </w:instrText>
                </w:r>
                <w:r>
                  <w:rPr/>
                  <w:fldChar w:fldCharType="separate"/>
                </w:r>
                <w:r>
                  <w:rPr/>
                  <w:t>43</w:t>
                </w:r>
                <w:r>
                  <w:rPr/>
                  <w:fldChar w:fldCharType="end"/>
                </w:r>
              </w:p>
              <w:p>
                <w:pPr>
                  <w:spacing w:line="161" w:lineRule="exact" w:before="0"/>
                  <w:ind w:left="10" w:right="10" w:firstLine="0"/>
                  <w:jc w:val="center"/>
                  <w:rPr>
                    <w:sz w:val="14"/>
                  </w:rPr>
                </w:pPr>
                <w:r>
                  <w:rPr>
                    <w:sz w:val="14"/>
                  </w:rPr>
                  <w:t>L L:\DRAINAGE\D_GROUP6\Local Strategy For Flood Risk Management\01_LCC - Local Flood Risk Management Strategy\04_SEA</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1392" from="69.114151pt,766.736267pt" to="562.032251pt,766.736267pt" stroked="true" strokeweight="1.43988pt" strokecolor="#ff3b42">
          <v:stroke dashstyle="solid"/>
          <w10:wrap type="none"/>
        </v:line>
      </w:pict>
    </w:r>
    <w:r>
      <w:rPr/>
      <w:pict>
        <v:shape style="position:absolute;margin-left:488.230103pt;margin-top:777.829895pt;width:72.95pt;height:25.25pt;mso-position-horizontal-relative:page;mso-position-vertical-relative:page;z-index:-401368" type="#_x0000_t202" filled="false" stroked="false">
          <v:textbox inset="0,0,0,0">
            <w:txbxContent>
              <w:p>
                <w:pPr>
                  <w:spacing w:line="236" w:lineRule="exact" w:before="13"/>
                  <w:ind w:left="0" w:right="28" w:firstLine="0"/>
                  <w:jc w:val="right"/>
                  <w:rPr>
                    <w:sz w:val="21"/>
                  </w:rPr>
                </w:pPr>
                <w:r>
                  <w:rPr>
                    <w:spacing w:val="-1"/>
                    <w:w w:val="90"/>
                    <w:sz w:val="21"/>
                  </w:rPr>
                  <w:t>WSP</w:t>
                </w:r>
              </w:p>
              <w:p>
                <w:pPr>
                  <w:spacing w:line="236" w:lineRule="exact" w:before="0"/>
                  <w:ind w:left="0" w:right="18" w:firstLine="0"/>
                  <w:jc w:val="right"/>
                  <w:rPr>
                    <w:sz w:val="21"/>
                  </w:rPr>
                </w:pPr>
                <w:r>
                  <w:rPr>
                    <w:w w:val="95"/>
                    <w:sz w:val="21"/>
                  </w:rPr>
                  <w:t>December</w:t>
                </w:r>
                <w:r>
                  <w:rPr>
                    <w:spacing w:val="-14"/>
                    <w:w w:val="95"/>
                    <w:sz w:val="21"/>
                  </w:rPr>
                  <w:t> </w:t>
                </w:r>
                <w:r>
                  <w:rPr>
                    <w:w w:val="95"/>
                    <w:sz w:val="21"/>
                  </w:rPr>
                  <w:t>2018</w:t>
                </w:r>
              </w:p>
            </w:txbxContent>
          </v:textbox>
          <w10:wrap type="none"/>
        </v:shape>
      </w:pict>
    </w:r>
    <w:r>
      <w:rPr/>
      <w:pict>
        <v:shape style="position:absolute;margin-left:70.223969pt;margin-top:778.282471pt;width:228.4pt;height:36.25pt;mso-position-horizontal-relative:page;mso-position-vertical-relative:page;z-index:-401344" type="#_x0000_t202" filled="false" stroked="false">
          <v:textbox inset="0,0,0,0">
            <w:txbxContent>
              <w:p>
                <w:pPr>
                  <w:spacing w:before="13"/>
                  <w:ind w:left="20" w:right="0" w:firstLine="0"/>
                  <w:jc w:val="left"/>
                  <w:rPr>
                    <w:sz w:val="20"/>
                  </w:rPr>
                </w:pPr>
                <w:r>
                  <w:rPr>
                    <w:sz w:val="20"/>
                  </w:rPr>
                  <w:t>LOCAL FLOOD RISK MANAGEMENT STRATEGY</w:t>
                </w:r>
              </w:p>
              <w:p>
                <w:pPr>
                  <w:spacing w:before="1"/>
                  <w:ind w:left="20" w:right="358" w:hanging="1"/>
                  <w:jc w:val="left"/>
                  <w:rPr>
                    <w:sz w:val="20"/>
                  </w:rPr>
                </w:pPr>
                <w:r>
                  <w:rPr>
                    <w:sz w:val="20"/>
                  </w:rPr>
                  <w:t>Project No.: 70046860 | Our Ref No.: 003 Leeds City Council</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1320" from="69.114151pt,766.736267pt" to="562.032251pt,766.736267pt" stroked="true" strokeweight="1.43988pt" strokecolor="#ff3b42">
          <v:stroke dashstyle="solid"/>
          <w10:wrap type="none"/>
        </v:line>
      </w:pict>
    </w:r>
    <w:r>
      <w:rPr/>
      <w:pict>
        <v:shape style="position:absolute;margin-left:488.230103pt;margin-top:777.829895pt;width:72.95pt;height:25.25pt;mso-position-horizontal-relative:page;mso-position-vertical-relative:page;z-index:-401296" type="#_x0000_t202" filled="false" stroked="false">
          <v:textbox inset="0,0,0,0">
            <w:txbxContent>
              <w:p>
                <w:pPr>
                  <w:spacing w:line="236" w:lineRule="exact" w:before="13"/>
                  <w:ind w:left="0" w:right="28" w:firstLine="0"/>
                  <w:jc w:val="right"/>
                  <w:rPr>
                    <w:sz w:val="21"/>
                  </w:rPr>
                </w:pPr>
                <w:r>
                  <w:rPr>
                    <w:spacing w:val="-1"/>
                    <w:w w:val="90"/>
                    <w:sz w:val="21"/>
                  </w:rPr>
                  <w:t>WSP</w:t>
                </w:r>
              </w:p>
              <w:p>
                <w:pPr>
                  <w:spacing w:line="236" w:lineRule="exact" w:before="0"/>
                  <w:ind w:left="0" w:right="18" w:firstLine="0"/>
                  <w:jc w:val="right"/>
                  <w:rPr>
                    <w:sz w:val="21"/>
                  </w:rPr>
                </w:pPr>
                <w:r>
                  <w:rPr>
                    <w:w w:val="95"/>
                    <w:sz w:val="21"/>
                  </w:rPr>
                  <w:t>December</w:t>
                </w:r>
                <w:r>
                  <w:rPr>
                    <w:spacing w:val="-14"/>
                    <w:w w:val="95"/>
                    <w:sz w:val="21"/>
                  </w:rPr>
                  <w:t> </w:t>
                </w:r>
                <w:r>
                  <w:rPr>
                    <w:w w:val="95"/>
                    <w:sz w:val="21"/>
                  </w:rPr>
                  <w:t>2018</w:t>
                </w:r>
              </w:p>
            </w:txbxContent>
          </v:textbox>
          <w10:wrap type="none"/>
        </v:shape>
      </w:pict>
    </w:r>
    <w:r>
      <w:rPr/>
      <w:pict>
        <v:shape style="position:absolute;margin-left:70.223969pt;margin-top:778.282471pt;width:228.4pt;height:36.25pt;mso-position-horizontal-relative:page;mso-position-vertical-relative:page;z-index:-401272" type="#_x0000_t202" filled="false" stroked="false">
          <v:textbox inset="0,0,0,0">
            <w:txbxContent>
              <w:p>
                <w:pPr>
                  <w:spacing w:before="13"/>
                  <w:ind w:left="20" w:right="0" w:firstLine="0"/>
                  <w:jc w:val="left"/>
                  <w:rPr>
                    <w:sz w:val="20"/>
                  </w:rPr>
                </w:pPr>
                <w:r>
                  <w:rPr>
                    <w:sz w:val="20"/>
                  </w:rPr>
                  <w:t>LOCAL FLOOD RISK MANAGEMENT STRATEGY</w:t>
                </w:r>
              </w:p>
              <w:p>
                <w:pPr>
                  <w:spacing w:before="1"/>
                  <w:ind w:left="20" w:right="358" w:hanging="1"/>
                  <w:jc w:val="left"/>
                  <w:rPr>
                    <w:sz w:val="20"/>
                  </w:rPr>
                </w:pPr>
                <w:r>
                  <w:rPr>
                    <w:sz w:val="20"/>
                  </w:rPr>
                  <w:t>Project No.: 70046860 | Our Ref No.: 003 Leeds City Council</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1248" from="69.114151pt,766.736267pt" to="562.032251pt,766.736267pt" stroked="true" strokeweight="1.43988pt" strokecolor="#ff3b42">
          <v:stroke dashstyle="solid"/>
          <w10:wrap type="none"/>
        </v:line>
      </w:pict>
    </w:r>
    <w:r>
      <w:rPr/>
      <w:pict>
        <v:shape style="position:absolute;margin-left:70.223969pt;margin-top:778.282471pt;width:228.4pt;height:36.25pt;mso-position-horizontal-relative:page;mso-position-vertical-relative:page;z-index:-401224" type="#_x0000_t202" filled="false" stroked="false">
          <v:textbox inset="0,0,0,0">
            <w:txbxContent>
              <w:p>
                <w:pPr>
                  <w:spacing w:before="13"/>
                  <w:ind w:left="20" w:right="0" w:firstLine="0"/>
                  <w:jc w:val="left"/>
                  <w:rPr>
                    <w:sz w:val="20"/>
                  </w:rPr>
                </w:pPr>
                <w:r>
                  <w:rPr>
                    <w:sz w:val="20"/>
                  </w:rPr>
                  <w:t>LOCAL FLOOD RISK MANAGEMENT STRATEGY</w:t>
                </w:r>
              </w:p>
              <w:p>
                <w:pPr>
                  <w:spacing w:before="1"/>
                  <w:ind w:left="20" w:right="358" w:hanging="1"/>
                  <w:jc w:val="left"/>
                  <w:rPr>
                    <w:sz w:val="20"/>
                  </w:rPr>
                </w:pPr>
                <w:r>
                  <w:rPr>
                    <w:sz w:val="20"/>
                  </w:rPr>
                  <w:t>Project No.: 70046860 | Our Ref No.: 003 Leeds City Council</w:t>
                </w:r>
              </w:p>
            </w:txbxContent>
          </v:textbox>
          <w10:wrap type="none"/>
        </v:shape>
      </w:pict>
    </w:r>
    <w:r>
      <w:rPr/>
      <w:pict>
        <v:shape style="position:absolute;margin-left:488.268585pt;margin-top:778.282471pt;width:73.1pt;height:36.25pt;mso-position-horizontal-relative:page;mso-position-vertical-relative:page;z-index:-401200" type="#_x0000_t202" filled="false" stroked="false">
          <v:textbox inset="0,0,0,0">
            <w:txbxContent>
              <w:p>
                <w:pPr>
                  <w:spacing w:before="13"/>
                  <w:ind w:left="0" w:right="35" w:firstLine="0"/>
                  <w:jc w:val="right"/>
                  <w:rPr>
                    <w:sz w:val="20"/>
                  </w:rPr>
                </w:pPr>
                <w:r>
                  <w:rPr>
                    <w:spacing w:val="-1"/>
                    <w:w w:val="95"/>
                    <w:sz w:val="20"/>
                  </w:rPr>
                  <w:t>WSP</w:t>
                </w:r>
              </w:p>
              <w:p>
                <w:pPr>
                  <w:spacing w:before="1"/>
                  <w:ind w:left="0" w:right="24" w:firstLine="0"/>
                  <w:jc w:val="right"/>
                  <w:rPr>
                    <w:sz w:val="20"/>
                  </w:rPr>
                </w:pPr>
                <w:r>
                  <w:rPr>
                    <w:sz w:val="20"/>
                  </w:rPr>
                  <w:t>December</w:t>
                </w:r>
                <w:r>
                  <w:rPr>
                    <w:spacing w:val="-20"/>
                    <w:sz w:val="20"/>
                  </w:rPr>
                  <w:t> </w:t>
                </w:r>
                <w:r>
                  <w:rPr>
                    <w:sz w:val="20"/>
                  </w:rPr>
                  <w:t>2018</w:t>
                </w:r>
              </w:p>
              <w:p>
                <w:pPr>
                  <w:spacing w:before="0"/>
                  <w:ind w:left="0" w:right="18" w:firstLine="0"/>
                  <w:jc w:val="right"/>
                  <w:rPr>
                    <w:sz w:val="20"/>
                  </w:rPr>
                </w:pPr>
                <w:r>
                  <w:rPr>
                    <w:sz w:val="20"/>
                  </w:rPr>
                  <w:t>Page </w:t>
                </w:r>
                <w:r>
                  <w:rPr/>
                  <w:fldChar w:fldCharType="begin"/>
                </w:r>
                <w:r>
                  <w:rPr>
                    <w:sz w:val="20"/>
                  </w:rPr>
                  <w:instrText> PAGE </w:instrText>
                </w:r>
                <w:r>
                  <w:rPr/>
                  <w:fldChar w:fldCharType="separate"/>
                </w:r>
                <w:r>
                  <w:rPr/>
                  <w:t>11</w:t>
                </w:r>
                <w:r>
                  <w:rPr/>
                  <w:fldChar w:fldCharType="end"/>
                </w:r>
                <w:r>
                  <w:rPr>
                    <w:sz w:val="20"/>
                  </w:rPr>
                  <w:t> of</w:t>
                </w:r>
                <w:r>
                  <w:rPr>
                    <w:spacing w:val="11"/>
                    <w:sz w:val="20"/>
                  </w:rPr>
                  <w:t> </w:t>
                </w:r>
                <w:r>
                  <w:rPr>
                    <w:sz w:val="20"/>
                  </w:rPr>
                  <w:t>36</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0">
    <w:multiLevelType w:val="hybridMultilevel"/>
    <w:lvl w:ilvl="0">
      <w:start w:val="0"/>
      <w:numFmt w:val="bullet"/>
      <w:lvlText w:val="-"/>
      <w:lvlJc w:val="left"/>
      <w:pPr>
        <w:ind w:left="77" w:hanging="62"/>
      </w:pPr>
      <w:rPr>
        <w:rFonts w:hint="default" w:ascii="Arial" w:hAnsi="Arial" w:eastAsia="Arial" w:cs="Arial"/>
        <w:w w:val="100"/>
        <w:sz w:val="10"/>
        <w:szCs w:val="10"/>
      </w:rPr>
    </w:lvl>
    <w:lvl w:ilvl="1">
      <w:start w:val="0"/>
      <w:numFmt w:val="bullet"/>
      <w:lvlText w:val="•"/>
      <w:lvlJc w:val="left"/>
      <w:pPr>
        <w:ind w:left="485" w:hanging="62"/>
      </w:pPr>
      <w:rPr>
        <w:rFonts w:hint="default"/>
      </w:rPr>
    </w:lvl>
    <w:lvl w:ilvl="2">
      <w:start w:val="0"/>
      <w:numFmt w:val="bullet"/>
      <w:lvlText w:val="•"/>
      <w:lvlJc w:val="left"/>
      <w:pPr>
        <w:ind w:left="891" w:hanging="62"/>
      </w:pPr>
      <w:rPr>
        <w:rFonts w:hint="default"/>
      </w:rPr>
    </w:lvl>
    <w:lvl w:ilvl="3">
      <w:start w:val="0"/>
      <w:numFmt w:val="bullet"/>
      <w:lvlText w:val="•"/>
      <w:lvlJc w:val="left"/>
      <w:pPr>
        <w:ind w:left="1296" w:hanging="62"/>
      </w:pPr>
      <w:rPr>
        <w:rFonts w:hint="default"/>
      </w:rPr>
    </w:lvl>
    <w:lvl w:ilvl="4">
      <w:start w:val="0"/>
      <w:numFmt w:val="bullet"/>
      <w:lvlText w:val="•"/>
      <w:lvlJc w:val="left"/>
      <w:pPr>
        <w:ind w:left="1702" w:hanging="62"/>
      </w:pPr>
      <w:rPr>
        <w:rFonts w:hint="default"/>
      </w:rPr>
    </w:lvl>
    <w:lvl w:ilvl="5">
      <w:start w:val="0"/>
      <w:numFmt w:val="bullet"/>
      <w:lvlText w:val="•"/>
      <w:lvlJc w:val="left"/>
      <w:pPr>
        <w:ind w:left="2107" w:hanging="62"/>
      </w:pPr>
      <w:rPr>
        <w:rFonts w:hint="default"/>
      </w:rPr>
    </w:lvl>
    <w:lvl w:ilvl="6">
      <w:start w:val="0"/>
      <w:numFmt w:val="bullet"/>
      <w:lvlText w:val="•"/>
      <w:lvlJc w:val="left"/>
      <w:pPr>
        <w:ind w:left="2513" w:hanging="62"/>
      </w:pPr>
      <w:rPr>
        <w:rFonts w:hint="default"/>
      </w:rPr>
    </w:lvl>
    <w:lvl w:ilvl="7">
      <w:start w:val="0"/>
      <w:numFmt w:val="bullet"/>
      <w:lvlText w:val="•"/>
      <w:lvlJc w:val="left"/>
      <w:pPr>
        <w:ind w:left="2918" w:hanging="62"/>
      </w:pPr>
      <w:rPr>
        <w:rFonts w:hint="default"/>
      </w:rPr>
    </w:lvl>
    <w:lvl w:ilvl="8">
      <w:start w:val="0"/>
      <w:numFmt w:val="bullet"/>
      <w:lvlText w:val="•"/>
      <w:lvlJc w:val="left"/>
      <w:pPr>
        <w:ind w:left="3324" w:hanging="62"/>
      </w:pPr>
      <w:rPr>
        <w:rFonts w:hint="default"/>
      </w:rPr>
    </w:lvl>
  </w:abstractNum>
  <w:abstractNum w:abstractNumId="69">
    <w:multiLevelType w:val="hybridMultilevel"/>
    <w:lvl w:ilvl="0">
      <w:start w:val="0"/>
      <w:numFmt w:val="bullet"/>
      <w:lvlText w:val="-"/>
      <w:lvlJc w:val="left"/>
      <w:pPr>
        <w:ind w:left="78" w:hanging="62"/>
      </w:pPr>
      <w:rPr>
        <w:rFonts w:hint="default" w:ascii="Arial" w:hAnsi="Arial" w:eastAsia="Arial" w:cs="Arial"/>
        <w:w w:val="100"/>
        <w:sz w:val="10"/>
        <w:szCs w:val="10"/>
      </w:rPr>
    </w:lvl>
    <w:lvl w:ilvl="1">
      <w:start w:val="0"/>
      <w:numFmt w:val="bullet"/>
      <w:lvlText w:val="•"/>
      <w:lvlJc w:val="left"/>
      <w:pPr>
        <w:ind w:left="485" w:hanging="62"/>
      </w:pPr>
      <w:rPr>
        <w:rFonts w:hint="default"/>
      </w:rPr>
    </w:lvl>
    <w:lvl w:ilvl="2">
      <w:start w:val="0"/>
      <w:numFmt w:val="bullet"/>
      <w:lvlText w:val="•"/>
      <w:lvlJc w:val="left"/>
      <w:pPr>
        <w:ind w:left="891" w:hanging="62"/>
      </w:pPr>
      <w:rPr>
        <w:rFonts w:hint="default"/>
      </w:rPr>
    </w:lvl>
    <w:lvl w:ilvl="3">
      <w:start w:val="0"/>
      <w:numFmt w:val="bullet"/>
      <w:lvlText w:val="•"/>
      <w:lvlJc w:val="left"/>
      <w:pPr>
        <w:ind w:left="1296" w:hanging="62"/>
      </w:pPr>
      <w:rPr>
        <w:rFonts w:hint="default"/>
      </w:rPr>
    </w:lvl>
    <w:lvl w:ilvl="4">
      <w:start w:val="0"/>
      <w:numFmt w:val="bullet"/>
      <w:lvlText w:val="•"/>
      <w:lvlJc w:val="left"/>
      <w:pPr>
        <w:ind w:left="1702" w:hanging="62"/>
      </w:pPr>
      <w:rPr>
        <w:rFonts w:hint="default"/>
      </w:rPr>
    </w:lvl>
    <w:lvl w:ilvl="5">
      <w:start w:val="0"/>
      <w:numFmt w:val="bullet"/>
      <w:lvlText w:val="•"/>
      <w:lvlJc w:val="left"/>
      <w:pPr>
        <w:ind w:left="2107" w:hanging="62"/>
      </w:pPr>
      <w:rPr>
        <w:rFonts w:hint="default"/>
      </w:rPr>
    </w:lvl>
    <w:lvl w:ilvl="6">
      <w:start w:val="0"/>
      <w:numFmt w:val="bullet"/>
      <w:lvlText w:val="•"/>
      <w:lvlJc w:val="left"/>
      <w:pPr>
        <w:ind w:left="2513" w:hanging="62"/>
      </w:pPr>
      <w:rPr>
        <w:rFonts w:hint="default"/>
      </w:rPr>
    </w:lvl>
    <w:lvl w:ilvl="7">
      <w:start w:val="0"/>
      <w:numFmt w:val="bullet"/>
      <w:lvlText w:val="•"/>
      <w:lvlJc w:val="left"/>
      <w:pPr>
        <w:ind w:left="2918" w:hanging="62"/>
      </w:pPr>
      <w:rPr>
        <w:rFonts w:hint="default"/>
      </w:rPr>
    </w:lvl>
    <w:lvl w:ilvl="8">
      <w:start w:val="0"/>
      <w:numFmt w:val="bullet"/>
      <w:lvlText w:val="•"/>
      <w:lvlJc w:val="left"/>
      <w:pPr>
        <w:ind w:left="3324" w:hanging="62"/>
      </w:pPr>
      <w:rPr>
        <w:rFonts w:hint="default"/>
      </w:rPr>
    </w:lvl>
  </w:abstractNum>
  <w:abstractNum w:abstractNumId="68">
    <w:multiLevelType w:val="hybridMultilevel"/>
    <w:lvl w:ilvl="0">
      <w:start w:val="0"/>
      <w:numFmt w:val="bullet"/>
      <w:lvlText w:val="-"/>
      <w:lvlJc w:val="left"/>
      <w:pPr>
        <w:ind w:left="16" w:hanging="62"/>
      </w:pPr>
      <w:rPr>
        <w:rFonts w:hint="default" w:ascii="Arial" w:hAnsi="Arial" w:eastAsia="Arial" w:cs="Arial"/>
        <w:w w:val="100"/>
        <w:sz w:val="10"/>
        <w:szCs w:val="10"/>
      </w:rPr>
    </w:lvl>
    <w:lvl w:ilvl="1">
      <w:start w:val="0"/>
      <w:numFmt w:val="bullet"/>
      <w:lvlText w:val="•"/>
      <w:lvlJc w:val="left"/>
      <w:pPr>
        <w:ind w:left="431" w:hanging="62"/>
      </w:pPr>
      <w:rPr>
        <w:rFonts w:hint="default"/>
      </w:rPr>
    </w:lvl>
    <w:lvl w:ilvl="2">
      <w:start w:val="0"/>
      <w:numFmt w:val="bullet"/>
      <w:lvlText w:val="•"/>
      <w:lvlJc w:val="left"/>
      <w:pPr>
        <w:ind w:left="843" w:hanging="62"/>
      </w:pPr>
      <w:rPr>
        <w:rFonts w:hint="default"/>
      </w:rPr>
    </w:lvl>
    <w:lvl w:ilvl="3">
      <w:start w:val="0"/>
      <w:numFmt w:val="bullet"/>
      <w:lvlText w:val="•"/>
      <w:lvlJc w:val="left"/>
      <w:pPr>
        <w:ind w:left="1254" w:hanging="62"/>
      </w:pPr>
      <w:rPr>
        <w:rFonts w:hint="default"/>
      </w:rPr>
    </w:lvl>
    <w:lvl w:ilvl="4">
      <w:start w:val="0"/>
      <w:numFmt w:val="bullet"/>
      <w:lvlText w:val="•"/>
      <w:lvlJc w:val="left"/>
      <w:pPr>
        <w:ind w:left="1666" w:hanging="62"/>
      </w:pPr>
      <w:rPr>
        <w:rFonts w:hint="default"/>
      </w:rPr>
    </w:lvl>
    <w:lvl w:ilvl="5">
      <w:start w:val="0"/>
      <w:numFmt w:val="bullet"/>
      <w:lvlText w:val="•"/>
      <w:lvlJc w:val="left"/>
      <w:pPr>
        <w:ind w:left="2077" w:hanging="62"/>
      </w:pPr>
      <w:rPr>
        <w:rFonts w:hint="default"/>
      </w:rPr>
    </w:lvl>
    <w:lvl w:ilvl="6">
      <w:start w:val="0"/>
      <w:numFmt w:val="bullet"/>
      <w:lvlText w:val="•"/>
      <w:lvlJc w:val="left"/>
      <w:pPr>
        <w:ind w:left="2489" w:hanging="62"/>
      </w:pPr>
      <w:rPr>
        <w:rFonts w:hint="default"/>
      </w:rPr>
    </w:lvl>
    <w:lvl w:ilvl="7">
      <w:start w:val="0"/>
      <w:numFmt w:val="bullet"/>
      <w:lvlText w:val="•"/>
      <w:lvlJc w:val="left"/>
      <w:pPr>
        <w:ind w:left="2900" w:hanging="62"/>
      </w:pPr>
      <w:rPr>
        <w:rFonts w:hint="default"/>
      </w:rPr>
    </w:lvl>
    <w:lvl w:ilvl="8">
      <w:start w:val="0"/>
      <w:numFmt w:val="bullet"/>
      <w:lvlText w:val="•"/>
      <w:lvlJc w:val="left"/>
      <w:pPr>
        <w:ind w:left="3312" w:hanging="62"/>
      </w:pPr>
      <w:rPr>
        <w:rFonts w:hint="default"/>
      </w:rPr>
    </w:lvl>
  </w:abstractNum>
  <w:abstractNum w:abstractNumId="67">
    <w:multiLevelType w:val="hybridMultilevel"/>
    <w:lvl w:ilvl="0">
      <w:start w:val="0"/>
      <w:numFmt w:val="bullet"/>
      <w:lvlText w:val="-"/>
      <w:lvlJc w:val="left"/>
      <w:pPr>
        <w:ind w:left="78" w:hanging="62"/>
      </w:pPr>
      <w:rPr>
        <w:rFonts w:hint="default" w:ascii="Arial" w:hAnsi="Arial" w:eastAsia="Arial" w:cs="Arial"/>
        <w:w w:val="100"/>
        <w:sz w:val="10"/>
        <w:szCs w:val="10"/>
      </w:rPr>
    </w:lvl>
    <w:lvl w:ilvl="1">
      <w:start w:val="0"/>
      <w:numFmt w:val="bullet"/>
      <w:lvlText w:val="•"/>
      <w:lvlJc w:val="left"/>
      <w:pPr>
        <w:ind w:left="485" w:hanging="62"/>
      </w:pPr>
      <w:rPr>
        <w:rFonts w:hint="default"/>
      </w:rPr>
    </w:lvl>
    <w:lvl w:ilvl="2">
      <w:start w:val="0"/>
      <w:numFmt w:val="bullet"/>
      <w:lvlText w:val="•"/>
      <w:lvlJc w:val="left"/>
      <w:pPr>
        <w:ind w:left="891" w:hanging="62"/>
      </w:pPr>
      <w:rPr>
        <w:rFonts w:hint="default"/>
      </w:rPr>
    </w:lvl>
    <w:lvl w:ilvl="3">
      <w:start w:val="0"/>
      <w:numFmt w:val="bullet"/>
      <w:lvlText w:val="•"/>
      <w:lvlJc w:val="left"/>
      <w:pPr>
        <w:ind w:left="1296" w:hanging="62"/>
      </w:pPr>
      <w:rPr>
        <w:rFonts w:hint="default"/>
      </w:rPr>
    </w:lvl>
    <w:lvl w:ilvl="4">
      <w:start w:val="0"/>
      <w:numFmt w:val="bullet"/>
      <w:lvlText w:val="•"/>
      <w:lvlJc w:val="left"/>
      <w:pPr>
        <w:ind w:left="1702" w:hanging="62"/>
      </w:pPr>
      <w:rPr>
        <w:rFonts w:hint="default"/>
      </w:rPr>
    </w:lvl>
    <w:lvl w:ilvl="5">
      <w:start w:val="0"/>
      <w:numFmt w:val="bullet"/>
      <w:lvlText w:val="•"/>
      <w:lvlJc w:val="left"/>
      <w:pPr>
        <w:ind w:left="2107" w:hanging="62"/>
      </w:pPr>
      <w:rPr>
        <w:rFonts w:hint="default"/>
      </w:rPr>
    </w:lvl>
    <w:lvl w:ilvl="6">
      <w:start w:val="0"/>
      <w:numFmt w:val="bullet"/>
      <w:lvlText w:val="•"/>
      <w:lvlJc w:val="left"/>
      <w:pPr>
        <w:ind w:left="2513" w:hanging="62"/>
      </w:pPr>
      <w:rPr>
        <w:rFonts w:hint="default"/>
      </w:rPr>
    </w:lvl>
    <w:lvl w:ilvl="7">
      <w:start w:val="0"/>
      <w:numFmt w:val="bullet"/>
      <w:lvlText w:val="•"/>
      <w:lvlJc w:val="left"/>
      <w:pPr>
        <w:ind w:left="2918" w:hanging="62"/>
      </w:pPr>
      <w:rPr>
        <w:rFonts w:hint="default"/>
      </w:rPr>
    </w:lvl>
    <w:lvl w:ilvl="8">
      <w:start w:val="0"/>
      <w:numFmt w:val="bullet"/>
      <w:lvlText w:val="•"/>
      <w:lvlJc w:val="left"/>
      <w:pPr>
        <w:ind w:left="3324" w:hanging="62"/>
      </w:pPr>
      <w:rPr>
        <w:rFonts w:hint="default"/>
      </w:rPr>
    </w:lvl>
  </w:abstractNum>
  <w:abstractNum w:abstractNumId="66">
    <w:multiLevelType w:val="hybridMultilevel"/>
    <w:lvl w:ilvl="0">
      <w:start w:val="0"/>
      <w:numFmt w:val="bullet"/>
      <w:lvlText w:val="-"/>
      <w:lvlJc w:val="left"/>
      <w:pPr>
        <w:ind w:left="109" w:hanging="122"/>
      </w:pPr>
      <w:rPr>
        <w:rFonts w:hint="default" w:ascii="Arial" w:hAnsi="Arial" w:eastAsia="Arial" w:cs="Arial"/>
        <w:color w:val="0000FF"/>
        <w:w w:val="99"/>
        <w:sz w:val="20"/>
        <w:szCs w:val="20"/>
      </w:rPr>
    </w:lvl>
    <w:lvl w:ilvl="1">
      <w:start w:val="0"/>
      <w:numFmt w:val="bullet"/>
      <w:lvlText w:val="•"/>
      <w:lvlJc w:val="left"/>
      <w:pPr>
        <w:ind w:left="466" w:hanging="122"/>
      </w:pPr>
      <w:rPr>
        <w:rFonts w:hint="default"/>
      </w:rPr>
    </w:lvl>
    <w:lvl w:ilvl="2">
      <w:start w:val="0"/>
      <w:numFmt w:val="bullet"/>
      <w:lvlText w:val="•"/>
      <w:lvlJc w:val="left"/>
      <w:pPr>
        <w:ind w:left="833" w:hanging="122"/>
      </w:pPr>
      <w:rPr>
        <w:rFonts w:hint="default"/>
      </w:rPr>
    </w:lvl>
    <w:lvl w:ilvl="3">
      <w:start w:val="0"/>
      <w:numFmt w:val="bullet"/>
      <w:lvlText w:val="•"/>
      <w:lvlJc w:val="left"/>
      <w:pPr>
        <w:ind w:left="1200" w:hanging="122"/>
      </w:pPr>
      <w:rPr>
        <w:rFonts w:hint="default"/>
      </w:rPr>
    </w:lvl>
    <w:lvl w:ilvl="4">
      <w:start w:val="0"/>
      <w:numFmt w:val="bullet"/>
      <w:lvlText w:val="•"/>
      <w:lvlJc w:val="left"/>
      <w:pPr>
        <w:ind w:left="1567" w:hanging="122"/>
      </w:pPr>
      <w:rPr>
        <w:rFonts w:hint="default"/>
      </w:rPr>
    </w:lvl>
    <w:lvl w:ilvl="5">
      <w:start w:val="0"/>
      <w:numFmt w:val="bullet"/>
      <w:lvlText w:val="•"/>
      <w:lvlJc w:val="left"/>
      <w:pPr>
        <w:ind w:left="1934" w:hanging="122"/>
      </w:pPr>
      <w:rPr>
        <w:rFonts w:hint="default"/>
      </w:rPr>
    </w:lvl>
    <w:lvl w:ilvl="6">
      <w:start w:val="0"/>
      <w:numFmt w:val="bullet"/>
      <w:lvlText w:val="•"/>
      <w:lvlJc w:val="left"/>
      <w:pPr>
        <w:ind w:left="2301" w:hanging="122"/>
      </w:pPr>
      <w:rPr>
        <w:rFonts w:hint="default"/>
      </w:rPr>
    </w:lvl>
    <w:lvl w:ilvl="7">
      <w:start w:val="0"/>
      <w:numFmt w:val="bullet"/>
      <w:lvlText w:val="•"/>
      <w:lvlJc w:val="left"/>
      <w:pPr>
        <w:ind w:left="2668" w:hanging="122"/>
      </w:pPr>
      <w:rPr>
        <w:rFonts w:hint="default"/>
      </w:rPr>
    </w:lvl>
    <w:lvl w:ilvl="8">
      <w:start w:val="0"/>
      <w:numFmt w:val="bullet"/>
      <w:lvlText w:val="•"/>
      <w:lvlJc w:val="left"/>
      <w:pPr>
        <w:ind w:left="3035" w:hanging="122"/>
      </w:pPr>
      <w:rPr>
        <w:rFonts w:hint="default"/>
      </w:rPr>
    </w:lvl>
  </w:abstractNum>
  <w:abstractNum w:abstractNumId="65">
    <w:multiLevelType w:val="hybridMultilevel"/>
    <w:lvl w:ilvl="0">
      <w:start w:val="0"/>
      <w:numFmt w:val="bullet"/>
      <w:lvlText w:val="-"/>
      <w:lvlJc w:val="left"/>
      <w:pPr>
        <w:ind w:left="108" w:hanging="122"/>
      </w:pPr>
      <w:rPr>
        <w:rFonts w:hint="default" w:ascii="Arial" w:hAnsi="Arial" w:eastAsia="Arial" w:cs="Arial"/>
        <w:color w:val="0000FF"/>
        <w:w w:val="99"/>
        <w:sz w:val="20"/>
        <w:szCs w:val="20"/>
      </w:rPr>
    </w:lvl>
    <w:lvl w:ilvl="1">
      <w:start w:val="0"/>
      <w:numFmt w:val="bullet"/>
      <w:lvlText w:val="•"/>
      <w:lvlJc w:val="left"/>
      <w:pPr>
        <w:ind w:left="604" w:hanging="122"/>
      </w:pPr>
      <w:rPr>
        <w:rFonts w:hint="default"/>
      </w:rPr>
    </w:lvl>
    <w:lvl w:ilvl="2">
      <w:start w:val="0"/>
      <w:numFmt w:val="bullet"/>
      <w:lvlText w:val="•"/>
      <w:lvlJc w:val="left"/>
      <w:pPr>
        <w:ind w:left="1109" w:hanging="122"/>
      </w:pPr>
      <w:rPr>
        <w:rFonts w:hint="default"/>
      </w:rPr>
    </w:lvl>
    <w:lvl w:ilvl="3">
      <w:start w:val="0"/>
      <w:numFmt w:val="bullet"/>
      <w:lvlText w:val="•"/>
      <w:lvlJc w:val="left"/>
      <w:pPr>
        <w:ind w:left="1614" w:hanging="122"/>
      </w:pPr>
      <w:rPr>
        <w:rFonts w:hint="default"/>
      </w:rPr>
    </w:lvl>
    <w:lvl w:ilvl="4">
      <w:start w:val="0"/>
      <w:numFmt w:val="bullet"/>
      <w:lvlText w:val="•"/>
      <w:lvlJc w:val="left"/>
      <w:pPr>
        <w:ind w:left="2119" w:hanging="122"/>
      </w:pPr>
      <w:rPr>
        <w:rFonts w:hint="default"/>
      </w:rPr>
    </w:lvl>
    <w:lvl w:ilvl="5">
      <w:start w:val="0"/>
      <w:numFmt w:val="bullet"/>
      <w:lvlText w:val="•"/>
      <w:lvlJc w:val="left"/>
      <w:pPr>
        <w:ind w:left="2624" w:hanging="122"/>
      </w:pPr>
      <w:rPr>
        <w:rFonts w:hint="default"/>
      </w:rPr>
    </w:lvl>
    <w:lvl w:ilvl="6">
      <w:start w:val="0"/>
      <w:numFmt w:val="bullet"/>
      <w:lvlText w:val="•"/>
      <w:lvlJc w:val="left"/>
      <w:pPr>
        <w:ind w:left="3129" w:hanging="122"/>
      </w:pPr>
      <w:rPr>
        <w:rFonts w:hint="default"/>
      </w:rPr>
    </w:lvl>
    <w:lvl w:ilvl="7">
      <w:start w:val="0"/>
      <w:numFmt w:val="bullet"/>
      <w:lvlText w:val="•"/>
      <w:lvlJc w:val="left"/>
      <w:pPr>
        <w:ind w:left="3634" w:hanging="122"/>
      </w:pPr>
      <w:rPr>
        <w:rFonts w:hint="default"/>
      </w:rPr>
    </w:lvl>
    <w:lvl w:ilvl="8">
      <w:start w:val="0"/>
      <w:numFmt w:val="bullet"/>
      <w:lvlText w:val="•"/>
      <w:lvlJc w:val="left"/>
      <w:pPr>
        <w:ind w:left="4139" w:hanging="122"/>
      </w:pPr>
      <w:rPr>
        <w:rFonts w:hint="default"/>
      </w:rPr>
    </w:lvl>
  </w:abstractNum>
  <w:abstractNum w:abstractNumId="64">
    <w:multiLevelType w:val="hybridMultilevel"/>
    <w:lvl w:ilvl="0">
      <w:start w:val="0"/>
      <w:numFmt w:val="bullet"/>
      <w:lvlText w:val="-"/>
      <w:lvlJc w:val="left"/>
      <w:pPr>
        <w:ind w:left="108" w:hanging="122"/>
      </w:pPr>
      <w:rPr>
        <w:rFonts w:hint="default" w:ascii="Arial" w:hAnsi="Arial" w:eastAsia="Arial" w:cs="Arial"/>
        <w:w w:val="99"/>
        <w:sz w:val="20"/>
        <w:szCs w:val="20"/>
      </w:rPr>
    </w:lvl>
    <w:lvl w:ilvl="1">
      <w:start w:val="0"/>
      <w:numFmt w:val="bullet"/>
      <w:lvlText w:val="•"/>
      <w:lvlJc w:val="left"/>
      <w:pPr>
        <w:ind w:left="345" w:hanging="122"/>
      </w:pPr>
      <w:rPr>
        <w:rFonts w:hint="default"/>
      </w:rPr>
    </w:lvl>
    <w:lvl w:ilvl="2">
      <w:start w:val="0"/>
      <w:numFmt w:val="bullet"/>
      <w:lvlText w:val="•"/>
      <w:lvlJc w:val="left"/>
      <w:pPr>
        <w:ind w:left="590" w:hanging="122"/>
      </w:pPr>
      <w:rPr>
        <w:rFonts w:hint="default"/>
      </w:rPr>
    </w:lvl>
    <w:lvl w:ilvl="3">
      <w:start w:val="0"/>
      <w:numFmt w:val="bullet"/>
      <w:lvlText w:val="•"/>
      <w:lvlJc w:val="left"/>
      <w:pPr>
        <w:ind w:left="835" w:hanging="122"/>
      </w:pPr>
      <w:rPr>
        <w:rFonts w:hint="default"/>
      </w:rPr>
    </w:lvl>
    <w:lvl w:ilvl="4">
      <w:start w:val="0"/>
      <w:numFmt w:val="bullet"/>
      <w:lvlText w:val="•"/>
      <w:lvlJc w:val="left"/>
      <w:pPr>
        <w:ind w:left="1080" w:hanging="122"/>
      </w:pPr>
      <w:rPr>
        <w:rFonts w:hint="default"/>
      </w:rPr>
    </w:lvl>
    <w:lvl w:ilvl="5">
      <w:start w:val="0"/>
      <w:numFmt w:val="bullet"/>
      <w:lvlText w:val="•"/>
      <w:lvlJc w:val="left"/>
      <w:pPr>
        <w:ind w:left="1325" w:hanging="122"/>
      </w:pPr>
      <w:rPr>
        <w:rFonts w:hint="default"/>
      </w:rPr>
    </w:lvl>
    <w:lvl w:ilvl="6">
      <w:start w:val="0"/>
      <w:numFmt w:val="bullet"/>
      <w:lvlText w:val="•"/>
      <w:lvlJc w:val="left"/>
      <w:pPr>
        <w:ind w:left="1570" w:hanging="122"/>
      </w:pPr>
      <w:rPr>
        <w:rFonts w:hint="default"/>
      </w:rPr>
    </w:lvl>
    <w:lvl w:ilvl="7">
      <w:start w:val="0"/>
      <w:numFmt w:val="bullet"/>
      <w:lvlText w:val="•"/>
      <w:lvlJc w:val="left"/>
      <w:pPr>
        <w:ind w:left="1815" w:hanging="122"/>
      </w:pPr>
      <w:rPr>
        <w:rFonts w:hint="default"/>
      </w:rPr>
    </w:lvl>
    <w:lvl w:ilvl="8">
      <w:start w:val="0"/>
      <w:numFmt w:val="bullet"/>
      <w:lvlText w:val="•"/>
      <w:lvlJc w:val="left"/>
      <w:pPr>
        <w:ind w:left="2060" w:hanging="122"/>
      </w:pPr>
      <w:rPr>
        <w:rFonts w:hint="default"/>
      </w:rPr>
    </w:lvl>
  </w:abstractNum>
  <w:abstractNum w:abstractNumId="63">
    <w:multiLevelType w:val="hybridMultilevel"/>
    <w:lvl w:ilvl="0">
      <w:start w:val="0"/>
      <w:numFmt w:val="bullet"/>
      <w:lvlText w:val="-"/>
      <w:lvlJc w:val="left"/>
      <w:pPr>
        <w:ind w:left="108" w:hanging="122"/>
      </w:pPr>
      <w:rPr>
        <w:rFonts w:hint="default" w:ascii="Arial" w:hAnsi="Arial" w:eastAsia="Arial" w:cs="Arial"/>
        <w:color w:val="0000FF"/>
        <w:w w:val="99"/>
        <w:sz w:val="20"/>
        <w:szCs w:val="20"/>
      </w:rPr>
    </w:lvl>
    <w:lvl w:ilvl="1">
      <w:start w:val="0"/>
      <w:numFmt w:val="bullet"/>
      <w:lvlText w:val="•"/>
      <w:lvlJc w:val="left"/>
      <w:pPr>
        <w:ind w:left="604" w:hanging="122"/>
      </w:pPr>
      <w:rPr>
        <w:rFonts w:hint="default"/>
      </w:rPr>
    </w:lvl>
    <w:lvl w:ilvl="2">
      <w:start w:val="0"/>
      <w:numFmt w:val="bullet"/>
      <w:lvlText w:val="•"/>
      <w:lvlJc w:val="left"/>
      <w:pPr>
        <w:ind w:left="1109" w:hanging="122"/>
      </w:pPr>
      <w:rPr>
        <w:rFonts w:hint="default"/>
      </w:rPr>
    </w:lvl>
    <w:lvl w:ilvl="3">
      <w:start w:val="0"/>
      <w:numFmt w:val="bullet"/>
      <w:lvlText w:val="•"/>
      <w:lvlJc w:val="left"/>
      <w:pPr>
        <w:ind w:left="1614" w:hanging="122"/>
      </w:pPr>
      <w:rPr>
        <w:rFonts w:hint="default"/>
      </w:rPr>
    </w:lvl>
    <w:lvl w:ilvl="4">
      <w:start w:val="0"/>
      <w:numFmt w:val="bullet"/>
      <w:lvlText w:val="•"/>
      <w:lvlJc w:val="left"/>
      <w:pPr>
        <w:ind w:left="2119" w:hanging="122"/>
      </w:pPr>
      <w:rPr>
        <w:rFonts w:hint="default"/>
      </w:rPr>
    </w:lvl>
    <w:lvl w:ilvl="5">
      <w:start w:val="0"/>
      <w:numFmt w:val="bullet"/>
      <w:lvlText w:val="•"/>
      <w:lvlJc w:val="left"/>
      <w:pPr>
        <w:ind w:left="2624" w:hanging="122"/>
      </w:pPr>
      <w:rPr>
        <w:rFonts w:hint="default"/>
      </w:rPr>
    </w:lvl>
    <w:lvl w:ilvl="6">
      <w:start w:val="0"/>
      <w:numFmt w:val="bullet"/>
      <w:lvlText w:val="•"/>
      <w:lvlJc w:val="left"/>
      <w:pPr>
        <w:ind w:left="3129" w:hanging="122"/>
      </w:pPr>
      <w:rPr>
        <w:rFonts w:hint="default"/>
      </w:rPr>
    </w:lvl>
    <w:lvl w:ilvl="7">
      <w:start w:val="0"/>
      <w:numFmt w:val="bullet"/>
      <w:lvlText w:val="•"/>
      <w:lvlJc w:val="left"/>
      <w:pPr>
        <w:ind w:left="3634" w:hanging="122"/>
      </w:pPr>
      <w:rPr>
        <w:rFonts w:hint="default"/>
      </w:rPr>
    </w:lvl>
    <w:lvl w:ilvl="8">
      <w:start w:val="0"/>
      <w:numFmt w:val="bullet"/>
      <w:lvlText w:val="•"/>
      <w:lvlJc w:val="left"/>
      <w:pPr>
        <w:ind w:left="4139" w:hanging="122"/>
      </w:pPr>
      <w:rPr>
        <w:rFonts w:hint="default"/>
      </w:rPr>
    </w:lvl>
  </w:abstractNum>
  <w:abstractNum w:abstractNumId="62">
    <w:multiLevelType w:val="hybridMultilevel"/>
    <w:lvl w:ilvl="0">
      <w:start w:val="0"/>
      <w:numFmt w:val="bullet"/>
      <w:lvlText w:val="-"/>
      <w:lvlJc w:val="left"/>
      <w:pPr>
        <w:ind w:left="108" w:hanging="123"/>
      </w:pPr>
      <w:rPr>
        <w:rFonts w:hint="default" w:ascii="Arial" w:hAnsi="Arial" w:eastAsia="Arial" w:cs="Arial"/>
        <w:w w:val="99"/>
        <w:sz w:val="20"/>
        <w:szCs w:val="20"/>
      </w:rPr>
    </w:lvl>
    <w:lvl w:ilvl="1">
      <w:start w:val="0"/>
      <w:numFmt w:val="bullet"/>
      <w:lvlText w:val="•"/>
      <w:lvlJc w:val="left"/>
      <w:pPr>
        <w:ind w:left="345" w:hanging="123"/>
      </w:pPr>
      <w:rPr>
        <w:rFonts w:hint="default"/>
      </w:rPr>
    </w:lvl>
    <w:lvl w:ilvl="2">
      <w:start w:val="0"/>
      <w:numFmt w:val="bullet"/>
      <w:lvlText w:val="•"/>
      <w:lvlJc w:val="left"/>
      <w:pPr>
        <w:ind w:left="590" w:hanging="123"/>
      </w:pPr>
      <w:rPr>
        <w:rFonts w:hint="default"/>
      </w:rPr>
    </w:lvl>
    <w:lvl w:ilvl="3">
      <w:start w:val="0"/>
      <w:numFmt w:val="bullet"/>
      <w:lvlText w:val="•"/>
      <w:lvlJc w:val="left"/>
      <w:pPr>
        <w:ind w:left="835" w:hanging="123"/>
      </w:pPr>
      <w:rPr>
        <w:rFonts w:hint="default"/>
      </w:rPr>
    </w:lvl>
    <w:lvl w:ilvl="4">
      <w:start w:val="0"/>
      <w:numFmt w:val="bullet"/>
      <w:lvlText w:val="•"/>
      <w:lvlJc w:val="left"/>
      <w:pPr>
        <w:ind w:left="1080" w:hanging="123"/>
      </w:pPr>
      <w:rPr>
        <w:rFonts w:hint="default"/>
      </w:rPr>
    </w:lvl>
    <w:lvl w:ilvl="5">
      <w:start w:val="0"/>
      <w:numFmt w:val="bullet"/>
      <w:lvlText w:val="•"/>
      <w:lvlJc w:val="left"/>
      <w:pPr>
        <w:ind w:left="1325" w:hanging="123"/>
      </w:pPr>
      <w:rPr>
        <w:rFonts w:hint="default"/>
      </w:rPr>
    </w:lvl>
    <w:lvl w:ilvl="6">
      <w:start w:val="0"/>
      <w:numFmt w:val="bullet"/>
      <w:lvlText w:val="•"/>
      <w:lvlJc w:val="left"/>
      <w:pPr>
        <w:ind w:left="1570" w:hanging="123"/>
      </w:pPr>
      <w:rPr>
        <w:rFonts w:hint="default"/>
      </w:rPr>
    </w:lvl>
    <w:lvl w:ilvl="7">
      <w:start w:val="0"/>
      <w:numFmt w:val="bullet"/>
      <w:lvlText w:val="•"/>
      <w:lvlJc w:val="left"/>
      <w:pPr>
        <w:ind w:left="1815" w:hanging="123"/>
      </w:pPr>
      <w:rPr>
        <w:rFonts w:hint="default"/>
      </w:rPr>
    </w:lvl>
    <w:lvl w:ilvl="8">
      <w:start w:val="0"/>
      <w:numFmt w:val="bullet"/>
      <w:lvlText w:val="•"/>
      <w:lvlJc w:val="left"/>
      <w:pPr>
        <w:ind w:left="2060" w:hanging="123"/>
      </w:pPr>
      <w:rPr>
        <w:rFonts w:hint="default"/>
      </w:rPr>
    </w:lvl>
  </w:abstractNum>
  <w:abstractNum w:abstractNumId="61">
    <w:multiLevelType w:val="hybridMultilevel"/>
    <w:lvl w:ilvl="0">
      <w:start w:val="0"/>
      <w:numFmt w:val="bullet"/>
      <w:lvlText w:val="-"/>
      <w:lvlJc w:val="left"/>
      <w:pPr>
        <w:ind w:left="108" w:hanging="122"/>
      </w:pPr>
      <w:rPr>
        <w:rFonts w:hint="default" w:ascii="Arial" w:hAnsi="Arial" w:eastAsia="Arial" w:cs="Arial"/>
        <w:color w:val="0000FF"/>
        <w:w w:val="99"/>
        <w:sz w:val="20"/>
        <w:szCs w:val="20"/>
      </w:rPr>
    </w:lvl>
    <w:lvl w:ilvl="1">
      <w:start w:val="0"/>
      <w:numFmt w:val="bullet"/>
      <w:lvlText w:val="•"/>
      <w:lvlJc w:val="left"/>
      <w:pPr>
        <w:ind w:left="604" w:hanging="122"/>
      </w:pPr>
      <w:rPr>
        <w:rFonts w:hint="default"/>
      </w:rPr>
    </w:lvl>
    <w:lvl w:ilvl="2">
      <w:start w:val="0"/>
      <w:numFmt w:val="bullet"/>
      <w:lvlText w:val="•"/>
      <w:lvlJc w:val="left"/>
      <w:pPr>
        <w:ind w:left="1109" w:hanging="122"/>
      </w:pPr>
      <w:rPr>
        <w:rFonts w:hint="default"/>
      </w:rPr>
    </w:lvl>
    <w:lvl w:ilvl="3">
      <w:start w:val="0"/>
      <w:numFmt w:val="bullet"/>
      <w:lvlText w:val="•"/>
      <w:lvlJc w:val="left"/>
      <w:pPr>
        <w:ind w:left="1614" w:hanging="122"/>
      </w:pPr>
      <w:rPr>
        <w:rFonts w:hint="default"/>
      </w:rPr>
    </w:lvl>
    <w:lvl w:ilvl="4">
      <w:start w:val="0"/>
      <w:numFmt w:val="bullet"/>
      <w:lvlText w:val="•"/>
      <w:lvlJc w:val="left"/>
      <w:pPr>
        <w:ind w:left="2119" w:hanging="122"/>
      </w:pPr>
      <w:rPr>
        <w:rFonts w:hint="default"/>
      </w:rPr>
    </w:lvl>
    <w:lvl w:ilvl="5">
      <w:start w:val="0"/>
      <w:numFmt w:val="bullet"/>
      <w:lvlText w:val="•"/>
      <w:lvlJc w:val="left"/>
      <w:pPr>
        <w:ind w:left="2624" w:hanging="122"/>
      </w:pPr>
      <w:rPr>
        <w:rFonts w:hint="default"/>
      </w:rPr>
    </w:lvl>
    <w:lvl w:ilvl="6">
      <w:start w:val="0"/>
      <w:numFmt w:val="bullet"/>
      <w:lvlText w:val="•"/>
      <w:lvlJc w:val="left"/>
      <w:pPr>
        <w:ind w:left="3129" w:hanging="122"/>
      </w:pPr>
      <w:rPr>
        <w:rFonts w:hint="default"/>
      </w:rPr>
    </w:lvl>
    <w:lvl w:ilvl="7">
      <w:start w:val="0"/>
      <w:numFmt w:val="bullet"/>
      <w:lvlText w:val="•"/>
      <w:lvlJc w:val="left"/>
      <w:pPr>
        <w:ind w:left="3634" w:hanging="122"/>
      </w:pPr>
      <w:rPr>
        <w:rFonts w:hint="default"/>
      </w:rPr>
    </w:lvl>
    <w:lvl w:ilvl="8">
      <w:start w:val="0"/>
      <w:numFmt w:val="bullet"/>
      <w:lvlText w:val="•"/>
      <w:lvlJc w:val="left"/>
      <w:pPr>
        <w:ind w:left="4139" w:hanging="122"/>
      </w:pPr>
      <w:rPr>
        <w:rFonts w:hint="default"/>
      </w:rPr>
    </w:lvl>
  </w:abstractNum>
  <w:abstractNum w:abstractNumId="60">
    <w:multiLevelType w:val="hybridMultilevel"/>
    <w:lvl w:ilvl="0">
      <w:start w:val="0"/>
      <w:numFmt w:val="bullet"/>
      <w:lvlText w:val="-"/>
      <w:lvlJc w:val="left"/>
      <w:pPr>
        <w:ind w:left="109" w:hanging="122"/>
      </w:pPr>
      <w:rPr>
        <w:rFonts w:hint="default" w:ascii="Arial" w:hAnsi="Arial" w:eastAsia="Arial" w:cs="Arial"/>
        <w:color w:val="0000FF"/>
        <w:w w:val="99"/>
        <w:sz w:val="20"/>
        <w:szCs w:val="20"/>
      </w:rPr>
    </w:lvl>
    <w:lvl w:ilvl="1">
      <w:start w:val="0"/>
      <w:numFmt w:val="bullet"/>
      <w:lvlText w:val="•"/>
      <w:lvlJc w:val="left"/>
      <w:pPr>
        <w:ind w:left="466" w:hanging="122"/>
      </w:pPr>
      <w:rPr>
        <w:rFonts w:hint="default"/>
      </w:rPr>
    </w:lvl>
    <w:lvl w:ilvl="2">
      <w:start w:val="0"/>
      <w:numFmt w:val="bullet"/>
      <w:lvlText w:val="•"/>
      <w:lvlJc w:val="left"/>
      <w:pPr>
        <w:ind w:left="833" w:hanging="122"/>
      </w:pPr>
      <w:rPr>
        <w:rFonts w:hint="default"/>
      </w:rPr>
    </w:lvl>
    <w:lvl w:ilvl="3">
      <w:start w:val="0"/>
      <w:numFmt w:val="bullet"/>
      <w:lvlText w:val="•"/>
      <w:lvlJc w:val="left"/>
      <w:pPr>
        <w:ind w:left="1200" w:hanging="122"/>
      </w:pPr>
      <w:rPr>
        <w:rFonts w:hint="default"/>
      </w:rPr>
    </w:lvl>
    <w:lvl w:ilvl="4">
      <w:start w:val="0"/>
      <w:numFmt w:val="bullet"/>
      <w:lvlText w:val="•"/>
      <w:lvlJc w:val="left"/>
      <w:pPr>
        <w:ind w:left="1567" w:hanging="122"/>
      </w:pPr>
      <w:rPr>
        <w:rFonts w:hint="default"/>
      </w:rPr>
    </w:lvl>
    <w:lvl w:ilvl="5">
      <w:start w:val="0"/>
      <w:numFmt w:val="bullet"/>
      <w:lvlText w:val="•"/>
      <w:lvlJc w:val="left"/>
      <w:pPr>
        <w:ind w:left="1934" w:hanging="122"/>
      </w:pPr>
      <w:rPr>
        <w:rFonts w:hint="default"/>
      </w:rPr>
    </w:lvl>
    <w:lvl w:ilvl="6">
      <w:start w:val="0"/>
      <w:numFmt w:val="bullet"/>
      <w:lvlText w:val="•"/>
      <w:lvlJc w:val="left"/>
      <w:pPr>
        <w:ind w:left="2301" w:hanging="122"/>
      </w:pPr>
      <w:rPr>
        <w:rFonts w:hint="default"/>
      </w:rPr>
    </w:lvl>
    <w:lvl w:ilvl="7">
      <w:start w:val="0"/>
      <w:numFmt w:val="bullet"/>
      <w:lvlText w:val="•"/>
      <w:lvlJc w:val="left"/>
      <w:pPr>
        <w:ind w:left="2668" w:hanging="122"/>
      </w:pPr>
      <w:rPr>
        <w:rFonts w:hint="default"/>
      </w:rPr>
    </w:lvl>
    <w:lvl w:ilvl="8">
      <w:start w:val="0"/>
      <w:numFmt w:val="bullet"/>
      <w:lvlText w:val="•"/>
      <w:lvlJc w:val="left"/>
      <w:pPr>
        <w:ind w:left="3035" w:hanging="122"/>
      </w:pPr>
      <w:rPr>
        <w:rFonts w:hint="default"/>
      </w:rPr>
    </w:lvl>
  </w:abstractNum>
  <w:abstractNum w:abstractNumId="59">
    <w:multiLevelType w:val="hybridMultilevel"/>
    <w:lvl w:ilvl="0">
      <w:start w:val="0"/>
      <w:numFmt w:val="bullet"/>
      <w:lvlText w:val="-"/>
      <w:lvlJc w:val="left"/>
      <w:pPr>
        <w:ind w:left="108" w:hanging="122"/>
      </w:pPr>
      <w:rPr>
        <w:rFonts w:hint="default" w:ascii="Arial" w:hAnsi="Arial" w:eastAsia="Arial" w:cs="Arial"/>
        <w:color w:val="0000FF"/>
        <w:w w:val="99"/>
        <w:sz w:val="20"/>
        <w:szCs w:val="20"/>
      </w:rPr>
    </w:lvl>
    <w:lvl w:ilvl="1">
      <w:start w:val="0"/>
      <w:numFmt w:val="bullet"/>
      <w:lvlText w:val="•"/>
      <w:lvlJc w:val="left"/>
      <w:pPr>
        <w:ind w:left="604" w:hanging="122"/>
      </w:pPr>
      <w:rPr>
        <w:rFonts w:hint="default"/>
      </w:rPr>
    </w:lvl>
    <w:lvl w:ilvl="2">
      <w:start w:val="0"/>
      <w:numFmt w:val="bullet"/>
      <w:lvlText w:val="•"/>
      <w:lvlJc w:val="left"/>
      <w:pPr>
        <w:ind w:left="1109" w:hanging="122"/>
      </w:pPr>
      <w:rPr>
        <w:rFonts w:hint="default"/>
      </w:rPr>
    </w:lvl>
    <w:lvl w:ilvl="3">
      <w:start w:val="0"/>
      <w:numFmt w:val="bullet"/>
      <w:lvlText w:val="•"/>
      <w:lvlJc w:val="left"/>
      <w:pPr>
        <w:ind w:left="1614" w:hanging="122"/>
      </w:pPr>
      <w:rPr>
        <w:rFonts w:hint="default"/>
      </w:rPr>
    </w:lvl>
    <w:lvl w:ilvl="4">
      <w:start w:val="0"/>
      <w:numFmt w:val="bullet"/>
      <w:lvlText w:val="•"/>
      <w:lvlJc w:val="left"/>
      <w:pPr>
        <w:ind w:left="2119" w:hanging="122"/>
      </w:pPr>
      <w:rPr>
        <w:rFonts w:hint="default"/>
      </w:rPr>
    </w:lvl>
    <w:lvl w:ilvl="5">
      <w:start w:val="0"/>
      <w:numFmt w:val="bullet"/>
      <w:lvlText w:val="•"/>
      <w:lvlJc w:val="left"/>
      <w:pPr>
        <w:ind w:left="2624" w:hanging="122"/>
      </w:pPr>
      <w:rPr>
        <w:rFonts w:hint="default"/>
      </w:rPr>
    </w:lvl>
    <w:lvl w:ilvl="6">
      <w:start w:val="0"/>
      <w:numFmt w:val="bullet"/>
      <w:lvlText w:val="•"/>
      <w:lvlJc w:val="left"/>
      <w:pPr>
        <w:ind w:left="3129" w:hanging="122"/>
      </w:pPr>
      <w:rPr>
        <w:rFonts w:hint="default"/>
      </w:rPr>
    </w:lvl>
    <w:lvl w:ilvl="7">
      <w:start w:val="0"/>
      <w:numFmt w:val="bullet"/>
      <w:lvlText w:val="•"/>
      <w:lvlJc w:val="left"/>
      <w:pPr>
        <w:ind w:left="3634" w:hanging="122"/>
      </w:pPr>
      <w:rPr>
        <w:rFonts w:hint="default"/>
      </w:rPr>
    </w:lvl>
    <w:lvl w:ilvl="8">
      <w:start w:val="0"/>
      <w:numFmt w:val="bullet"/>
      <w:lvlText w:val="•"/>
      <w:lvlJc w:val="left"/>
      <w:pPr>
        <w:ind w:left="4139" w:hanging="122"/>
      </w:pPr>
      <w:rPr>
        <w:rFonts w:hint="default"/>
      </w:rPr>
    </w:lvl>
  </w:abstractNum>
  <w:abstractNum w:abstractNumId="58">
    <w:multiLevelType w:val="hybridMultilevel"/>
    <w:lvl w:ilvl="0">
      <w:start w:val="0"/>
      <w:numFmt w:val="bullet"/>
      <w:lvlText w:val="-"/>
      <w:lvlJc w:val="left"/>
      <w:pPr>
        <w:ind w:left="108" w:hanging="122"/>
      </w:pPr>
      <w:rPr>
        <w:rFonts w:hint="default" w:ascii="Arial" w:hAnsi="Arial" w:eastAsia="Arial" w:cs="Arial"/>
        <w:w w:val="99"/>
        <w:sz w:val="20"/>
        <w:szCs w:val="20"/>
      </w:rPr>
    </w:lvl>
    <w:lvl w:ilvl="1">
      <w:start w:val="0"/>
      <w:numFmt w:val="bullet"/>
      <w:lvlText w:val="•"/>
      <w:lvlJc w:val="left"/>
      <w:pPr>
        <w:ind w:left="345" w:hanging="122"/>
      </w:pPr>
      <w:rPr>
        <w:rFonts w:hint="default"/>
      </w:rPr>
    </w:lvl>
    <w:lvl w:ilvl="2">
      <w:start w:val="0"/>
      <w:numFmt w:val="bullet"/>
      <w:lvlText w:val="•"/>
      <w:lvlJc w:val="left"/>
      <w:pPr>
        <w:ind w:left="590" w:hanging="122"/>
      </w:pPr>
      <w:rPr>
        <w:rFonts w:hint="default"/>
      </w:rPr>
    </w:lvl>
    <w:lvl w:ilvl="3">
      <w:start w:val="0"/>
      <w:numFmt w:val="bullet"/>
      <w:lvlText w:val="•"/>
      <w:lvlJc w:val="left"/>
      <w:pPr>
        <w:ind w:left="835" w:hanging="122"/>
      </w:pPr>
      <w:rPr>
        <w:rFonts w:hint="default"/>
      </w:rPr>
    </w:lvl>
    <w:lvl w:ilvl="4">
      <w:start w:val="0"/>
      <w:numFmt w:val="bullet"/>
      <w:lvlText w:val="•"/>
      <w:lvlJc w:val="left"/>
      <w:pPr>
        <w:ind w:left="1080" w:hanging="122"/>
      </w:pPr>
      <w:rPr>
        <w:rFonts w:hint="default"/>
      </w:rPr>
    </w:lvl>
    <w:lvl w:ilvl="5">
      <w:start w:val="0"/>
      <w:numFmt w:val="bullet"/>
      <w:lvlText w:val="•"/>
      <w:lvlJc w:val="left"/>
      <w:pPr>
        <w:ind w:left="1325" w:hanging="122"/>
      </w:pPr>
      <w:rPr>
        <w:rFonts w:hint="default"/>
      </w:rPr>
    </w:lvl>
    <w:lvl w:ilvl="6">
      <w:start w:val="0"/>
      <w:numFmt w:val="bullet"/>
      <w:lvlText w:val="•"/>
      <w:lvlJc w:val="left"/>
      <w:pPr>
        <w:ind w:left="1570" w:hanging="122"/>
      </w:pPr>
      <w:rPr>
        <w:rFonts w:hint="default"/>
      </w:rPr>
    </w:lvl>
    <w:lvl w:ilvl="7">
      <w:start w:val="0"/>
      <w:numFmt w:val="bullet"/>
      <w:lvlText w:val="•"/>
      <w:lvlJc w:val="left"/>
      <w:pPr>
        <w:ind w:left="1815" w:hanging="122"/>
      </w:pPr>
      <w:rPr>
        <w:rFonts w:hint="default"/>
      </w:rPr>
    </w:lvl>
    <w:lvl w:ilvl="8">
      <w:start w:val="0"/>
      <w:numFmt w:val="bullet"/>
      <w:lvlText w:val="•"/>
      <w:lvlJc w:val="left"/>
      <w:pPr>
        <w:ind w:left="2060" w:hanging="122"/>
      </w:pPr>
      <w:rPr>
        <w:rFonts w:hint="default"/>
      </w:rPr>
    </w:lvl>
  </w:abstractNum>
  <w:abstractNum w:abstractNumId="57">
    <w:multiLevelType w:val="hybridMultilevel"/>
    <w:lvl w:ilvl="0">
      <w:start w:val="0"/>
      <w:numFmt w:val="bullet"/>
      <w:lvlText w:val="-"/>
      <w:lvlJc w:val="left"/>
      <w:pPr>
        <w:ind w:left="109" w:hanging="122"/>
      </w:pPr>
      <w:rPr>
        <w:rFonts w:hint="default" w:ascii="Arial" w:hAnsi="Arial" w:eastAsia="Arial" w:cs="Arial"/>
        <w:color w:val="0000FF"/>
        <w:w w:val="99"/>
        <w:sz w:val="20"/>
        <w:szCs w:val="20"/>
      </w:rPr>
    </w:lvl>
    <w:lvl w:ilvl="1">
      <w:start w:val="0"/>
      <w:numFmt w:val="bullet"/>
      <w:lvlText w:val="•"/>
      <w:lvlJc w:val="left"/>
      <w:pPr>
        <w:ind w:left="466" w:hanging="122"/>
      </w:pPr>
      <w:rPr>
        <w:rFonts w:hint="default"/>
      </w:rPr>
    </w:lvl>
    <w:lvl w:ilvl="2">
      <w:start w:val="0"/>
      <w:numFmt w:val="bullet"/>
      <w:lvlText w:val="•"/>
      <w:lvlJc w:val="left"/>
      <w:pPr>
        <w:ind w:left="833" w:hanging="122"/>
      </w:pPr>
      <w:rPr>
        <w:rFonts w:hint="default"/>
      </w:rPr>
    </w:lvl>
    <w:lvl w:ilvl="3">
      <w:start w:val="0"/>
      <w:numFmt w:val="bullet"/>
      <w:lvlText w:val="•"/>
      <w:lvlJc w:val="left"/>
      <w:pPr>
        <w:ind w:left="1200" w:hanging="122"/>
      </w:pPr>
      <w:rPr>
        <w:rFonts w:hint="default"/>
      </w:rPr>
    </w:lvl>
    <w:lvl w:ilvl="4">
      <w:start w:val="0"/>
      <w:numFmt w:val="bullet"/>
      <w:lvlText w:val="•"/>
      <w:lvlJc w:val="left"/>
      <w:pPr>
        <w:ind w:left="1567" w:hanging="122"/>
      </w:pPr>
      <w:rPr>
        <w:rFonts w:hint="default"/>
      </w:rPr>
    </w:lvl>
    <w:lvl w:ilvl="5">
      <w:start w:val="0"/>
      <w:numFmt w:val="bullet"/>
      <w:lvlText w:val="•"/>
      <w:lvlJc w:val="left"/>
      <w:pPr>
        <w:ind w:left="1934" w:hanging="122"/>
      </w:pPr>
      <w:rPr>
        <w:rFonts w:hint="default"/>
      </w:rPr>
    </w:lvl>
    <w:lvl w:ilvl="6">
      <w:start w:val="0"/>
      <w:numFmt w:val="bullet"/>
      <w:lvlText w:val="•"/>
      <w:lvlJc w:val="left"/>
      <w:pPr>
        <w:ind w:left="2301" w:hanging="122"/>
      </w:pPr>
      <w:rPr>
        <w:rFonts w:hint="default"/>
      </w:rPr>
    </w:lvl>
    <w:lvl w:ilvl="7">
      <w:start w:val="0"/>
      <w:numFmt w:val="bullet"/>
      <w:lvlText w:val="•"/>
      <w:lvlJc w:val="left"/>
      <w:pPr>
        <w:ind w:left="2668" w:hanging="122"/>
      </w:pPr>
      <w:rPr>
        <w:rFonts w:hint="default"/>
      </w:rPr>
    </w:lvl>
    <w:lvl w:ilvl="8">
      <w:start w:val="0"/>
      <w:numFmt w:val="bullet"/>
      <w:lvlText w:val="•"/>
      <w:lvlJc w:val="left"/>
      <w:pPr>
        <w:ind w:left="3035" w:hanging="122"/>
      </w:pPr>
      <w:rPr>
        <w:rFonts w:hint="default"/>
      </w:rPr>
    </w:lvl>
  </w:abstractNum>
  <w:abstractNum w:abstractNumId="56">
    <w:multiLevelType w:val="hybridMultilevel"/>
    <w:lvl w:ilvl="0">
      <w:start w:val="0"/>
      <w:numFmt w:val="bullet"/>
      <w:lvlText w:val="-"/>
      <w:lvlJc w:val="left"/>
      <w:pPr>
        <w:ind w:left="108" w:hanging="122"/>
      </w:pPr>
      <w:rPr>
        <w:rFonts w:hint="default" w:ascii="Arial" w:hAnsi="Arial" w:eastAsia="Arial" w:cs="Arial"/>
        <w:color w:val="0000FF"/>
        <w:w w:val="99"/>
        <w:sz w:val="20"/>
        <w:szCs w:val="20"/>
      </w:rPr>
    </w:lvl>
    <w:lvl w:ilvl="1">
      <w:start w:val="0"/>
      <w:numFmt w:val="bullet"/>
      <w:lvlText w:val="•"/>
      <w:lvlJc w:val="left"/>
      <w:pPr>
        <w:ind w:left="604" w:hanging="122"/>
      </w:pPr>
      <w:rPr>
        <w:rFonts w:hint="default"/>
      </w:rPr>
    </w:lvl>
    <w:lvl w:ilvl="2">
      <w:start w:val="0"/>
      <w:numFmt w:val="bullet"/>
      <w:lvlText w:val="•"/>
      <w:lvlJc w:val="left"/>
      <w:pPr>
        <w:ind w:left="1109" w:hanging="122"/>
      </w:pPr>
      <w:rPr>
        <w:rFonts w:hint="default"/>
      </w:rPr>
    </w:lvl>
    <w:lvl w:ilvl="3">
      <w:start w:val="0"/>
      <w:numFmt w:val="bullet"/>
      <w:lvlText w:val="•"/>
      <w:lvlJc w:val="left"/>
      <w:pPr>
        <w:ind w:left="1614" w:hanging="122"/>
      </w:pPr>
      <w:rPr>
        <w:rFonts w:hint="default"/>
      </w:rPr>
    </w:lvl>
    <w:lvl w:ilvl="4">
      <w:start w:val="0"/>
      <w:numFmt w:val="bullet"/>
      <w:lvlText w:val="•"/>
      <w:lvlJc w:val="left"/>
      <w:pPr>
        <w:ind w:left="2119" w:hanging="122"/>
      </w:pPr>
      <w:rPr>
        <w:rFonts w:hint="default"/>
      </w:rPr>
    </w:lvl>
    <w:lvl w:ilvl="5">
      <w:start w:val="0"/>
      <w:numFmt w:val="bullet"/>
      <w:lvlText w:val="•"/>
      <w:lvlJc w:val="left"/>
      <w:pPr>
        <w:ind w:left="2624" w:hanging="122"/>
      </w:pPr>
      <w:rPr>
        <w:rFonts w:hint="default"/>
      </w:rPr>
    </w:lvl>
    <w:lvl w:ilvl="6">
      <w:start w:val="0"/>
      <w:numFmt w:val="bullet"/>
      <w:lvlText w:val="•"/>
      <w:lvlJc w:val="left"/>
      <w:pPr>
        <w:ind w:left="3129" w:hanging="122"/>
      </w:pPr>
      <w:rPr>
        <w:rFonts w:hint="default"/>
      </w:rPr>
    </w:lvl>
    <w:lvl w:ilvl="7">
      <w:start w:val="0"/>
      <w:numFmt w:val="bullet"/>
      <w:lvlText w:val="•"/>
      <w:lvlJc w:val="left"/>
      <w:pPr>
        <w:ind w:left="3634" w:hanging="122"/>
      </w:pPr>
      <w:rPr>
        <w:rFonts w:hint="default"/>
      </w:rPr>
    </w:lvl>
    <w:lvl w:ilvl="8">
      <w:start w:val="0"/>
      <w:numFmt w:val="bullet"/>
      <w:lvlText w:val="•"/>
      <w:lvlJc w:val="left"/>
      <w:pPr>
        <w:ind w:left="4139" w:hanging="122"/>
      </w:pPr>
      <w:rPr>
        <w:rFonts w:hint="default"/>
      </w:rPr>
    </w:lvl>
  </w:abstractNum>
  <w:abstractNum w:abstractNumId="55">
    <w:multiLevelType w:val="hybridMultilevel"/>
    <w:lvl w:ilvl="0">
      <w:start w:val="0"/>
      <w:numFmt w:val="bullet"/>
      <w:lvlText w:val="-"/>
      <w:lvlJc w:val="left"/>
      <w:pPr>
        <w:ind w:left="108" w:hanging="122"/>
      </w:pPr>
      <w:rPr>
        <w:rFonts w:hint="default" w:ascii="Arial" w:hAnsi="Arial" w:eastAsia="Arial" w:cs="Arial"/>
        <w:w w:val="99"/>
        <w:sz w:val="20"/>
        <w:szCs w:val="20"/>
      </w:rPr>
    </w:lvl>
    <w:lvl w:ilvl="1">
      <w:start w:val="0"/>
      <w:numFmt w:val="bullet"/>
      <w:lvlText w:val="•"/>
      <w:lvlJc w:val="left"/>
      <w:pPr>
        <w:ind w:left="345" w:hanging="122"/>
      </w:pPr>
      <w:rPr>
        <w:rFonts w:hint="default"/>
      </w:rPr>
    </w:lvl>
    <w:lvl w:ilvl="2">
      <w:start w:val="0"/>
      <w:numFmt w:val="bullet"/>
      <w:lvlText w:val="•"/>
      <w:lvlJc w:val="left"/>
      <w:pPr>
        <w:ind w:left="590" w:hanging="122"/>
      </w:pPr>
      <w:rPr>
        <w:rFonts w:hint="default"/>
      </w:rPr>
    </w:lvl>
    <w:lvl w:ilvl="3">
      <w:start w:val="0"/>
      <w:numFmt w:val="bullet"/>
      <w:lvlText w:val="•"/>
      <w:lvlJc w:val="left"/>
      <w:pPr>
        <w:ind w:left="835" w:hanging="122"/>
      </w:pPr>
      <w:rPr>
        <w:rFonts w:hint="default"/>
      </w:rPr>
    </w:lvl>
    <w:lvl w:ilvl="4">
      <w:start w:val="0"/>
      <w:numFmt w:val="bullet"/>
      <w:lvlText w:val="•"/>
      <w:lvlJc w:val="left"/>
      <w:pPr>
        <w:ind w:left="1080" w:hanging="122"/>
      </w:pPr>
      <w:rPr>
        <w:rFonts w:hint="default"/>
      </w:rPr>
    </w:lvl>
    <w:lvl w:ilvl="5">
      <w:start w:val="0"/>
      <w:numFmt w:val="bullet"/>
      <w:lvlText w:val="•"/>
      <w:lvlJc w:val="left"/>
      <w:pPr>
        <w:ind w:left="1325" w:hanging="122"/>
      </w:pPr>
      <w:rPr>
        <w:rFonts w:hint="default"/>
      </w:rPr>
    </w:lvl>
    <w:lvl w:ilvl="6">
      <w:start w:val="0"/>
      <w:numFmt w:val="bullet"/>
      <w:lvlText w:val="•"/>
      <w:lvlJc w:val="left"/>
      <w:pPr>
        <w:ind w:left="1570" w:hanging="122"/>
      </w:pPr>
      <w:rPr>
        <w:rFonts w:hint="default"/>
      </w:rPr>
    </w:lvl>
    <w:lvl w:ilvl="7">
      <w:start w:val="0"/>
      <w:numFmt w:val="bullet"/>
      <w:lvlText w:val="•"/>
      <w:lvlJc w:val="left"/>
      <w:pPr>
        <w:ind w:left="1815" w:hanging="122"/>
      </w:pPr>
      <w:rPr>
        <w:rFonts w:hint="default"/>
      </w:rPr>
    </w:lvl>
    <w:lvl w:ilvl="8">
      <w:start w:val="0"/>
      <w:numFmt w:val="bullet"/>
      <w:lvlText w:val="•"/>
      <w:lvlJc w:val="left"/>
      <w:pPr>
        <w:ind w:left="2060" w:hanging="122"/>
      </w:pPr>
      <w:rPr>
        <w:rFonts w:hint="default"/>
      </w:rPr>
    </w:lvl>
  </w:abstractNum>
  <w:abstractNum w:abstractNumId="54">
    <w:multiLevelType w:val="hybridMultilevel"/>
    <w:lvl w:ilvl="0">
      <w:start w:val="0"/>
      <w:numFmt w:val="bullet"/>
      <w:lvlText w:val=""/>
      <w:lvlJc w:val="left"/>
      <w:pPr>
        <w:ind w:left="340" w:hanging="121"/>
      </w:pPr>
      <w:rPr>
        <w:rFonts w:hint="default" w:ascii="Symbol" w:hAnsi="Symbol" w:eastAsia="Symbol" w:cs="Symbol"/>
        <w:w w:val="99"/>
        <w:position w:val="9"/>
        <w:sz w:val="13"/>
        <w:szCs w:val="13"/>
      </w:rPr>
    </w:lvl>
    <w:lvl w:ilvl="1">
      <w:start w:val="0"/>
      <w:numFmt w:val="bullet"/>
      <w:lvlText w:val="•"/>
      <w:lvlJc w:val="left"/>
      <w:pPr>
        <w:ind w:left="1793" w:hanging="121"/>
      </w:pPr>
      <w:rPr>
        <w:rFonts w:hint="default"/>
      </w:rPr>
    </w:lvl>
    <w:lvl w:ilvl="2">
      <w:start w:val="0"/>
      <w:numFmt w:val="bullet"/>
      <w:lvlText w:val="•"/>
      <w:lvlJc w:val="left"/>
      <w:pPr>
        <w:ind w:left="3247" w:hanging="121"/>
      </w:pPr>
      <w:rPr>
        <w:rFonts w:hint="default"/>
      </w:rPr>
    </w:lvl>
    <w:lvl w:ilvl="3">
      <w:start w:val="0"/>
      <w:numFmt w:val="bullet"/>
      <w:lvlText w:val="•"/>
      <w:lvlJc w:val="left"/>
      <w:pPr>
        <w:ind w:left="4701" w:hanging="121"/>
      </w:pPr>
      <w:rPr>
        <w:rFonts w:hint="default"/>
      </w:rPr>
    </w:lvl>
    <w:lvl w:ilvl="4">
      <w:start w:val="0"/>
      <w:numFmt w:val="bullet"/>
      <w:lvlText w:val="•"/>
      <w:lvlJc w:val="left"/>
      <w:pPr>
        <w:ind w:left="6155" w:hanging="121"/>
      </w:pPr>
      <w:rPr>
        <w:rFonts w:hint="default"/>
      </w:rPr>
    </w:lvl>
    <w:lvl w:ilvl="5">
      <w:start w:val="0"/>
      <w:numFmt w:val="bullet"/>
      <w:lvlText w:val="•"/>
      <w:lvlJc w:val="left"/>
      <w:pPr>
        <w:ind w:left="7608" w:hanging="121"/>
      </w:pPr>
      <w:rPr>
        <w:rFonts w:hint="default"/>
      </w:rPr>
    </w:lvl>
    <w:lvl w:ilvl="6">
      <w:start w:val="0"/>
      <w:numFmt w:val="bullet"/>
      <w:lvlText w:val="•"/>
      <w:lvlJc w:val="left"/>
      <w:pPr>
        <w:ind w:left="9062" w:hanging="121"/>
      </w:pPr>
      <w:rPr>
        <w:rFonts w:hint="default"/>
      </w:rPr>
    </w:lvl>
    <w:lvl w:ilvl="7">
      <w:start w:val="0"/>
      <w:numFmt w:val="bullet"/>
      <w:lvlText w:val="•"/>
      <w:lvlJc w:val="left"/>
      <w:pPr>
        <w:ind w:left="10516" w:hanging="121"/>
      </w:pPr>
      <w:rPr>
        <w:rFonts w:hint="default"/>
      </w:rPr>
    </w:lvl>
    <w:lvl w:ilvl="8">
      <w:start w:val="0"/>
      <w:numFmt w:val="bullet"/>
      <w:lvlText w:val="•"/>
      <w:lvlJc w:val="left"/>
      <w:pPr>
        <w:ind w:left="11970" w:hanging="121"/>
      </w:pPr>
      <w:rPr>
        <w:rFonts w:hint="default"/>
      </w:rPr>
    </w:lvl>
  </w:abstractNum>
  <w:abstractNum w:abstractNumId="53">
    <w:multiLevelType w:val="hybridMultilevel"/>
    <w:lvl w:ilvl="0">
      <w:start w:val="31"/>
      <w:numFmt w:val="decimal"/>
      <w:lvlText w:val="%1."/>
      <w:lvlJc w:val="left"/>
      <w:pPr>
        <w:ind w:left="400" w:hanging="401"/>
        <w:jc w:val="left"/>
      </w:pPr>
      <w:rPr>
        <w:rFonts w:hint="default" w:ascii="Arial" w:hAnsi="Arial" w:eastAsia="Arial" w:cs="Arial"/>
        <w:spacing w:val="-1"/>
        <w:w w:val="100"/>
        <w:sz w:val="24"/>
        <w:szCs w:val="24"/>
      </w:rPr>
    </w:lvl>
    <w:lvl w:ilvl="1">
      <w:start w:val="0"/>
      <w:numFmt w:val="bullet"/>
      <w:lvlText w:val="•"/>
      <w:lvlJc w:val="left"/>
      <w:pPr>
        <w:ind w:left="1394" w:hanging="401"/>
      </w:pPr>
      <w:rPr>
        <w:rFonts w:hint="default"/>
      </w:rPr>
    </w:lvl>
    <w:lvl w:ilvl="2">
      <w:start w:val="0"/>
      <w:numFmt w:val="bullet"/>
      <w:lvlText w:val="•"/>
      <w:lvlJc w:val="left"/>
      <w:pPr>
        <w:ind w:left="2389" w:hanging="401"/>
      </w:pPr>
      <w:rPr>
        <w:rFonts w:hint="default"/>
      </w:rPr>
    </w:lvl>
    <w:lvl w:ilvl="3">
      <w:start w:val="0"/>
      <w:numFmt w:val="bullet"/>
      <w:lvlText w:val="•"/>
      <w:lvlJc w:val="left"/>
      <w:pPr>
        <w:ind w:left="3383" w:hanging="401"/>
      </w:pPr>
      <w:rPr>
        <w:rFonts w:hint="default"/>
      </w:rPr>
    </w:lvl>
    <w:lvl w:ilvl="4">
      <w:start w:val="0"/>
      <w:numFmt w:val="bullet"/>
      <w:lvlText w:val="•"/>
      <w:lvlJc w:val="left"/>
      <w:pPr>
        <w:ind w:left="4378" w:hanging="401"/>
      </w:pPr>
      <w:rPr>
        <w:rFonts w:hint="default"/>
      </w:rPr>
    </w:lvl>
    <w:lvl w:ilvl="5">
      <w:start w:val="0"/>
      <w:numFmt w:val="bullet"/>
      <w:lvlText w:val="•"/>
      <w:lvlJc w:val="left"/>
      <w:pPr>
        <w:ind w:left="5372" w:hanging="401"/>
      </w:pPr>
      <w:rPr>
        <w:rFonts w:hint="default"/>
      </w:rPr>
    </w:lvl>
    <w:lvl w:ilvl="6">
      <w:start w:val="0"/>
      <w:numFmt w:val="bullet"/>
      <w:lvlText w:val="•"/>
      <w:lvlJc w:val="left"/>
      <w:pPr>
        <w:ind w:left="6367" w:hanging="401"/>
      </w:pPr>
      <w:rPr>
        <w:rFonts w:hint="default"/>
      </w:rPr>
    </w:lvl>
    <w:lvl w:ilvl="7">
      <w:start w:val="0"/>
      <w:numFmt w:val="bullet"/>
      <w:lvlText w:val="•"/>
      <w:lvlJc w:val="left"/>
      <w:pPr>
        <w:ind w:left="7361" w:hanging="401"/>
      </w:pPr>
      <w:rPr>
        <w:rFonts w:hint="default"/>
      </w:rPr>
    </w:lvl>
    <w:lvl w:ilvl="8">
      <w:start w:val="0"/>
      <w:numFmt w:val="bullet"/>
      <w:lvlText w:val="•"/>
      <w:lvlJc w:val="left"/>
      <w:pPr>
        <w:ind w:left="8356" w:hanging="401"/>
      </w:pPr>
      <w:rPr>
        <w:rFonts w:hint="default"/>
      </w:rPr>
    </w:lvl>
  </w:abstractNum>
  <w:abstractNum w:abstractNumId="52">
    <w:multiLevelType w:val="hybridMultilevel"/>
    <w:lvl w:ilvl="0">
      <w:start w:val="27"/>
      <w:numFmt w:val="decimal"/>
      <w:lvlText w:val="%1."/>
      <w:lvlJc w:val="left"/>
      <w:pPr>
        <w:ind w:left="400" w:hanging="401"/>
        <w:jc w:val="left"/>
      </w:pPr>
      <w:rPr>
        <w:rFonts w:hint="default" w:ascii="Arial" w:hAnsi="Arial" w:eastAsia="Arial" w:cs="Arial"/>
        <w:spacing w:val="-1"/>
        <w:w w:val="100"/>
        <w:sz w:val="24"/>
        <w:szCs w:val="24"/>
      </w:rPr>
    </w:lvl>
    <w:lvl w:ilvl="1">
      <w:start w:val="0"/>
      <w:numFmt w:val="bullet"/>
      <w:lvlText w:val="•"/>
      <w:lvlJc w:val="left"/>
      <w:pPr>
        <w:ind w:left="1394" w:hanging="401"/>
      </w:pPr>
      <w:rPr>
        <w:rFonts w:hint="default"/>
      </w:rPr>
    </w:lvl>
    <w:lvl w:ilvl="2">
      <w:start w:val="0"/>
      <w:numFmt w:val="bullet"/>
      <w:lvlText w:val="•"/>
      <w:lvlJc w:val="left"/>
      <w:pPr>
        <w:ind w:left="2389" w:hanging="401"/>
      </w:pPr>
      <w:rPr>
        <w:rFonts w:hint="default"/>
      </w:rPr>
    </w:lvl>
    <w:lvl w:ilvl="3">
      <w:start w:val="0"/>
      <w:numFmt w:val="bullet"/>
      <w:lvlText w:val="•"/>
      <w:lvlJc w:val="left"/>
      <w:pPr>
        <w:ind w:left="3383" w:hanging="401"/>
      </w:pPr>
      <w:rPr>
        <w:rFonts w:hint="default"/>
      </w:rPr>
    </w:lvl>
    <w:lvl w:ilvl="4">
      <w:start w:val="0"/>
      <w:numFmt w:val="bullet"/>
      <w:lvlText w:val="•"/>
      <w:lvlJc w:val="left"/>
      <w:pPr>
        <w:ind w:left="4378" w:hanging="401"/>
      </w:pPr>
      <w:rPr>
        <w:rFonts w:hint="default"/>
      </w:rPr>
    </w:lvl>
    <w:lvl w:ilvl="5">
      <w:start w:val="0"/>
      <w:numFmt w:val="bullet"/>
      <w:lvlText w:val="•"/>
      <w:lvlJc w:val="left"/>
      <w:pPr>
        <w:ind w:left="5372" w:hanging="401"/>
      </w:pPr>
      <w:rPr>
        <w:rFonts w:hint="default"/>
      </w:rPr>
    </w:lvl>
    <w:lvl w:ilvl="6">
      <w:start w:val="0"/>
      <w:numFmt w:val="bullet"/>
      <w:lvlText w:val="•"/>
      <w:lvlJc w:val="left"/>
      <w:pPr>
        <w:ind w:left="6367" w:hanging="401"/>
      </w:pPr>
      <w:rPr>
        <w:rFonts w:hint="default"/>
      </w:rPr>
    </w:lvl>
    <w:lvl w:ilvl="7">
      <w:start w:val="0"/>
      <w:numFmt w:val="bullet"/>
      <w:lvlText w:val="•"/>
      <w:lvlJc w:val="left"/>
      <w:pPr>
        <w:ind w:left="7361" w:hanging="401"/>
      </w:pPr>
      <w:rPr>
        <w:rFonts w:hint="default"/>
      </w:rPr>
    </w:lvl>
    <w:lvl w:ilvl="8">
      <w:start w:val="0"/>
      <w:numFmt w:val="bullet"/>
      <w:lvlText w:val="•"/>
      <w:lvlJc w:val="left"/>
      <w:pPr>
        <w:ind w:left="8356" w:hanging="401"/>
      </w:pPr>
      <w:rPr>
        <w:rFonts w:hint="default"/>
      </w:rPr>
    </w:lvl>
  </w:abstractNum>
  <w:abstractNum w:abstractNumId="51">
    <w:multiLevelType w:val="hybridMultilevel"/>
    <w:lvl w:ilvl="0">
      <w:start w:val="1"/>
      <w:numFmt w:val="decimal"/>
      <w:lvlText w:val="%1."/>
      <w:lvlJc w:val="left"/>
      <w:pPr>
        <w:ind w:left="400" w:hanging="267"/>
        <w:jc w:val="left"/>
      </w:pPr>
      <w:rPr>
        <w:rFonts w:hint="default" w:ascii="Arial" w:hAnsi="Arial" w:eastAsia="Arial" w:cs="Arial"/>
        <w:spacing w:val="-1"/>
        <w:w w:val="100"/>
        <w:sz w:val="24"/>
        <w:szCs w:val="24"/>
      </w:rPr>
    </w:lvl>
    <w:lvl w:ilvl="1">
      <w:start w:val="0"/>
      <w:numFmt w:val="bullet"/>
      <w:lvlText w:val="•"/>
      <w:lvlJc w:val="left"/>
      <w:pPr>
        <w:ind w:left="1394" w:hanging="267"/>
      </w:pPr>
      <w:rPr>
        <w:rFonts w:hint="default"/>
      </w:rPr>
    </w:lvl>
    <w:lvl w:ilvl="2">
      <w:start w:val="0"/>
      <w:numFmt w:val="bullet"/>
      <w:lvlText w:val="•"/>
      <w:lvlJc w:val="left"/>
      <w:pPr>
        <w:ind w:left="2389" w:hanging="267"/>
      </w:pPr>
      <w:rPr>
        <w:rFonts w:hint="default"/>
      </w:rPr>
    </w:lvl>
    <w:lvl w:ilvl="3">
      <w:start w:val="0"/>
      <w:numFmt w:val="bullet"/>
      <w:lvlText w:val="•"/>
      <w:lvlJc w:val="left"/>
      <w:pPr>
        <w:ind w:left="3383" w:hanging="267"/>
      </w:pPr>
      <w:rPr>
        <w:rFonts w:hint="default"/>
      </w:rPr>
    </w:lvl>
    <w:lvl w:ilvl="4">
      <w:start w:val="0"/>
      <w:numFmt w:val="bullet"/>
      <w:lvlText w:val="•"/>
      <w:lvlJc w:val="left"/>
      <w:pPr>
        <w:ind w:left="4378" w:hanging="267"/>
      </w:pPr>
      <w:rPr>
        <w:rFonts w:hint="default"/>
      </w:rPr>
    </w:lvl>
    <w:lvl w:ilvl="5">
      <w:start w:val="0"/>
      <w:numFmt w:val="bullet"/>
      <w:lvlText w:val="•"/>
      <w:lvlJc w:val="left"/>
      <w:pPr>
        <w:ind w:left="5372" w:hanging="267"/>
      </w:pPr>
      <w:rPr>
        <w:rFonts w:hint="default"/>
      </w:rPr>
    </w:lvl>
    <w:lvl w:ilvl="6">
      <w:start w:val="0"/>
      <w:numFmt w:val="bullet"/>
      <w:lvlText w:val="•"/>
      <w:lvlJc w:val="left"/>
      <w:pPr>
        <w:ind w:left="6367" w:hanging="267"/>
      </w:pPr>
      <w:rPr>
        <w:rFonts w:hint="default"/>
      </w:rPr>
    </w:lvl>
    <w:lvl w:ilvl="7">
      <w:start w:val="0"/>
      <w:numFmt w:val="bullet"/>
      <w:lvlText w:val="•"/>
      <w:lvlJc w:val="left"/>
      <w:pPr>
        <w:ind w:left="7361" w:hanging="267"/>
      </w:pPr>
      <w:rPr>
        <w:rFonts w:hint="default"/>
      </w:rPr>
    </w:lvl>
    <w:lvl w:ilvl="8">
      <w:start w:val="0"/>
      <w:numFmt w:val="bullet"/>
      <w:lvlText w:val="•"/>
      <w:lvlJc w:val="left"/>
      <w:pPr>
        <w:ind w:left="8356" w:hanging="267"/>
      </w:pPr>
      <w:rPr>
        <w:rFonts w:hint="default"/>
      </w:rPr>
    </w:lvl>
  </w:abstractNum>
  <w:abstractNum w:abstractNumId="50">
    <w:multiLevelType w:val="hybridMultilevel"/>
    <w:lvl w:ilvl="0">
      <w:start w:val="0"/>
      <w:numFmt w:val="bullet"/>
      <w:lvlText w:val="-"/>
      <w:lvlJc w:val="left"/>
      <w:pPr>
        <w:ind w:left="400" w:hanging="147"/>
      </w:pPr>
      <w:rPr>
        <w:rFonts w:hint="default" w:ascii="Arial" w:hAnsi="Arial" w:eastAsia="Arial" w:cs="Arial"/>
        <w:w w:val="100"/>
        <w:sz w:val="24"/>
        <w:szCs w:val="24"/>
      </w:rPr>
    </w:lvl>
    <w:lvl w:ilvl="1">
      <w:start w:val="0"/>
      <w:numFmt w:val="bullet"/>
      <w:lvlText w:val="•"/>
      <w:lvlJc w:val="left"/>
      <w:pPr>
        <w:ind w:left="1394" w:hanging="147"/>
      </w:pPr>
      <w:rPr>
        <w:rFonts w:hint="default"/>
      </w:rPr>
    </w:lvl>
    <w:lvl w:ilvl="2">
      <w:start w:val="0"/>
      <w:numFmt w:val="bullet"/>
      <w:lvlText w:val="•"/>
      <w:lvlJc w:val="left"/>
      <w:pPr>
        <w:ind w:left="2389" w:hanging="147"/>
      </w:pPr>
      <w:rPr>
        <w:rFonts w:hint="default"/>
      </w:rPr>
    </w:lvl>
    <w:lvl w:ilvl="3">
      <w:start w:val="0"/>
      <w:numFmt w:val="bullet"/>
      <w:lvlText w:val="•"/>
      <w:lvlJc w:val="left"/>
      <w:pPr>
        <w:ind w:left="3383" w:hanging="147"/>
      </w:pPr>
      <w:rPr>
        <w:rFonts w:hint="default"/>
      </w:rPr>
    </w:lvl>
    <w:lvl w:ilvl="4">
      <w:start w:val="0"/>
      <w:numFmt w:val="bullet"/>
      <w:lvlText w:val="•"/>
      <w:lvlJc w:val="left"/>
      <w:pPr>
        <w:ind w:left="4378" w:hanging="147"/>
      </w:pPr>
      <w:rPr>
        <w:rFonts w:hint="default"/>
      </w:rPr>
    </w:lvl>
    <w:lvl w:ilvl="5">
      <w:start w:val="0"/>
      <w:numFmt w:val="bullet"/>
      <w:lvlText w:val="•"/>
      <w:lvlJc w:val="left"/>
      <w:pPr>
        <w:ind w:left="5372" w:hanging="147"/>
      </w:pPr>
      <w:rPr>
        <w:rFonts w:hint="default"/>
      </w:rPr>
    </w:lvl>
    <w:lvl w:ilvl="6">
      <w:start w:val="0"/>
      <w:numFmt w:val="bullet"/>
      <w:lvlText w:val="•"/>
      <w:lvlJc w:val="left"/>
      <w:pPr>
        <w:ind w:left="6367" w:hanging="147"/>
      </w:pPr>
      <w:rPr>
        <w:rFonts w:hint="default"/>
      </w:rPr>
    </w:lvl>
    <w:lvl w:ilvl="7">
      <w:start w:val="0"/>
      <w:numFmt w:val="bullet"/>
      <w:lvlText w:val="•"/>
      <w:lvlJc w:val="left"/>
      <w:pPr>
        <w:ind w:left="7361" w:hanging="147"/>
      </w:pPr>
      <w:rPr>
        <w:rFonts w:hint="default"/>
      </w:rPr>
    </w:lvl>
    <w:lvl w:ilvl="8">
      <w:start w:val="0"/>
      <w:numFmt w:val="bullet"/>
      <w:lvlText w:val="•"/>
      <w:lvlJc w:val="left"/>
      <w:pPr>
        <w:ind w:left="8356" w:hanging="147"/>
      </w:pPr>
      <w:rPr>
        <w:rFonts w:hint="default"/>
      </w:rPr>
    </w:lvl>
  </w:abstractNum>
  <w:abstractNum w:abstractNumId="49">
    <w:multiLevelType w:val="hybridMultilevel"/>
    <w:lvl w:ilvl="0">
      <w:start w:val="25"/>
      <w:numFmt w:val="decimal"/>
      <w:lvlText w:val="%1."/>
      <w:lvlJc w:val="left"/>
      <w:pPr>
        <w:ind w:left="800" w:hanging="401"/>
        <w:jc w:val="left"/>
      </w:pPr>
      <w:rPr>
        <w:rFonts w:hint="default" w:ascii="Arial" w:hAnsi="Arial" w:eastAsia="Arial" w:cs="Arial"/>
        <w:spacing w:val="-1"/>
        <w:w w:val="100"/>
        <w:sz w:val="24"/>
        <w:szCs w:val="24"/>
      </w:rPr>
    </w:lvl>
    <w:lvl w:ilvl="1">
      <w:start w:val="0"/>
      <w:numFmt w:val="bullet"/>
      <w:lvlText w:val="•"/>
      <w:lvlJc w:val="left"/>
      <w:pPr>
        <w:ind w:left="1754" w:hanging="401"/>
      </w:pPr>
      <w:rPr>
        <w:rFonts w:hint="default"/>
      </w:rPr>
    </w:lvl>
    <w:lvl w:ilvl="2">
      <w:start w:val="0"/>
      <w:numFmt w:val="bullet"/>
      <w:lvlText w:val="•"/>
      <w:lvlJc w:val="left"/>
      <w:pPr>
        <w:ind w:left="2709" w:hanging="401"/>
      </w:pPr>
      <w:rPr>
        <w:rFonts w:hint="default"/>
      </w:rPr>
    </w:lvl>
    <w:lvl w:ilvl="3">
      <w:start w:val="0"/>
      <w:numFmt w:val="bullet"/>
      <w:lvlText w:val="•"/>
      <w:lvlJc w:val="left"/>
      <w:pPr>
        <w:ind w:left="3663" w:hanging="401"/>
      </w:pPr>
      <w:rPr>
        <w:rFonts w:hint="default"/>
      </w:rPr>
    </w:lvl>
    <w:lvl w:ilvl="4">
      <w:start w:val="0"/>
      <w:numFmt w:val="bullet"/>
      <w:lvlText w:val="•"/>
      <w:lvlJc w:val="left"/>
      <w:pPr>
        <w:ind w:left="4618" w:hanging="401"/>
      </w:pPr>
      <w:rPr>
        <w:rFonts w:hint="default"/>
      </w:rPr>
    </w:lvl>
    <w:lvl w:ilvl="5">
      <w:start w:val="0"/>
      <w:numFmt w:val="bullet"/>
      <w:lvlText w:val="•"/>
      <w:lvlJc w:val="left"/>
      <w:pPr>
        <w:ind w:left="5572" w:hanging="401"/>
      </w:pPr>
      <w:rPr>
        <w:rFonts w:hint="default"/>
      </w:rPr>
    </w:lvl>
    <w:lvl w:ilvl="6">
      <w:start w:val="0"/>
      <w:numFmt w:val="bullet"/>
      <w:lvlText w:val="•"/>
      <w:lvlJc w:val="left"/>
      <w:pPr>
        <w:ind w:left="6527" w:hanging="401"/>
      </w:pPr>
      <w:rPr>
        <w:rFonts w:hint="default"/>
      </w:rPr>
    </w:lvl>
    <w:lvl w:ilvl="7">
      <w:start w:val="0"/>
      <w:numFmt w:val="bullet"/>
      <w:lvlText w:val="•"/>
      <w:lvlJc w:val="left"/>
      <w:pPr>
        <w:ind w:left="7481" w:hanging="401"/>
      </w:pPr>
      <w:rPr>
        <w:rFonts w:hint="default"/>
      </w:rPr>
    </w:lvl>
    <w:lvl w:ilvl="8">
      <w:start w:val="0"/>
      <w:numFmt w:val="bullet"/>
      <w:lvlText w:val="•"/>
      <w:lvlJc w:val="left"/>
      <w:pPr>
        <w:ind w:left="8436" w:hanging="401"/>
      </w:pPr>
      <w:rPr>
        <w:rFonts w:hint="default"/>
      </w:rPr>
    </w:lvl>
  </w:abstractNum>
  <w:abstractNum w:abstractNumId="48">
    <w:multiLevelType w:val="hybridMultilevel"/>
    <w:lvl w:ilvl="0">
      <w:start w:val="18"/>
      <w:numFmt w:val="decimal"/>
      <w:lvlText w:val="%1."/>
      <w:lvlJc w:val="left"/>
      <w:pPr>
        <w:ind w:left="800" w:hanging="401"/>
        <w:jc w:val="left"/>
      </w:pPr>
      <w:rPr>
        <w:rFonts w:hint="default" w:ascii="Arial" w:hAnsi="Arial" w:eastAsia="Arial" w:cs="Arial"/>
        <w:spacing w:val="-1"/>
        <w:w w:val="100"/>
        <w:sz w:val="24"/>
        <w:szCs w:val="24"/>
      </w:rPr>
    </w:lvl>
    <w:lvl w:ilvl="1">
      <w:start w:val="0"/>
      <w:numFmt w:val="bullet"/>
      <w:lvlText w:val="•"/>
      <w:lvlJc w:val="left"/>
      <w:pPr>
        <w:ind w:left="1754" w:hanging="401"/>
      </w:pPr>
      <w:rPr>
        <w:rFonts w:hint="default"/>
      </w:rPr>
    </w:lvl>
    <w:lvl w:ilvl="2">
      <w:start w:val="0"/>
      <w:numFmt w:val="bullet"/>
      <w:lvlText w:val="•"/>
      <w:lvlJc w:val="left"/>
      <w:pPr>
        <w:ind w:left="2709" w:hanging="401"/>
      </w:pPr>
      <w:rPr>
        <w:rFonts w:hint="default"/>
      </w:rPr>
    </w:lvl>
    <w:lvl w:ilvl="3">
      <w:start w:val="0"/>
      <w:numFmt w:val="bullet"/>
      <w:lvlText w:val="•"/>
      <w:lvlJc w:val="left"/>
      <w:pPr>
        <w:ind w:left="3663" w:hanging="401"/>
      </w:pPr>
      <w:rPr>
        <w:rFonts w:hint="default"/>
      </w:rPr>
    </w:lvl>
    <w:lvl w:ilvl="4">
      <w:start w:val="0"/>
      <w:numFmt w:val="bullet"/>
      <w:lvlText w:val="•"/>
      <w:lvlJc w:val="left"/>
      <w:pPr>
        <w:ind w:left="4618" w:hanging="401"/>
      </w:pPr>
      <w:rPr>
        <w:rFonts w:hint="default"/>
      </w:rPr>
    </w:lvl>
    <w:lvl w:ilvl="5">
      <w:start w:val="0"/>
      <w:numFmt w:val="bullet"/>
      <w:lvlText w:val="•"/>
      <w:lvlJc w:val="left"/>
      <w:pPr>
        <w:ind w:left="5572" w:hanging="401"/>
      </w:pPr>
      <w:rPr>
        <w:rFonts w:hint="default"/>
      </w:rPr>
    </w:lvl>
    <w:lvl w:ilvl="6">
      <w:start w:val="0"/>
      <w:numFmt w:val="bullet"/>
      <w:lvlText w:val="•"/>
      <w:lvlJc w:val="left"/>
      <w:pPr>
        <w:ind w:left="6527" w:hanging="401"/>
      </w:pPr>
      <w:rPr>
        <w:rFonts w:hint="default"/>
      </w:rPr>
    </w:lvl>
    <w:lvl w:ilvl="7">
      <w:start w:val="0"/>
      <w:numFmt w:val="bullet"/>
      <w:lvlText w:val="•"/>
      <w:lvlJc w:val="left"/>
      <w:pPr>
        <w:ind w:left="7481" w:hanging="401"/>
      </w:pPr>
      <w:rPr>
        <w:rFonts w:hint="default"/>
      </w:rPr>
    </w:lvl>
    <w:lvl w:ilvl="8">
      <w:start w:val="0"/>
      <w:numFmt w:val="bullet"/>
      <w:lvlText w:val="•"/>
      <w:lvlJc w:val="left"/>
      <w:pPr>
        <w:ind w:left="8436" w:hanging="401"/>
      </w:pPr>
      <w:rPr>
        <w:rFonts w:hint="default"/>
      </w:rPr>
    </w:lvl>
  </w:abstractNum>
  <w:abstractNum w:abstractNumId="47">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46">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45">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44">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43">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42">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41">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40">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39">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38">
    <w:multiLevelType w:val="hybridMultilevel"/>
    <w:lvl w:ilvl="0">
      <w:start w:val="1"/>
      <w:numFmt w:val="lowerLetter"/>
      <w:lvlText w:val="%1)"/>
      <w:lvlJc w:val="left"/>
      <w:pPr>
        <w:ind w:left="107" w:hanging="210"/>
        <w:jc w:val="left"/>
      </w:pPr>
      <w:rPr>
        <w:rFonts w:hint="default" w:ascii="Arial" w:hAnsi="Arial" w:eastAsia="Arial" w:cs="Arial"/>
        <w:spacing w:val="-1"/>
        <w:w w:val="100"/>
        <w:sz w:val="18"/>
        <w:szCs w:val="18"/>
      </w:rPr>
    </w:lvl>
    <w:lvl w:ilvl="1">
      <w:start w:val="0"/>
      <w:numFmt w:val="bullet"/>
      <w:lvlText w:val="•"/>
      <w:lvlJc w:val="left"/>
      <w:pPr>
        <w:ind w:left="842" w:hanging="210"/>
      </w:pPr>
      <w:rPr>
        <w:rFonts w:hint="default"/>
      </w:rPr>
    </w:lvl>
    <w:lvl w:ilvl="2">
      <w:start w:val="0"/>
      <w:numFmt w:val="bullet"/>
      <w:lvlText w:val="•"/>
      <w:lvlJc w:val="left"/>
      <w:pPr>
        <w:ind w:left="1584" w:hanging="210"/>
      </w:pPr>
      <w:rPr>
        <w:rFonts w:hint="default"/>
      </w:rPr>
    </w:lvl>
    <w:lvl w:ilvl="3">
      <w:start w:val="0"/>
      <w:numFmt w:val="bullet"/>
      <w:lvlText w:val="•"/>
      <w:lvlJc w:val="left"/>
      <w:pPr>
        <w:ind w:left="2326" w:hanging="210"/>
      </w:pPr>
      <w:rPr>
        <w:rFonts w:hint="default"/>
      </w:rPr>
    </w:lvl>
    <w:lvl w:ilvl="4">
      <w:start w:val="0"/>
      <w:numFmt w:val="bullet"/>
      <w:lvlText w:val="•"/>
      <w:lvlJc w:val="left"/>
      <w:pPr>
        <w:ind w:left="3068" w:hanging="210"/>
      </w:pPr>
      <w:rPr>
        <w:rFonts w:hint="default"/>
      </w:rPr>
    </w:lvl>
    <w:lvl w:ilvl="5">
      <w:start w:val="0"/>
      <w:numFmt w:val="bullet"/>
      <w:lvlText w:val="•"/>
      <w:lvlJc w:val="left"/>
      <w:pPr>
        <w:ind w:left="3810" w:hanging="210"/>
      </w:pPr>
      <w:rPr>
        <w:rFonts w:hint="default"/>
      </w:rPr>
    </w:lvl>
    <w:lvl w:ilvl="6">
      <w:start w:val="0"/>
      <w:numFmt w:val="bullet"/>
      <w:lvlText w:val="•"/>
      <w:lvlJc w:val="left"/>
      <w:pPr>
        <w:ind w:left="4552" w:hanging="210"/>
      </w:pPr>
      <w:rPr>
        <w:rFonts w:hint="default"/>
      </w:rPr>
    </w:lvl>
    <w:lvl w:ilvl="7">
      <w:start w:val="0"/>
      <w:numFmt w:val="bullet"/>
      <w:lvlText w:val="•"/>
      <w:lvlJc w:val="left"/>
      <w:pPr>
        <w:ind w:left="5294" w:hanging="210"/>
      </w:pPr>
      <w:rPr>
        <w:rFonts w:hint="default"/>
      </w:rPr>
    </w:lvl>
    <w:lvl w:ilvl="8">
      <w:start w:val="0"/>
      <w:numFmt w:val="bullet"/>
      <w:lvlText w:val="•"/>
      <w:lvlJc w:val="left"/>
      <w:pPr>
        <w:ind w:left="6036" w:hanging="210"/>
      </w:pPr>
      <w:rPr>
        <w:rFonts w:hint="default"/>
      </w:rPr>
    </w:lvl>
  </w:abstractNum>
  <w:abstractNum w:abstractNumId="37">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36">
    <w:multiLevelType w:val="hybridMultilevel"/>
    <w:lvl w:ilvl="0">
      <w:start w:val="1"/>
      <w:numFmt w:val="lowerLetter"/>
      <w:lvlText w:val="%1)"/>
      <w:lvlJc w:val="left"/>
      <w:pPr>
        <w:ind w:left="107" w:hanging="210"/>
        <w:jc w:val="left"/>
      </w:pPr>
      <w:rPr>
        <w:rFonts w:hint="default" w:ascii="Arial" w:hAnsi="Arial" w:eastAsia="Arial" w:cs="Arial"/>
        <w:spacing w:val="-1"/>
        <w:w w:val="100"/>
        <w:sz w:val="18"/>
        <w:szCs w:val="18"/>
      </w:rPr>
    </w:lvl>
    <w:lvl w:ilvl="1">
      <w:start w:val="0"/>
      <w:numFmt w:val="bullet"/>
      <w:lvlText w:val="•"/>
      <w:lvlJc w:val="left"/>
      <w:pPr>
        <w:ind w:left="842" w:hanging="210"/>
      </w:pPr>
      <w:rPr>
        <w:rFonts w:hint="default"/>
      </w:rPr>
    </w:lvl>
    <w:lvl w:ilvl="2">
      <w:start w:val="0"/>
      <w:numFmt w:val="bullet"/>
      <w:lvlText w:val="•"/>
      <w:lvlJc w:val="left"/>
      <w:pPr>
        <w:ind w:left="1584" w:hanging="210"/>
      </w:pPr>
      <w:rPr>
        <w:rFonts w:hint="default"/>
      </w:rPr>
    </w:lvl>
    <w:lvl w:ilvl="3">
      <w:start w:val="0"/>
      <w:numFmt w:val="bullet"/>
      <w:lvlText w:val="•"/>
      <w:lvlJc w:val="left"/>
      <w:pPr>
        <w:ind w:left="2326" w:hanging="210"/>
      </w:pPr>
      <w:rPr>
        <w:rFonts w:hint="default"/>
      </w:rPr>
    </w:lvl>
    <w:lvl w:ilvl="4">
      <w:start w:val="0"/>
      <w:numFmt w:val="bullet"/>
      <w:lvlText w:val="•"/>
      <w:lvlJc w:val="left"/>
      <w:pPr>
        <w:ind w:left="3068" w:hanging="210"/>
      </w:pPr>
      <w:rPr>
        <w:rFonts w:hint="default"/>
      </w:rPr>
    </w:lvl>
    <w:lvl w:ilvl="5">
      <w:start w:val="0"/>
      <w:numFmt w:val="bullet"/>
      <w:lvlText w:val="•"/>
      <w:lvlJc w:val="left"/>
      <w:pPr>
        <w:ind w:left="3810" w:hanging="210"/>
      </w:pPr>
      <w:rPr>
        <w:rFonts w:hint="default"/>
      </w:rPr>
    </w:lvl>
    <w:lvl w:ilvl="6">
      <w:start w:val="0"/>
      <w:numFmt w:val="bullet"/>
      <w:lvlText w:val="•"/>
      <w:lvlJc w:val="left"/>
      <w:pPr>
        <w:ind w:left="4552" w:hanging="210"/>
      </w:pPr>
      <w:rPr>
        <w:rFonts w:hint="default"/>
      </w:rPr>
    </w:lvl>
    <w:lvl w:ilvl="7">
      <w:start w:val="0"/>
      <w:numFmt w:val="bullet"/>
      <w:lvlText w:val="•"/>
      <w:lvlJc w:val="left"/>
      <w:pPr>
        <w:ind w:left="5294" w:hanging="210"/>
      </w:pPr>
      <w:rPr>
        <w:rFonts w:hint="default"/>
      </w:rPr>
    </w:lvl>
    <w:lvl w:ilvl="8">
      <w:start w:val="0"/>
      <w:numFmt w:val="bullet"/>
      <w:lvlText w:val="•"/>
      <w:lvlJc w:val="left"/>
      <w:pPr>
        <w:ind w:left="6036" w:hanging="210"/>
      </w:pPr>
      <w:rPr>
        <w:rFonts w:hint="default"/>
      </w:rPr>
    </w:lvl>
  </w:abstractNum>
  <w:abstractNum w:abstractNumId="35">
    <w:multiLevelType w:val="hybridMultilevel"/>
    <w:lvl w:ilvl="0">
      <w:start w:val="1"/>
      <w:numFmt w:val="lowerLetter"/>
      <w:lvlText w:val="%1)"/>
      <w:lvlJc w:val="left"/>
      <w:pPr>
        <w:ind w:left="107" w:hanging="210"/>
        <w:jc w:val="left"/>
      </w:pPr>
      <w:rPr>
        <w:rFonts w:hint="default" w:ascii="Arial" w:hAnsi="Arial" w:eastAsia="Arial" w:cs="Arial"/>
        <w:spacing w:val="-1"/>
        <w:w w:val="100"/>
        <w:sz w:val="18"/>
        <w:szCs w:val="18"/>
      </w:rPr>
    </w:lvl>
    <w:lvl w:ilvl="1">
      <w:start w:val="0"/>
      <w:numFmt w:val="bullet"/>
      <w:lvlText w:val="•"/>
      <w:lvlJc w:val="left"/>
      <w:pPr>
        <w:ind w:left="842" w:hanging="210"/>
      </w:pPr>
      <w:rPr>
        <w:rFonts w:hint="default"/>
      </w:rPr>
    </w:lvl>
    <w:lvl w:ilvl="2">
      <w:start w:val="0"/>
      <w:numFmt w:val="bullet"/>
      <w:lvlText w:val="•"/>
      <w:lvlJc w:val="left"/>
      <w:pPr>
        <w:ind w:left="1584" w:hanging="210"/>
      </w:pPr>
      <w:rPr>
        <w:rFonts w:hint="default"/>
      </w:rPr>
    </w:lvl>
    <w:lvl w:ilvl="3">
      <w:start w:val="0"/>
      <w:numFmt w:val="bullet"/>
      <w:lvlText w:val="•"/>
      <w:lvlJc w:val="left"/>
      <w:pPr>
        <w:ind w:left="2326" w:hanging="210"/>
      </w:pPr>
      <w:rPr>
        <w:rFonts w:hint="default"/>
      </w:rPr>
    </w:lvl>
    <w:lvl w:ilvl="4">
      <w:start w:val="0"/>
      <w:numFmt w:val="bullet"/>
      <w:lvlText w:val="•"/>
      <w:lvlJc w:val="left"/>
      <w:pPr>
        <w:ind w:left="3068" w:hanging="210"/>
      </w:pPr>
      <w:rPr>
        <w:rFonts w:hint="default"/>
      </w:rPr>
    </w:lvl>
    <w:lvl w:ilvl="5">
      <w:start w:val="0"/>
      <w:numFmt w:val="bullet"/>
      <w:lvlText w:val="•"/>
      <w:lvlJc w:val="left"/>
      <w:pPr>
        <w:ind w:left="3810" w:hanging="210"/>
      </w:pPr>
      <w:rPr>
        <w:rFonts w:hint="default"/>
      </w:rPr>
    </w:lvl>
    <w:lvl w:ilvl="6">
      <w:start w:val="0"/>
      <w:numFmt w:val="bullet"/>
      <w:lvlText w:val="•"/>
      <w:lvlJc w:val="left"/>
      <w:pPr>
        <w:ind w:left="4552" w:hanging="210"/>
      </w:pPr>
      <w:rPr>
        <w:rFonts w:hint="default"/>
      </w:rPr>
    </w:lvl>
    <w:lvl w:ilvl="7">
      <w:start w:val="0"/>
      <w:numFmt w:val="bullet"/>
      <w:lvlText w:val="•"/>
      <w:lvlJc w:val="left"/>
      <w:pPr>
        <w:ind w:left="5294" w:hanging="210"/>
      </w:pPr>
      <w:rPr>
        <w:rFonts w:hint="default"/>
      </w:rPr>
    </w:lvl>
    <w:lvl w:ilvl="8">
      <w:start w:val="0"/>
      <w:numFmt w:val="bullet"/>
      <w:lvlText w:val="•"/>
      <w:lvlJc w:val="left"/>
      <w:pPr>
        <w:ind w:left="6036" w:hanging="210"/>
      </w:pPr>
      <w:rPr>
        <w:rFonts w:hint="default"/>
      </w:rPr>
    </w:lvl>
  </w:abstractNum>
  <w:abstractNum w:abstractNumId="34">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33">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32">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31">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30">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29">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28">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27">
    <w:multiLevelType w:val="hybridMultilevel"/>
    <w:lvl w:ilvl="0">
      <w:start w:val="1"/>
      <w:numFmt w:val="lowerLetter"/>
      <w:lvlText w:val="%1)"/>
      <w:lvlJc w:val="left"/>
      <w:pPr>
        <w:ind w:left="317" w:hanging="210"/>
        <w:jc w:val="left"/>
      </w:pPr>
      <w:rPr>
        <w:rFonts w:hint="default" w:ascii="Arial" w:hAnsi="Arial" w:eastAsia="Arial" w:cs="Arial"/>
        <w:spacing w:val="-1"/>
        <w:w w:val="100"/>
        <w:sz w:val="18"/>
        <w:szCs w:val="18"/>
      </w:rPr>
    </w:lvl>
    <w:lvl w:ilvl="1">
      <w:start w:val="0"/>
      <w:numFmt w:val="bullet"/>
      <w:lvlText w:val="•"/>
      <w:lvlJc w:val="left"/>
      <w:pPr>
        <w:ind w:left="1040" w:hanging="210"/>
      </w:pPr>
      <w:rPr>
        <w:rFonts w:hint="default"/>
      </w:rPr>
    </w:lvl>
    <w:lvl w:ilvl="2">
      <w:start w:val="0"/>
      <w:numFmt w:val="bullet"/>
      <w:lvlText w:val="•"/>
      <w:lvlJc w:val="left"/>
      <w:pPr>
        <w:ind w:left="1760" w:hanging="210"/>
      </w:pPr>
      <w:rPr>
        <w:rFonts w:hint="default"/>
      </w:rPr>
    </w:lvl>
    <w:lvl w:ilvl="3">
      <w:start w:val="0"/>
      <w:numFmt w:val="bullet"/>
      <w:lvlText w:val="•"/>
      <w:lvlJc w:val="left"/>
      <w:pPr>
        <w:ind w:left="2480" w:hanging="210"/>
      </w:pPr>
      <w:rPr>
        <w:rFonts w:hint="default"/>
      </w:rPr>
    </w:lvl>
    <w:lvl w:ilvl="4">
      <w:start w:val="0"/>
      <w:numFmt w:val="bullet"/>
      <w:lvlText w:val="•"/>
      <w:lvlJc w:val="left"/>
      <w:pPr>
        <w:ind w:left="3200" w:hanging="210"/>
      </w:pPr>
      <w:rPr>
        <w:rFonts w:hint="default"/>
      </w:rPr>
    </w:lvl>
    <w:lvl w:ilvl="5">
      <w:start w:val="0"/>
      <w:numFmt w:val="bullet"/>
      <w:lvlText w:val="•"/>
      <w:lvlJc w:val="left"/>
      <w:pPr>
        <w:ind w:left="3920" w:hanging="210"/>
      </w:pPr>
      <w:rPr>
        <w:rFonts w:hint="default"/>
      </w:rPr>
    </w:lvl>
    <w:lvl w:ilvl="6">
      <w:start w:val="0"/>
      <w:numFmt w:val="bullet"/>
      <w:lvlText w:val="•"/>
      <w:lvlJc w:val="left"/>
      <w:pPr>
        <w:ind w:left="4640" w:hanging="210"/>
      </w:pPr>
      <w:rPr>
        <w:rFonts w:hint="default"/>
      </w:rPr>
    </w:lvl>
    <w:lvl w:ilvl="7">
      <w:start w:val="0"/>
      <w:numFmt w:val="bullet"/>
      <w:lvlText w:val="•"/>
      <w:lvlJc w:val="left"/>
      <w:pPr>
        <w:ind w:left="5360" w:hanging="210"/>
      </w:pPr>
      <w:rPr>
        <w:rFonts w:hint="default"/>
      </w:rPr>
    </w:lvl>
    <w:lvl w:ilvl="8">
      <w:start w:val="0"/>
      <w:numFmt w:val="bullet"/>
      <w:lvlText w:val="•"/>
      <w:lvlJc w:val="left"/>
      <w:pPr>
        <w:ind w:left="6080" w:hanging="210"/>
      </w:pPr>
      <w:rPr>
        <w:rFonts w:hint="default"/>
      </w:rPr>
    </w:lvl>
  </w:abstractNum>
  <w:abstractNum w:abstractNumId="26">
    <w:multiLevelType w:val="hybridMultilevel"/>
    <w:lvl w:ilvl="0">
      <w:start w:val="0"/>
      <w:numFmt w:val="bullet"/>
      <w:lvlText w:val=""/>
      <w:lvlJc w:val="left"/>
      <w:pPr>
        <w:ind w:left="1120" w:hanging="360"/>
      </w:pPr>
      <w:rPr>
        <w:rFonts w:hint="default" w:ascii="Symbol" w:hAnsi="Symbol" w:eastAsia="Symbol" w:cs="Symbol"/>
        <w:w w:val="100"/>
        <w:sz w:val="24"/>
        <w:szCs w:val="24"/>
      </w:rPr>
    </w:lvl>
    <w:lvl w:ilvl="1">
      <w:start w:val="0"/>
      <w:numFmt w:val="bullet"/>
      <w:lvlText w:val="•"/>
      <w:lvlJc w:val="left"/>
      <w:pPr>
        <w:ind w:left="204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87" w:hanging="360"/>
      </w:pPr>
      <w:rPr>
        <w:rFonts w:hint="default"/>
      </w:rPr>
    </w:lvl>
    <w:lvl w:ilvl="4">
      <w:start w:val="0"/>
      <w:numFmt w:val="bullet"/>
      <w:lvlText w:val="•"/>
      <w:lvlJc w:val="left"/>
      <w:pPr>
        <w:ind w:left="4810" w:hanging="360"/>
      </w:pPr>
      <w:rPr>
        <w:rFonts w:hint="default"/>
      </w:rPr>
    </w:lvl>
    <w:lvl w:ilvl="5">
      <w:start w:val="0"/>
      <w:numFmt w:val="bullet"/>
      <w:lvlText w:val="•"/>
      <w:lvlJc w:val="left"/>
      <w:pPr>
        <w:ind w:left="5732" w:hanging="360"/>
      </w:pPr>
      <w:rPr>
        <w:rFonts w:hint="default"/>
      </w:rPr>
    </w:lvl>
    <w:lvl w:ilvl="6">
      <w:start w:val="0"/>
      <w:numFmt w:val="bullet"/>
      <w:lvlText w:val="•"/>
      <w:lvlJc w:val="left"/>
      <w:pPr>
        <w:ind w:left="665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00" w:hanging="360"/>
      </w:pPr>
      <w:rPr>
        <w:rFonts w:hint="default"/>
      </w:rPr>
    </w:lvl>
  </w:abstractNum>
  <w:abstractNum w:abstractNumId="25">
    <w:multiLevelType w:val="hybridMultilevel"/>
    <w:lvl w:ilvl="0">
      <w:start w:val="6"/>
      <w:numFmt w:val="decimal"/>
      <w:lvlText w:val="%1."/>
      <w:lvlJc w:val="left"/>
      <w:pPr>
        <w:ind w:left="759" w:hanging="360"/>
        <w:jc w:val="left"/>
      </w:pPr>
      <w:rPr>
        <w:rFonts w:hint="default" w:ascii="Arial" w:hAnsi="Arial" w:eastAsia="Arial" w:cs="Arial"/>
        <w:b/>
        <w:bCs/>
        <w:spacing w:val="-1"/>
        <w:w w:val="100"/>
        <w:sz w:val="24"/>
        <w:szCs w:val="24"/>
      </w:rPr>
    </w:lvl>
    <w:lvl w:ilvl="1">
      <w:start w:val="1"/>
      <w:numFmt w:val="decimal"/>
      <w:lvlText w:val="%2."/>
      <w:lvlJc w:val="left"/>
      <w:pPr>
        <w:ind w:left="1120" w:hanging="360"/>
        <w:jc w:val="left"/>
      </w:pPr>
      <w:rPr>
        <w:rFonts w:hint="default" w:ascii="Arial" w:hAnsi="Arial" w:eastAsia="Arial" w:cs="Arial"/>
        <w:spacing w:val="-1"/>
        <w:w w:val="100"/>
        <w:sz w:val="24"/>
        <w:szCs w:val="24"/>
      </w:rPr>
    </w:lvl>
    <w:lvl w:ilvl="2">
      <w:start w:val="0"/>
      <w:numFmt w:val="bullet"/>
      <w:lvlText w:val="•"/>
      <w:lvlJc w:val="left"/>
      <w:pPr>
        <w:ind w:left="2145" w:hanging="360"/>
      </w:pPr>
      <w:rPr>
        <w:rFonts w:hint="default"/>
      </w:rPr>
    </w:lvl>
    <w:lvl w:ilvl="3">
      <w:start w:val="0"/>
      <w:numFmt w:val="bullet"/>
      <w:lvlText w:val="•"/>
      <w:lvlJc w:val="left"/>
      <w:pPr>
        <w:ind w:left="3170" w:hanging="360"/>
      </w:pPr>
      <w:rPr>
        <w:rFonts w:hint="default"/>
      </w:rPr>
    </w:lvl>
    <w:lvl w:ilvl="4">
      <w:start w:val="0"/>
      <w:numFmt w:val="bullet"/>
      <w:lvlText w:val="•"/>
      <w:lvlJc w:val="left"/>
      <w:pPr>
        <w:ind w:left="4195" w:hanging="360"/>
      </w:pPr>
      <w:rPr>
        <w:rFonts w:hint="default"/>
      </w:rPr>
    </w:lvl>
    <w:lvl w:ilvl="5">
      <w:start w:val="0"/>
      <w:numFmt w:val="bullet"/>
      <w:lvlText w:val="•"/>
      <w:lvlJc w:val="left"/>
      <w:pPr>
        <w:ind w:left="5220" w:hanging="360"/>
      </w:pPr>
      <w:rPr>
        <w:rFonts w:hint="default"/>
      </w:rPr>
    </w:lvl>
    <w:lvl w:ilvl="6">
      <w:start w:val="0"/>
      <w:numFmt w:val="bullet"/>
      <w:lvlText w:val="•"/>
      <w:lvlJc w:val="left"/>
      <w:pPr>
        <w:ind w:left="6245" w:hanging="360"/>
      </w:pPr>
      <w:rPr>
        <w:rFonts w:hint="default"/>
      </w:rPr>
    </w:lvl>
    <w:lvl w:ilvl="7">
      <w:start w:val="0"/>
      <w:numFmt w:val="bullet"/>
      <w:lvlText w:val="•"/>
      <w:lvlJc w:val="left"/>
      <w:pPr>
        <w:ind w:left="7270" w:hanging="360"/>
      </w:pPr>
      <w:rPr>
        <w:rFonts w:hint="default"/>
      </w:rPr>
    </w:lvl>
    <w:lvl w:ilvl="8">
      <w:start w:val="0"/>
      <w:numFmt w:val="bullet"/>
      <w:lvlText w:val="•"/>
      <w:lvlJc w:val="left"/>
      <w:pPr>
        <w:ind w:left="8295" w:hanging="360"/>
      </w:pPr>
      <w:rPr>
        <w:rFonts w:hint="default"/>
      </w:rPr>
    </w:lvl>
  </w:abstractNum>
  <w:abstractNum w:abstractNumId="24">
    <w:multiLevelType w:val="hybridMultilevel"/>
    <w:lvl w:ilvl="0">
      <w:start w:val="1"/>
      <w:numFmt w:val="decimal"/>
      <w:lvlText w:val="%1."/>
      <w:lvlJc w:val="left"/>
      <w:pPr>
        <w:ind w:left="1120" w:hanging="360"/>
        <w:jc w:val="left"/>
      </w:pPr>
      <w:rPr>
        <w:rFonts w:hint="default" w:ascii="Arial" w:hAnsi="Arial" w:eastAsia="Arial" w:cs="Arial"/>
        <w:spacing w:val="-1"/>
        <w:w w:val="100"/>
        <w:sz w:val="24"/>
        <w:szCs w:val="24"/>
      </w:rPr>
    </w:lvl>
    <w:lvl w:ilvl="1">
      <w:start w:val="0"/>
      <w:numFmt w:val="bullet"/>
      <w:lvlText w:val="•"/>
      <w:lvlJc w:val="left"/>
      <w:pPr>
        <w:ind w:left="204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87" w:hanging="360"/>
      </w:pPr>
      <w:rPr>
        <w:rFonts w:hint="default"/>
      </w:rPr>
    </w:lvl>
    <w:lvl w:ilvl="4">
      <w:start w:val="0"/>
      <w:numFmt w:val="bullet"/>
      <w:lvlText w:val="•"/>
      <w:lvlJc w:val="left"/>
      <w:pPr>
        <w:ind w:left="4810" w:hanging="360"/>
      </w:pPr>
      <w:rPr>
        <w:rFonts w:hint="default"/>
      </w:rPr>
    </w:lvl>
    <w:lvl w:ilvl="5">
      <w:start w:val="0"/>
      <w:numFmt w:val="bullet"/>
      <w:lvlText w:val="•"/>
      <w:lvlJc w:val="left"/>
      <w:pPr>
        <w:ind w:left="5732" w:hanging="360"/>
      </w:pPr>
      <w:rPr>
        <w:rFonts w:hint="default"/>
      </w:rPr>
    </w:lvl>
    <w:lvl w:ilvl="6">
      <w:start w:val="0"/>
      <w:numFmt w:val="bullet"/>
      <w:lvlText w:val="•"/>
      <w:lvlJc w:val="left"/>
      <w:pPr>
        <w:ind w:left="665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00" w:hanging="360"/>
      </w:pPr>
      <w:rPr>
        <w:rFonts w:hint="default"/>
      </w:rPr>
    </w:lvl>
  </w:abstractNum>
  <w:abstractNum w:abstractNumId="23">
    <w:multiLevelType w:val="hybridMultilevel"/>
    <w:lvl w:ilvl="0">
      <w:start w:val="0"/>
      <w:numFmt w:val="bullet"/>
      <w:lvlText w:val=""/>
      <w:lvlJc w:val="left"/>
      <w:pPr>
        <w:ind w:left="1120" w:hanging="360"/>
      </w:pPr>
      <w:rPr>
        <w:rFonts w:hint="default" w:ascii="Symbol" w:hAnsi="Symbol" w:eastAsia="Symbol" w:cs="Symbol"/>
        <w:w w:val="100"/>
        <w:sz w:val="24"/>
        <w:szCs w:val="24"/>
      </w:rPr>
    </w:lvl>
    <w:lvl w:ilvl="1">
      <w:start w:val="0"/>
      <w:numFmt w:val="bullet"/>
      <w:lvlText w:val="•"/>
      <w:lvlJc w:val="left"/>
      <w:pPr>
        <w:ind w:left="204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87" w:hanging="360"/>
      </w:pPr>
      <w:rPr>
        <w:rFonts w:hint="default"/>
      </w:rPr>
    </w:lvl>
    <w:lvl w:ilvl="4">
      <w:start w:val="0"/>
      <w:numFmt w:val="bullet"/>
      <w:lvlText w:val="•"/>
      <w:lvlJc w:val="left"/>
      <w:pPr>
        <w:ind w:left="4810" w:hanging="360"/>
      </w:pPr>
      <w:rPr>
        <w:rFonts w:hint="default"/>
      </w:rPr>
    </w:lvl>
    <w:lvl w:ilvl="5">
      <w:start w:val="0"/>
      <w:numFmt w:val="bullet"/>
      <w:lvlText w:val="•"/>
      <w:lvlJc w:val="left"/>
      <w:pPr>
        <w:ind w:left="5732" w:hanging="360"/>
      </w:pPr>
      <w:rPr>
        <w:rFonts w:hint="default"/>
      </w:rPr>
    </w:lvl>
    <w:lvl w:ilvl="6">
      <w:start w:val="0"/>
      <w:numFmt w:val="bullet"/>
      <w:lvlText w:val="•"/>
      <w:lvlJc w:val="left"/>
      <w:pPr>
        <w:ind w:left="665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00" w:hanging="360"/>
      </w:pPr>
      <w:rPr>
        <w:rFonts w:hint="default"/>
      </w:rPr>
    </w:lvl>
  </w:abstractNum>
  <w:abstractNum w:abstractNumId="22">
    <w:multiLevelType w:val="hybridMultilevel"/>
    <w:lvl w:ilvl="0">
      <w:start w:val="1"/>
      <w:numFmt w:val="decimal"/>
      <w:lvlText w:val="%1."/>
      <w:lvlJc w:val="left"/>
      <w:pPr>
        <w:ind w:left="1120" w:hanging="360"/>
        <w:jc w:val="left"/>
      </w:pPr>
      <w:rPr>
        <w:rFonts w:hint="default" w:ascii="Arial" w:hAnsi="Arial" w:eastAsia="Arial" w:cs="Arial"/>
        <w:spacing w:val="-1"/>
        <w:w w:val="100"/>
        <w:sz w:val="24"/>
        <w:szCs w:val="24"/>
      </w:rPr>
    </w:lvl>
    <w:lvl w:ilvl="1">
      <w:start w:val="0"/>
      <w:numFmt w:val="bullet"/>
      <w:lvlText w:val="•"/>
      <w:lvlJc w:val="left"/>
      <w:pPr>
        <w:ind w:left="204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87" w:hanging="360"/>
      </w:pPr>
      <w:rPr>
        <w:rFonts w:hint="default"/>
      </w:rPr>
    </w:lvl>
    <w:lvl w:ilvl="4">
      <w:start w:val="0"/>
      <w:numFmt w:val="bullet"/>
      <w:lvlText w:val="•"/>
      <w:lvlJc w:val="left"/>
      <w:pPr>
        <w:ind w:left="4810" w:hanging="360"/>
      </w:pPr>
      <w:rPr>
        <w:rFonts w:hint="default"/>
      </w:rPr>
    </w:lvl>
    <w:lvl w:ilvl="5">
      <w:start w:val="0"/>
      <w:numFmt w:val="bullet"/>
      <w:lvlText w:val="•"/>
      <w:lvlJc w:val="left"/>
      <w:pPr>
        <w:ind w:left="5732" w:hanging="360"/>
      </w:pPr>
      <w:rPr>
        <w:rFonts w:hint="default"/>
      </w:rPr>
    </w:lvl>
    <w:lvl w:ilvl="6">
      <w:start w:val="0"/>
      <w:numFmt w:val="bullet"/>
      <w:lvlText w:val="•"/>
      <w:lvlJc w:val="left"/>
      <w:pPr>
        <w:ind w:left="665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00" w:hanging="360"/>
      </w:pPr>
      <w:rPr>
        <w:rFonts w:hint="default"/>
      </w:rPr>
    </w:lvl>
  </w:abstractNum>
  <w:abstractNum w:abstractNumId="21">
    <w:multiLevelType w:val="hybridMultilevel"/>
    <w:lvl w:ilvl="0">
      <w:start w:val="1"/>
      <w:numFmt w:val="decimal"/>
      <w:lvlText w:val="%1."/>
      <w:lvlJc w:val="left"/>
      <w:pPr>
        <w:ind w:left="759" w:hanging="360"/>
        <w:jc w:val="left"/>
      </w:pPr>
      <w:rPr>
        <w:rFonts w:hint="default" w:ascii="Arial" w:hAnsi="Arial" w:eastAsia="Arial" w:cs="Arial"/>
        <w:b/>
        <w:bCs/>
        <w:spacing w:val="-1"/>
        <w:w w:val="100"/>
        <w:sz w:val="24"/>
        <w:szCs w:val="24"/>
      </w:rPr>
    </w:lvl>
    <w:lvl w:ilvl="1">
      <w:start w:val="1"/>
      <w:numFmt w:val="decimal"/>
      <w:lvlText w:val="%1.%2."/>
      <w:lvlJc w:val="left"/>
      <w:pPr>
        <w:ind w:left="1079" w:hanging="680"/>
        <w:jc w:val="left"/>
      </w:pPr>
      <w:rPr>
        <w:rFonts w:hint="default" w:ascii="Arial" w:hAnsi="Arial" w:eastAsia="Arial" w:cs="Arial"/>
        <w:b/>
        <w:bCs/>
        <w:spacing w:val="-1"/>
        <w:w w:val="100"/>
        <w:sz w:val="24"/>
        <w:szCs w:val="24"/>
      </w:rPr>
    </w:lvl>
    <w:lvl w:ilvl="2">
      <w:start w:val="0"/>
      <w:numFmt w:val="bullet"/>
      <w:lvlText w:val="•"/>
      <w:lvlJc w:val="left"/>
      <w:pPr>
        <w:ind w:left="2109" w:hanging="680"/>
      </w:pPr>
      <w:rPr>
        <w:rFonts w:hint="default"/>
      </w:rPr>
    </w:lvl>
    <w:lvl w:ilvl="3">
      <w:start w:val="0"/>
      <w:numFmt w:val="bullet"/>
      <w:lvlText w:val="•"/>
      <w:lvlJc w:val="left"/>
      <w:pPr>
        <w:ind w:left="3139" w:hanging="680"/>
      </w:pPr>
      <w:rPr>
        <w:rFonts w:hint="default"/>
      </w:rPr>
    </w:lvl>
    <w:lvl w:ilvl="4">
      <w:start w:val="0"/>
      <w:numFmt w:val="bullet"/>
      <w:lvlText w:val="•"/>
      <w:lvlJc w:val="left"/>
      <w:pPr>
        <w:ind w:left="4168" w:hanging="680"/>
      </w:pPr>
      <w:rPr>
        <w:rFonts w:hint="default"/>
      </w:rPr>
    </w:lvl>
    <w:lvl w:ilvl="5">
      <w:start w:val="0"/>
      <w:numFmt w:val="bullet"/>
      <w:lvlText w:val="•"/>
      <w:lvlJc w:val="left"/>
      <w:pPr>
        <w:ind w:left="5198" w:hanging="680"/>
      </w:pPr>
      <w:rPr>
        <w:rFonts w:hint="default"/>
      </w:rPr>
    </w:lvl>
    <w:lvl w:ilvl="6">
      <w:start w:val="0"/>
      <w:numFmt w:val="bullet"/>
      <w:lvlText w:val="•"/>
      <w:lvlJc w:val="left"/>
      <w:pPr>
        <w:ind w:left="6227" w:hanging="680"/>
      </w:pPr>
      <w:rPr>
        <w:rFonts w:hint="default"/>
      </w:rPr>
    </w:lvl>
    <w:lvl w:ilvl="7">
      <w:start w:val="0"/>
      <w:numFmt w:val="bullet"/>
      <w:lvlText w:val="•"/>
      <w:lvlJc w:val="left"/>
      <w:pPr>
        <w:ind w:left="7257" w:hanging="680"/>
      </w:pPr>
      <w:rPr>
        <w:rFonts w:hint="default"/>
      </w:rPr>
    </w:lvl>
    <w:lvl w:ilvl="8">
      <w:start w:val="0"/>
      <w:numFmt w:val="bullet"/>
      <w:lvlText w:val="•"/>
      <w:lvlJc w:val="left"/>
      <w:pPr>
        <w:ind w:left="8286" w:hanging="680"/>
      </w:pPr>
      <w:rPr>
        <w:rFonts w:hint="default"/>
      </w:rPr>
    </w:lvl>
  </w:abstractNum>
  <w:abstractNum w:abstractNumId="20">
    <w:multiLevelType w:val="hybridMultilevel"/>
    <w:lvl w:ilvl="0">
      <w:start w:val="1"/>
      <w:numFmt w:val="decimal"/>
      <w:lvlText w:val="%1."/>
      <w:lvlJc w:val="left"/>
      <w:pPr>
        <w:ind w:left="882" w:hanging="483"/>
        <w:jc w:val="left"/>
      </w:pPr>
      <w:rPr>
        <w:rFonts w:hint="default" w:ascii="Arial" w:hAnsi="Arial" w:eastAsia="Arial" w:cs="Arial"/>
        <w:b/>
        <w:bCs/>
        <w:spacing w:val="-1"/>
        <w:w w:val="100"/>
        <w:sz w:val="24"/>
        <w:szCs w:val="24"/>
      </w:rPr>
    </w:lvl>
    <w:lvl w:ilvl="1">
      <w:start w:val="1"/>
      <w:numFmt w:val="decimal"/>
      <w:lvlText w:val="%1.%2."/>
      <w:lvlJc w:val="left"/>
      <w:pPr>
        <w:ind w:left="1357" w:hanging="504"/>
        <w:jc w:val="left"/>
      </w:pPr>
      <w:rPr>
        <w:rFonts w:hint="default" w:ascii="Arial" w:hAnsi="Arial" w:eastAsia="Arial" w:cs="Arial"/>
        <w:b/>
        <w:bCs/>
        <w:spacing w:val="-1"/>
        <w:w w:val="100"/>
        <w:sz w:val="24"/>
        <w:szCs w:val="24"/>
      </w:rPr>
    </w:lvl>
    <w:lvl w:ilvl="2">
      <w:start w:val="0"/>
      <w:numFmt w:val="bullet"/>
      <w:lvlText w:val="•"/>
      <w:lvlJc w:val="left"/>
      <w:pPr>
        <w:ind w:left="2358" w:hanging="504"/>
      </w:pPr>
      <w:rPr>
        <w:rFonts w:hint="default"/>
      </w:rPr>
    </w:lvl>
    <w:lvl w:ilvl="3">
      <w:start w:val="0"/>
      <w:numFmt w:val="bullet"/>
      <w:lvlText w:val="•"/>
      <w:lvlJc w:val="left"/>
      <w:pPr>
        <w:ind w:left="3356" w:hanging="504"/>
      </w:pPr>
      <w:rPr>
        <w:rFonts w:hint="default"/>
      </w:rPr>
    </w:lvl>
    <w:lvl w:ilvl="4">
      <w:start w:val="0"/>
      <w:numFmt w:val="bullet"/>
      <w:lvlText w:val="•"/>
      <w:lvlJc w:val="left"/>
      <w:pPr>
        <w:ind w:left="4355" w:hanging="504"/>
      </w:pPr>
      <w:rPr>
        <w:rFonts w:hint="default"/>
      </w:rPr>
    </w:lvl>
    <w:lvl w:ilvl="5">
      <w:start w:val="0"/>
      <w:numFmt w:val="bullet"/>
      <w:lvlText w:val="•"/>
      <w:lvlJc w:val="left"/>
      <w:pPr>
        <w:ind w:left="5353" w:hanging="504"/>
      </w:pPr>
      <w:rPr>
        <w:rFonts w:hint="default"/>
      </w:rPr>
    </w:lvl>
    <w:lvl w:ilvl="6">
      <w:start w:val="0"/>
      <w:numFmt w:val="bullet"/>
      <w:lvlText w:val="•"/>
      <w:lvlJc w:val="left"/>
      <w:pPr>
        <w:ind w:left="6351" w:hanging="504"/>
      </w:pPr>
      <w:rPr>
        <w:rFonts w:hint="default"/>
      </w:rPr>
    </w:lvl>
    <w:lvl w:ilvl="7">
      <w:start w:val="0"/>
      <w:numFmt w:val="bullet"/>
      <w:lvlText w:val="•"/>
      <w:lvlJc w:val="left"/>
      <w:pPr>
        <w:ind w:left="7350" w:hanging="504"/>
      </w:pPr>
      <w:rPr>
        <w:rFonts w:hint="default"/>
      </w:rPr>
    </w:lvl>
    <w:lvl w:ilvl="8">
      <w:start w:val="0"/>
      <w:numFmt w:val="bullet"/>
      <w:lvlText w:val="•"/>
      <w:lvlJc w:val="left"/>
      <w:pPr>
        <w:ind w:left="8348" w:hanging="504"/>
      </w:pPr>
      <w:rPr>
        <w:rFonts w:hint="default"/>
      </w:rPr>
    </w:lvl>
  </w:abstractNum>
  <w:abstractNum w:abstractNumId="19">
    <w:multiLevelType w:val="hybridMultilevel"/>
    <w:lvl w:ilvl="0">
      <w:start w:val="0"/>
      <w:numFmt w:val="bullet"/>
      <w:lvlText w:val="•"/>
      <w:lvlJc w:val="left"/>
      <w:pPr>
        <w:ind w:left="1404" w:hanging="274"/>
      </w:pPr>
      <w:rPr>
        <w:rFonts w:hint="default"/>
        <w:w w:val="94"/>
      </w:rPr>
    </w:lvl>
    <w:lvl w:ilvl="1">
      <w:start w:val="0"/>
      <w:numFmt w:val="bullet"/>
      <w:lvlText w:val="•"/>
      <w:lvlJc w:val="left"/>
      <w:pPr>
        <w:ind w:left="2351" w:hanging="274"/>
      </w:pPr>
      <w:rPr>
        <w:rFonts w:hint="default"/>
      </w:rPr>
    </w:lvl>
    <w:lvl w:ilvl="2">
      <w:start w:val="0"/>
      <w:numFmt w:val="bullet"/>
      <w:lvlText w:val="•"/>
      <w:lvlJc w:val="left"/>
      <w:pPr>
        <w:ind w:left="3302" w:hanging="274"/>
      </w:pPr>
      <w:rPr>
        <w:rFonts w:hint="default"/>
      </w:rPr>
    </w:lvl>
    <w:lvl w:ilvl="3">
      <w:start w:val="0"/>
      <w:numFmt w:val="bullet"/>
      <w:lvlText w:val="•"/>
      <w:lvlJc w:val="left"/>
      <w:pPr>
        <w:ind w:left="4253" w:hanging="274"/>
      </w:pPr>
      <w:rPr>
        <w:rFonts w:hint="default"/>
      </w:rPr>
    </w:lvl>
    <w:lvl w:ilvl="4">
      <w:start w:val="0"/>
      <w:numFmt w:val="bullet"/>
      <w:lvlText w:val="•"/>
      <w:lvlJc w:val="left"/>
      <w:pPr>
        <w:ind w:left="5205" w:hanging="274"/>
      </w:pPr>
      <w:rPr>
        <w:rFonts w:hint="default"/>
      </w:rPr>
    </w:lvl>
    <w:lvl w:ilvl="5">
      <w:start w:val="0"/>
      <w:numFmt w:val="bullet"/>
      <w:lvlText w:val="•"/>
      <w:lvlJc w:val="left"/>
      <w:pPr>
        <w:ind w:left="6156" w:hanging="274"/>
      </w:pPr>
      <w:rPr>
        <w:rFonts w:hint="default"/>
      </w:rPr>
    </w:lvl>
    <w:lvl w:ilvl="6">
      <w:start w:val="0"/>
      <w:numFmt w:val="bullet"/>
      <w:lvlText w:val="•"/>
      <w:lvlJc w:val="left"/>
      <w:pPr>
        <w:ind w:left="7107" w:hanging="274"/>
      </w:pPr>
      <w:rPr>
        <w:rFonts w:hint="default"/>
      </w:rPr>
    </w:lvl>
    <w:lvl w:ilvl="7">
      <w:start w:val="0"/>
      <w:numFmt w:val="bullet"/>
      <w:lvlText w:val="•"/>
      <w:lvlJc w:val="left"/>
      <w:pPr>
        <w:ind w:left="8058" w:hanging="274"/>
      </w:pPr>
      <w:rPr>
        <w:rFonts w:hint="default"/>
      </w:rPr>
    </w:lvl>
    <w:lvl w:ilvl="8">
      <w:start w:val="0"/>
      <w:numFmt w:val="bullet"/>
      <w:lvlText w:val="•"/>
      <w:lvlJc w:val="left"/>
      <w:pPr>
        <w:ind w:left="9010" w:hanging="274"/>
      </w:pPr>
      <w:rPr>
        <w:rFonts w:hint="default"/>
      </w:rPr>
    </w:lvl>
  </w:abstractNum>
  <w:abstractNum w:abstractNumId="18">
    <w:multiLevelType w:val="hybridMultilevel"/>
    <w:lvl w:ilvl="0">
      <w:start w:val="1"/>
      <w:numFmt w:val="decimal"/>
      <w:lvlText w:val="%1."/>
      <w:lvlJc w:val="left"/>
      <w:pPr>
        <w:ind w:left="1397" w:hanging="423"/>
        <w:jc w:val="left"/>
      </w:pPr>
      <w:rPr>
        <w:rFonts w:hint="default" w:ascii="Arial" w:hAnsi="Arial" w:eastAsia="Arial" w:cs="Arial"/>
        <w:spacing w:val="-1"/>
        <w:w w:val="89"/>
        <w:sz w:val="23"/>
        <w:szCs w:val="23"/>
      </w:rPr>
    </w:lvl>
    <w:lvl w:ilvl="1">
      <w:start w:val="0"/>
      <w:numFmt w:val="bullet"/>
      <w:lvlText w:val="•"/>
      <w:lvlJc w:val="left"/>
      <w:pPr>
        <w:ind w:left="2351" w:hanging="423"/>
      </w:pPr>
      <w:rPr>
        <w:rFonts w:hint="default"/>
      </w:rPr>
    </w:lvl>
    <w:lvl w:ilvl="2">
      <w:start w:val="0"/>
      <w:numFmt w:val="bullet"/>
      <w:lvlText w:val="•"/>
      <w:lvlJc w:val="left"/>
      <w:pPr>
        <w:ind w:left="3302" w:hanging="423"/>
      </w:pPr>
      <w:rPr>
        <w:rFonts w:hint="default"/>
      </w:rPr>
    </w:lvl>
    <w:lvl w:ilvl="3">
      <w:start w:val="0"/>
      <w:numFmt w:val="bullet"/>
      <w:lvlText w:val="•"/>
      <w:lvlJc w:val="left"/>
      <w:pPr>
        <w:ind w:left="4253" w:hanging="423"/>
      </w:pPr>
      <w:rPr>
        <w:rFonts w:hint="default"/>
      </w:rPr>
    </w:lvl>
    <w:lvl w:ilvl="4">
      <w:start w:val="0"/>
      <w:numFmt w:val="bullet"/>
      <w:lvlText w:val="•"/>
      <w:lvlJc w:val="left"/>
      <w:pPr>
        <w:ind w:left="5205" w:hanging="423"/>
      </w:pPr>
      <w:rPr>
        <w:rFonts w:hint="default"/>
      </w:rPr>
    </w:lvl>
    <w:lvl w:ilvl="5">
      <w:start w:val="0"/>
      <w:numFmt w:val="bullet"/>
      <w:lvlText w:val="•"/>
      <w:lvlJc w:val="left"/>
      <w:pPr>
        <w:ind w:left="6156" w:hanging="423"/>
      </w:pPr>
      <w:rPr>
        <w:rFonts w:hint="default"/>
      </w:rPr>
    </w:lvl>
    <w:lvl w:ilvl="6">
      <w:start w:val="0"/>
      <w:numFmt w:val="bullet"/>
      <w:lvlText w:val="•"/>
      <w:lvlJc w:val="left"/>
      <w:pPr>
        <w:ind w:left="7107" w:hanging="423"/>
      </w:pPr>
      <w:rPr>
        <w:rFonts w:hint="default"/>
      </w:rPr>
    </w:lvl>
    <w:lvl w:ilvl="7">
      <w:start w:val="0"/>
      <w:numFmt w:val="bullet"/>
      <w:lvlText w:val="•"/>
      <w:lvlJc w:val="left"/>
      <w:pPr>
        <w:ind w:left="8058" w:hanging="423"/>
      </w:pPr>
      <w:rPr>
        <w:rFonts w:hint="default"/>
      </w:rPr>
    </w:lvl>
    <w:lvl w:ilvl="8">
      <w:start w:val="0"/>
      <w:numFmt w:val="bullet"/>
      <w:lvlText w:val="•"/>
      <w:lvlJc w:val="left"/>
      <w:pPr>
        <w:ind w:left="9010" w:hanging="423"/>
      </w:pPr>
      <w:rPr>
        <w:rFonts w:hint="default"/>
      </w:rPr>
    </w:lvl>
  </w:abstractNum>
  <w:abstractNum w:abstractNumId="17">
    <w:multiLevelType w:val="hybridMultilevel"/>
    <w:lvl w:ilvl="0">
      <w:start w:val="0"/>
      <w:numFmt w:val="bullet"/>
      <w:lvlText w:val="•"/>
      <w:lvlJc w:val="left"/>
      <w:pPr>
        <w:ind w:left="1397" w:hanging="272"/>
      </w:pPr>
      <w:rPr>
        <w:rFonts w:hint="default"/>
        <w:w w:val="93"/>
      </w:rPr>
    </w:lvl>
    <w:lvl w:ilvl="1">
      <w:start w:val="0"/>
      <w:numFmt w:val="bullet"/>
      <w:lvlText w:val="•"/>
      <w:lvlJc w:val="left"/>
      <w:pPr>
        <w:ind w:left="2351" w:hanging="272"/>
      </w:pPr>
      <w:rPr>
        <w:rFonts w:hint="default"/>
      </w:rPr>
    </w:lvl>
    <w:lvl w:ilvl="2">
      <w:start w:val="0"/>
      <w:numFmt w:val="bullet"/>
      <w:lvlText w:val="•"/>
      <w:lvlJc w:val="left"/>
      <w:pPr>
        <w:ind w:left="3302" w:hanging="272"/>
      </w:pPr>
      <w:rPr>
        <w:rFonts w:hint="default"/>
      </w:rPr>
    </w:lvl>
    <w:lvl w:ilvl="3">
      <w:start w:val="0"/>
      <w:numFmt w:val="bullet"/>
      <w:lvlText w:val="•"/>
      <w:lvlJc w:val="left"/>
      <w:pPr>
        <w:ind w:left="4253" w:hanging="272"/>
      </w:pPr>
      <w:rPr>
        <w:rFonts w:hint="default"/>
      </w:rPr>
    </w:lvl>
    <w:lvl w:ilvl="4">
      <w:start w:val="0"/>
      <w:numFmt w:val="bullet"/>
      <w:lvlText w:val="•"/>
      <w:lvlJc w:val="left"/>
      <w:pPr>
        <w:ind w:left="5205" w:hanging="272"/>
      </w:pPr>
      <w:rPr>
        <w:rFonts w:hint="default"/>
      </w:rPr>
    </w:lvl>
    <w:lvl w:ilvl="5">
      <w:start w:val="0"/>
      <w:numFmt w:val="bullet"/>
      <w:lvlText w:val="•"/>
      <w:lvlJc w:val="left"/>
      <w:pPr>
        <w:ind w:left="6156" w:hanging="272"/>
      </w:pPr>
      <w:rPr>
        <w:rFonts w:hint="default"/>
      </w:rPr>
    </w:lvl>
    <w:lvl w:ilvl="6">
      <w:start w:val="0"/>
      <w:numFmt w:val="bullet"/>
      <w:lvlText w:val="•"/>
      <w:lvlJc w:val="left"/>
      <w:pPr>
        <w:ind w:left="7107" w:hanging="272"/>
      </w:pPr>
      <w:rPr>
        <w:rFonts w:hint="default"/>
      </w:rPr>
    </w:lvl>
    <w:lvl w:ilvl="7">
      <w:start w:val="0"/>
      <w:numFmt w:val="bullet"/>
      <w:lvlText w:val="•"/>
      <w:lvlJc w:val="left"/>
      <w:pPr>
        <w:ind w:left="8058" w:hanging="272"/>
      </w:pPr>
      <w:rPr>
        <w:rFonts w:hint="default"/>
      </w:rPr>
    </w:lvl>
    <w:lvl w:ilvl="8">
      <w:start w:val="0"/>
      <w:numFmt w:val="bullet"/>
      <w:lvlText w:val="•"/>
      <w:lvlJc w:val="left"/>
      <w:pPr>
        <w:ind w:left="9010" w:hanging="272"/>
      </w:pPr>
      <w:rPr>
        <w:rFonts w:hint="default"/>
      </w:rPr>
    </w:lvl>
  </w:abstractNum>
  <w:abstractNum w:abstractNumId="16">
    <w:multiLevelType w:val="hybridMultilevel"/>
    <w:lvl w:ilvl="0">
      <w:start w:val="1"/>
      <w:numFmt w:val="decimal"/>
      <w:lvlText w:val="%1."/>
      <w:lvlJc w:val="left"/>
      <w:pPr>
        <w:ind w:left="1263" w:hanging="282"/>
        <w:jc w:val="left"/>
      </w:pPr>
      <w:rPr>
        <w:rFonts w:hint="default"/>
        <w:spacing w:val="-1"/>
        <w:w w:val="89"/>
      </w:rPr>
    </w:lvl>
    <w:lvl w:ilvl="1">
      <w:start w:val="0"/>
      <w:numFmt w:val="bullet"/>
      <w:lvlText w:val="•"/>
      <w:lvlJc w:val="left"/>
      <w:pPr>
        <w:ind w:left="2225" w:hanging="282"/>
      </w:pPr>
      <w:rPr>
        <w:rFonts w:hint="default"/>
      </w:rPr>
    </w:lvl>
    <w:lvl w:ilvl="2">
      <w:start w:val="0"/>
      <w:numFmt w:val="bullet"/>
      <w:lvlText w:val="•"/>
      <w:lvlJc w:val="left"/>
      <w:pPr>
        <w:ind w:left="3190" w:hanging="282"/>
      </w:pPr>
      <w:rPr>
        <w:rFonts w:hint="default"/>
      </w:rPr>
    </w:lvl>
    <w:lvl w:ilvl="3">
      <w:start w:val="0"/>
      <w:numFmt w:val="bullet"/>
      <w:lvlText w:val="•"/>
      <w:lvlJc w:val="left"/>
      <w:pPr>
        <w:ind w:left="4155" w:hanging="282"/>
      </w:pPr>
      <w:rPr>
        <w:rFonts w:hint="default"/>
      </w:rPr>
    </w:lvl>
    <w:lvl w:ilvl="4">
      <w:start w:val="0"/>
      <w:numFmt w:val="bullet"/>
      <w:lvlText w:val="•"/>
      <w:lvlJc w:val="left"/>
      <w:pPr>
        <w:ind w:left="5121" w:hanging="282"/>
      </w:pPr>
      <w:rPr>
        <w:rFonts w:hint="default"/>
      </w:rPr>
    </w:lvl>
    <w:lvl w:ilvl="5">
      <w:start w:val="0"/>
      <w:numFmt w:val="bullet"/>
      <w:lvlText w:val="•"/>
      <w:lvlJc w:val="left"/>
      <w:pPr>
        <w:ind w:left="6086" w:hanging="282"/>
      </w:pPr>
      <w:rPr>
        <w:rFonts w:hint="default"/>
      </w:rPr>
    </w:lvl>
    <w:lvl w:ilvl="6">
      <w:start w:val="0"/>
      <w:numFmt w:val="bullet"/>
      <w:lvlText w:val="•"/>
      <w:lvlJc w:val="left"/>
      <w:pPr>
        <w:ind w:left="7051" w:hanging="282"/>
      </w:pPr>
      <w:rPr>
        <w:rFonts w:hint="default"/>
      </w:rPr>
    </w:lvl>
    <w:lvl w:ilvl="7">
      <w:start w:val="0"/>
      <w:numFmt w:val="bullet"/>
      <w:lvlText w:val="•"/>
      <w:lvlJc w:val="left"/>
      <w:pPr>
        <w:ind w:left="8016" w:hanging="282"/>
      </w:pPr>
      <w:rPr>
        <w:rFonts w:hint="default"/>
      </w:rPr>
    </w:lvl>
    <w:lvl w:ilvl="8">
      <w:start w:val="0"/>
      <w:numFmt w:val="bullet"/>
      <w:lvlText w:val="•"/>
      <w:lvlJc w:val="left"/>
      <w:pPr>
        <w:ind w:left="8982" w:hanging="282"/>
      </w:pPr>
      <w:rPr>
        <w:rFonts w:hint="default"/>
      </w:rPr>
    </w:lvl>
  </w:abstractNum>
  <w:abstractNum w:abstractNumId="15">
    <w:multiLevelType w:val="hybridMultilevel"/>
    <w:lvl w:ilvl="0">
      <w:start w:val="1"/>
      <w:numFmt w:val="decimal"/>
      <w:lvlText w:val="%1."/>
      <w:lvlJc w:val="left"/>
      <w:pPr>
        <w:ind w:left="1270" w:hanging="286"/>
        <w:jc w:val="left"/>
      </w:pPr>
      <w:rPr>
        <w:rFonts w:hint="default"/>
        <w:spacing w:val="-1"/>
        <w:w w:val="89"/>
      </w:rPr>
    </w:lvl>
    <w:lvl w:ilvl="1">
      <w:start w:val="0"/>
      <w:numFmt w:val="bullet"/>
      <w:lvlText w:val="•"/>
      <w:lvlJc w:val="left"/>
      <w:pPr>
        <w:ind w:left="2243" w:hanging="286"/>
      </w:pPr>
      <w:rPr>
        <w:rFonts w:hint="default"/>
      </w:rPr>
    </w:lvl>
    <w:lvl w:ilvl="2">
      <w:start w:val="0"/>
      <w:numFmt w:val="bullet"/>
      <w:lvlText w:val="•"/>
      <w:lvlJc w:val="left"/>
      <w:pPr>
        <w:ind w:left="3206" w:hanging="286"/>
      </w:pPr>
      <w:rPr>
        <w:rFonts w:hint="default"/>
      </w:rPr>
    </w:lvl>
    <w:lvl w:ilvl="3">
      <w:start w:val="0"/>
      <w:numFmt w:val="bullet"/>
      <w:lvlText w:val="•"/>
      <w:lvlJc w:val="left"/>
      <w:pPr>
        <w:ind w:left="4169" w:hanging="286"/>
      </w:pPr>
      <w:rPr>
        <w:rFonts w:hint="default"/>
      </w:rPr>
    </w:lvl>
    <w:lvl w:ilvl="4">
      <w:start w:val="0"/>
      <w:numFmt w:val="bullet"/>
      <w:lvlText w:val="•"/>
      <w:lvlJc w:val="left"/>
      <w:pPr>
        <w:ind w:left="5133" w:hanging="286"/>
      </w:pPr>
      <w:rPr>
        <w:rFonts w:hint="default"/>
      </w:rPr>
    </w:lvl>
    <w:lvl w:ilvl="5">
      <w:start w:val="0"/>
      <w:numFmt w:val="bullet"/>
      <w:lvlText w:val="•"/>
      <w:lvlJc w:val="left"/>
      <w:pPr>
        <w:ind w:left="6096" w:hanging="286"/>
      </w:pPr>
      <w:rPr>
        <w:rFonts w:hint="default"/>
      </w:rPr>
    </w:lvl>
    <w:lvl w:ilvl="6">
      <w:start w:val="0"/>
      <w:numFmt w:val="bullet"/>
      <w:lvlText w:val="•"/>
      <w:lvlJc w:val="left"/>
      <w:pPr>
        <w:ind w:left="7059" w:hanging="286"/>
      </w:pPr>
      <w:rPr>
        <w:rFonts w:hint="default"/>
      </w:rPr>
    </w:lvl>
    <w:lvl w:ilvl="7">
      <w:start w:val="0"/>
      <w:numFmt w:val="bullet"/>
      <w:lvlText w:val="•"/>
      <w:lvlJc w:val="left"/>
      <w:pPr>
        <w:ind w:left="8022" w:hanging="286"/>
      </w:pPr>
      <w:rPr>
        <w:rFonts w:hint="default"/>
      </w:rPr>
    </w:lvl>
    <w:lvl w:ilvl="8">
      <w:start w:val="0"/>
      <w:numFmt w:val="bullet"/>
      <w:lvlText w:val="•"/>
      <w:lvlJc w:val="left"/>
      <w:pPr>
        <w:ind w:left="8986" w:hanging="286"/>
      </w:pPr>
      <w:rPr>
        <w:rFonts w:hint="default"/>
      </w:rPr>
    </w:lvl>
  </w:abstractNum>
  <w:abstractNum w:abstractNumId="14">
    <w:multiLevelType w:val="hybridMultilevel"/>
    <w:lvl w:ilvl="0">
      <w:start w:val="0"/>
      <w:numFmt w:val="bullet"/>
      <w:lvlText w:val="•"/>
      <w:lvlJc w:val="left"/>
      <w:pPr>
        <w:ind w:left="1404" w:hanging="273"/>
      </w:pPr>
      <w:rPr>
        <w:rFonts w:hint="default"/>
        <w:w w:val="93"/>
      </w:rPr>
    </w:lvl>
    <w:lvl w:ilvl="1">
      <w:start w:val="0"/>
      <w:numFmt w:val="bullet"/>
      <w:lvlText w:val="•"/>
      <w:lvlJc w:val="left"/>
      <w:pPr>
        <w:ind w:left="2351" w:hanging="273"/>
      </w:pPr>
      <w:rPr>
        <w:rFonts w:hint="default"/>
      </w:rPr>
    </w:lvl>
    <w:lvl w:ilvl="2">
      <w:start w:val="0"/>
      <w:numFmt w:val="bullet"/>
      <w:lvlText w:val="•"/>
      <w:lvlJc w:val="left"/>
      <w:pPr>
        <w:ind w:left="3302" w:hanging="273"/>
      </w:pPr>
      <w:rPr>
        <w:rFonts w:hint="default"/>
      </w:rPr>
    </w:lvl>
    <w:lvl w:ilvl="3">
      <w:start w:val="0"/>
      <w:numFmt w:val="bullet"/>
      <w:lvlText w:val="•"/>
      <w:lvlJc w:val="left"/>
      <w:pPr>
        <w:ind w:left="4253" w:hanging="273"/>
      </w:pPr>
      <w:rPr>
        <w:rFonts w:hint="default"/>
      </w:rPr>
    </w:lvl>
    <w:lvl w:ilvl="4">
      <w:start w:val="0"/>
      <w:numFmt w:val="bullet"/>
      <w:lvlText w:val="•"/>
      <w:lvlJc w:val="left"/>
      <w:pPr>
        <w:ind w:left="5205" w:hanging="273"/>
      </w:pPr>
      <w:rPr>
        <w:rFonts w:hint="default"/>
      </w:rPr>
    </w:lvl>
    <w:lvl w:ilvl="5">
      <w:start w:val="0"/>
      <w:numFmt w:val="bullet"/>
      <w:lvlText w:val="•"/>
      <w:lvlJc w:val="left"/>
      <w:pPr>
        <w:ind w:left="6156" w:hanging="273"/>
      </w:pPr>
      <w:rPr>
        <w:rFonts w:hint="default"/>
      </w:rPr>
    </w:lvl>
    <w:lvl w:ilvl="6">
      <w:start w:val="0"/>
      <w:numFmt w:val="bullet"/>
      <w:lvlText w:val="•"/>
      <w:lvlJc w:val="left"/>
      <w:pPr>
        <w:ind w:left="7107" w:hanging="273"/>
      </w:pPr>
      <w:rPr>
        <w:rFonts w:hint="default"/>
      </w:rPr>
    </w:lvl>
    <w:lvl w:ilvl="7">
      <w:start w:val="0"/>
      <w:numFmt w:val="bullet"/>
      <w:lvlText w:val="•"/>
      <w:lvlJc w:val="left"/>
      <w:pPr>
        <w:ind w:left="8058" w:hanging="273"/>
      </w:pPr>
      <w:rPr>
        <w:rFonts w:hint="default"/>
      </w:rPr>
    </w:lvl>
    <w:lvl w:ilvl="8">
      <w:start w:val="0"/>
      <w:numFmt w:val="bullet"/>
      <w:lvlText w:val="•"/>
      <w:lvlJc w:val="left"/>
      <w:pPr>
        <w:ind w:left="9010" w:hanging="273"/>
      </w:pPr>
      <w:rPr>
        <w:rFonts w:hint="default"/>
      </w:rPr>
    </w:lvl>
  </w:abstractNum>
  <w:abstractNum w:abstractNumId="13">
    <w:multiLevelType w:val="hybridMultilevel"/>
    <w:lvl w:ilvl="0">
      <w:start w:val="0"/>
      <w:numFmt w:val="bullet"/>
      <w:lvlText w:val="•"/>
      <w:lvlJc w:val="left"/>
      <w:pPr>
        <w:ind w:left="1405" w:hanging="269"/>
      </w:pPr>
      <w:rPr>
        <w:rFonts w:hint="default"/>
        <w:w w:val="94"/>
      </w:rPr>
    </w:lvl>
    <w:lvl w:ilvl="1">
      <w:start w:val="0"/>
      <w:numFmt w:val="bullet"/>
      <w:lvlText w:val="•"/>
      <w:lvlJc w:val="left"/>
      <w:pPr>
        <w:ind w:left="2351" w:hanging="269"/>
      </w:pPr>
      <w:rPr>
        <w:rFonts w:hint="default"/>
      </w:rPr>
    </w:lvl>
    <w:lvl w:ilvl="2">
      <w:start w:val="0"/>
      <w:numFmt w:val="bullet"/>
      <w:lvlText w:val="•"/>
      <w:lvlJc w:val="left"/>
      <w:pPr>
        <w:ind w:left="3302" w:hanging="269"/>
      </w:pPr>
      <w:rPr>
        <w:rFonts w:hint="default"/>
      </w:rPr>
    </w:lvl>
    <w:lvl w:ilvl="3">
      <w:start w:val="0"/>
      <w:numFmt w:val="bullet"/>
      <w:lvlText w:val="•"/>
      <w:lvlJc w:val="left"/>
      <w:pPr>
        <w:ind w:left="4253" w:hanging="269"/>
      </w:pPr>
      <w:rPr>
        <w:rFonts w:hint="default"/>
      </w:rPr>
    </w:lvl>
    <w:lvl w:ilvl="4">
      <w:start w:val="0"/>
      <w:numFmt w:val="bullet"/>
      <w:lvlText w:val="•"/>
      <w:lvlJc w:val="left"/>
      <w:pPr>
        <w:ind w:left="5205" w:hanging="269"/>
      </w:pPr>
      <w:rPr>
        <w:rFonts w:hint="default"/>
      </w:rPr>
    </w:lvl>
    <w:lvl w:ilvl="5">
      <w:start w:val="0"/>
      <w:numFmt w:val="bullet"/>
      <w:lvlText w:val="•"/>
      <w:lvlJc w:val="left"/>
      <w:pPr>
        <w:ind w:left="6156" w:hanging="269"/>
      </w:pPr>
      <w:rPr>
        <w:rFonts w:hint="default"/>
      </w:rPr>
    </w:lvl>
    <w:lvl w:ilvl="6">
      <w:start w:val="0"/>
      <w:numFmt w:val="bullet"/>
      <w:lvlText w:val="•"/>
      <w:lvlJc w:val="left"/>
      <w:pPr>
        <w:ind w:left="7107" w:hanging="269"/>
      </w:pPr>
      <w:rPr>
        <w:rFonts w:hint="default"/>
      </w:rPr>
    </w:lvl>
    <w:lvl w:ilvl="7">
      <w:start w:val="0"/>
      <w:numFmt w:val="bullet"/>
      <w:lvlText w:val="•"/>
      <w:lvlJc w:val="left"/>
      <w:pPr>
        <w:ind w:left="8058" w:hanging="269"/>
      </w:pPr>
      <w:rPr>
        <w:rFonts w:hint="default"/>
      </w:rPr>
    </w:lvl>
    <w:lvl w:ilvl="8">
      <w:start w:val="0"/>
      <w:numFmt w:val="bullet"/>
      <w:lvlText w:val="•"/>
      <w:lvlJc w:val="left"/>
      <w:pPr>
        <w:ind w:left="9010" w:hanging="269"/>
      </w:pPr>
      <w:rPr>
        <w:rFonts w:hint="default"/>
      </w:rPr>
    </w:lvl>
  </w:abstractNum>
  <w:abstractNum w:abstractNumId="12">
    <w:multiLevelType w:val="hybridMultilevel"/>
    <w:lvl w:ilvl="0">
      <w:start w:val="4"/>
      <w:numFmt w:val="decimal"/>
      <w:lvlText w:val="%1"/>
      <w:lvlJc w:val="left"/>
      <w:pPr>
        <w:ind w:left="977" w:hanging="855"/>
        <w:jc w:val="left"/>
      </w:pPr>
      <w:rPr>
        <w:rFonts w:hint="default"/>
      </w:rPr>
    </w:lvl>
    <w:lvl w:ilvl="1">
      <w:start w:val="4"/>
      <w:numFmt w:val="decimal"/>
      <w:lvlText w:val="%1.%2"/>
      <w:lvlJc w:val="left"/>
      <w:pPr>
        <w:ind w:left="977" w:hanging="855"/>
        <w:jc w:val="left"/>
      </w:pPr>
      <w:rPr>
        <w:rFonts w:hint="default"/>
      </w:rPr>
    </w:lvl>
    <w:lvl w:ilvl="2">
      <w:start w:val="1"/>
      <w:numFmt w:val="decimal"/>
      <w:lvlText w:val="%1.%2.%3"/>
      <w:lvlJc w:val="left"/>
      <w:pPr>
        <w:ind w:left="978" w:hanging="856"/>
        <w:jc w:val="left"/>
      </w:pPr>
      <w:rPr>
        <w:rFonts w:hint="default"/>
        <w:spacing w:val="-1"/>
        <w:w w:val="103"/>
      </w:rPr>
    </w:lvl>
    <w:lvl w:ilvl="3">
      <w:start w:val="0"/>
      <w:numFmt w:val="bullet"/>
      <w:lvlText w:val="•"/>
      <w:lvlJc w:val="left"/>
      <w:pPr>
        <w:ind w:left="1405" w:hanging="856"/>
      </w:pPr>
      <w:rPr>
        <w:rFonts w:hint="default"/>
        <w:w w:val="101"/>
      </w:rPr>
    </w:lvl>
    <w:lvl w:ilvl="4">
      <w:start w:val="0"/>
      <w:numFmt w:val="bullet"/>
      <w:lvlText w:val="•"/>
      <w:lvlJc w:val="left"/>
      <w:pPr>
        <w:ind w:left="4570" w:hanging="856"/>
      </w:pPr>
      <w:rPr>
        <w:rFonts w:hint="default"/>
      </w:rPr>
    </w:lvl>
    <w:lvl w:ilvl="5">
      <w:start w:val="0"/>
      <w:numFmt w:val="bullet"/>
      <w:lvlText w:val="•"/>
      <w:lvlJc w:val="left"/>
      <w:pPr>
        <w:ind w:left="5627" w:hanging="856"/>
      </w:pPr>
      <w:rPr>
        <w:rFonts w:hint="default"/>
      </w:rPr>
    </w:lvl>
    <w:lvl w:ilvl="6">
      <w:start w:val="0"/>
      <w:numFmt w:val="bullet"/>
      <w:lvlText w:val="•"/>
      <w:lvlJc w:val="left"/>
      <w:pPr>
        <w:ind w:left="6684" w:hanging="856"/>
      </w:pPr>
      <w:rPr>
        <w:rFonts w:hint="default"/>
      </w:rPr>
    </w:lvl>
    <w:lvl w:ilvl="7">
      <w:start w:val="0"/>
      <w:numFmt w:val="bullet"/>
      <w:lvlText w:val="•"/>
      <w:lvlJc w:val="left"/>
      <w:pPr>
        <w:ind w:left="7741" w:hanging="856"/>
      </w:pPr>
      <w:rPr>
        <w:rFonts w:hint="default"/>
      </w:rPr>
    </w:lvl>
    <w:lvl w:ilvl="8">
      <w:start w:val="0"/>
      <w:numFmt w:val="bullet"/>
      <w:lvlText w:val="•"/>
      <w:lvlJc w:val="left"/>
      <w:pPr>
        <w:ind w:left="8798" w:hanging="856"/>
      </w:pPr>
      <w:rPr>
        <w:rFonts w:hint="default"/>
      </w:rPr>
    </w:lvl>
  </w:abstractNum>
  <w:abstractNum w:abstractNumId="11">
    <w:multiLevelType w:val="hybridMultilevel"/>
    <w:lvl w:ilvl="0">
      <w:start w:val="0"/>
      <w:numFmt w:val="bullet"/>
      <w:lvlText w:val="•"/>
      <w:lvlJc w:val="left"/>
      <w:pPr>
        <w:ind w:left="1405" w:hanging="378"/>
      </w:pPr>
      <w:rPr>
        <w:rFonts w:hint="default"/>
        <w:w w:val="93"/>
      </w:rPr>
    </w:lvl>
    <w:lvl w:ilvl="1">
      <w:start w:val="0"/>
      <w:numFmt w:val="bullet"/>
      <w:lvlText w:val="•"/>
      <w:lvlJc w:val="left"/>
      <w:pPr>
        <w:ind w:left="2357" w:hanging="378"/>
      </w:pPr>
      <w:rPr>
        <w:rFonts w:hint="default"/>
      </w:rPr>
    </w:lvl>
    <w:lvl w:ilvl="2">
      <w:start w:val="0"/>
      <w:numFmt w:val="bullet"/>
      <w:lvlText w:val="•"/>
      <w:lvlJc w:val="left"/>
      <w:pPr>
        <w:ind w:left="3314" w:hanging="378"/>
      </w:pPr>
      <w:rPr>
        <w:rFonts w:hint="default"/>
      </w:rPr>
    </w:lvl>
    <w:lvl w:ilvl="3">
      <w:start w:val="0"/>
      <w:numFmt w:val="bullet"/>
      <w:lvlText w:val="•"/>
      <w:lvlJc w:val="left"/>
      <w:pPr>
        <w:ind w:left="4271" w:hanging="378"/>
      </w:pPr>
      <w:rPr>
        <w:rFonts w:hint="default"/>
      </w:rPr>
    </w:lvl>
    <w:lvl w:ilvl="4">
      <w:start w:val="0"/>
      <w:numFmt w:val="bullet"/>
      <w:lvlText w:val="•"/>
      <w:lvlJc w:val="left"/>
      <w:pPr>
        <w:ind w:left="5229" w:hanging="378"/>
      </w:pPr>
      <w:rPr>
        <w:rFonts w:hint="default"/>
      </w:rPr>
    </w:lvl>
    <w:lvl w:ilvl="5">
      <w:start w:val="0"/>
      <w:numFmt w:val="bullet"/>
      <w:lvlText w:val="•"/>
      <w:lvlJc w:val="left"/>
      <w:pPr>
        <w:ind w:left="6186" w:hanging="378"/>
      </w:pPr>
      <w:rPr>
        <w:rFonts w:hint="default"/>
      </w:rPr>
    </w:lvl>
    <w:lvl w:ilvl="6">
      <w:start w:val="0"/>
      <w:numFmt w:val="bullet"/>
      <w:lvlText w:val="•"/>
      <w:lvlJc w:val="left"/>
      <w:pPr>
        <w:ind w:left="7143" w:hanging="378"/>
      </w:pPr>
      <w:rPr>
        <w:rFonts w:hint="default"/>
      </w:rPr>
    </w:lvl>
    <w:lvl w:ilvl="7">
      <w:start w:val="0"/>
      <w:numFmt w:val="bullet"/>
      <w:lvlText w:val="•"/>
      <w:lvlJc w:val="left"/>
      <w:pPr>
        <w:ind w:left="8100" w:hanging="378"/>
      </w:pPr>
      <w:rPr>
        <w:rFonts w:hint="default"/>
      </w:rPr>
    </w:lvl>
    <w:lvl w:ilvl="8">
      <w:start w:val="0"/>
      <w:numFmt w:val="bullet"/>
      <w:lvlText w:val="•"/>
      <w:lvlJc w:val="left"/>
      <w:pPr>
        <w:ind w:left="9058" w:hanging="378"/>
      </w:pPr>
      <w:rPr>
        <w:rFonts w:hint="default"/>
      </w:rPr>
    </w:lvl>
  </w:abstractNum>
  <w:abstractNum w:abstractNumId="10">
    <w:multiLevelType w:val="hybridMultilevel"/>
    <w:lvl w:ilvl="0">
      <w:start w:val="3"/>
      <w:numFmt w:val="decimal"/>
      <w:lvlText w:val="%1"/>
      <w:lvlJc w:val="left"/>
      <w:pPr>
        <w:ind w:left="1013" w:hanging="850"/>
        <w:jc w:val="left"/>
      </w:pPr>
      <w:rPr>
        <w:rFonts w:hint="default"/>
      </w:rPr>
    </w:lvl>
    <w:lvl w:ilvl="1">
      <w:start w:val="1"/>
      <w:numFmt w:val="decimal"/>
      <w:lvlText w:val="%1.%2"/>
      <w:lvlJc w:val="left"/>
      <w:pPr>
        <w:ind w:left="1013" w:hanging="850"/>
        <w:jc w:val="left"/>
      </w:pPr>
      <w:rPr>
        <w:rFonts w:hint="default" w:ascii="Arial" w:hAnsi="Arial" w:eastAsia="Arial" w:cs="Arial"/>
        <w:spacing w:val="-1"/>
        <w:w w:val="98"/>
        <w:sz w:val="28"/>
        <w:szCs w:val="28"/>
      </w:rPr>
    </w:lvl>
    <w:lvl w:ilvl="2">
      <w:start w:val="0"/>
      <w:numFmt w:val="bullet"/>
      <w:lvlText w:val="•"/>
      <w:lvlJc w:val="left"/>
      <w:pPr>
        <w:ind w:left="1403" w:hanging="272"/>
      </w:pPr>
      <w:rPr>
        <w:rFonts w:hint="default"/>
        <w:w w:val="93"/>
      </w:rPr>
    </w:lvl>
    <w:lvl w:ilvl="3">
      <w:start w:val="0"/>
      <w:numFmt w:val="bullet"/>
      <w:lvlText w:val="•"/>
      <w:lvlJc w:val="left"/>
      <w:pPr>
        <w:ind w:left="1440" w:hanging="272"/>
      </w:pPr>
      <w:rPr>
        <w:rFonts w:hint="default"/>
      </w:rPr>
    </w:lvl>
    <w:lvl w:ilvl="4">
      <w:start w:val="0"/>
      <w:numFmt w:val="bullet"/>
      <w:lvlText w:val="•"/>
      <w:lvlJc w:val="left"/>
      <w:pPr>
        <w:ind w:left="2781" w:hanging="272"/>
      </w:pPr>
      <w:rPr>
        <w:rFonts w:hint="default"/>
      </w:rPr>
    </w:lvl>
    <w:lvl w:ilvl="5">
      <w:start w:val="0"/>
      <w:numFmt w:val="bullet"/>
      <w:lvlText w:val="•"/>
      <w:lvlJc w:val="left"/>
      <w:pPr>
        <w:ind w:left="4123" w:hanging="272"/>
      </w:pPr>
      <w:rPr>
        <w:rFonts w:hint="default"/>
      </w:rPr>
    </w:lvl>
    <w:lvl w:ilvl="6">
      <w:start w:val="0"/>
      <w:numFmt w:val="bullet"/>
      <w:lvlText w:val="•"/>
      <w:lvlJc w:val="left"/>
      <w:pPr>
        <w:ind w:left="5464" w:hanging="272"/>
      </w:pPr>
      <w:rPr>
        <w:rFonts w:hint="default"/>
      </w:rPr>
    </w:lvl>
    <w:lvl w:ilvl="7">
      <w:start w:val="0"/>
      <w:numFmt w:val="bullet"/>
      <w:lvlText w:val="•"/>
      <w:lvlJc w:val="left"/>
      <w:pPr>
        <w:ind w:left="6806" w:hanging="272"/>
      </w:pPr>
      <w:rPr>
        <w:rFonts w:hint="default"/>
      </w:rPr>
    </w:lvl>
    <w:lvl w:ilvl="8">
      <w:start w:val="0"/>
      <w:numFmt w:val="bullet"/>
      <w:lvlText w:val="•"/>
      <w:lvlJc w:val="left"/>
      <w:pPr>
        <w:ind w:left="8148" w:hanging="272"/>
      </w:pPr>
      <w:rPr>
        <w:rFonts w:hint="default"/>
      </w:rPr>
    </w:lvl>
  </w:abstractNum>
  <w:abstractNum w:abstractNumId="9">
    <w:multiLevelType w:val="hybridMultilevel"/>
    <w:lvl w:ilvl="0">
      <w:start w:val="0"/>
      <w:numFmt w:val="bullet"/>
      <w:lvlText w:val="-"/>
      <w:lvlJc w:val="left"/>
      <w:pPr>
        <w:ind w:left="1131" w:hanging="117"/>
      </w:pPr>
      <w:rPr>
        <w:rFonts w:hint="default"/>
        <w:w w:val="104"/>
      </w:rPr>
    </w:lvl>
    <w:lvl w:ilvl="1">
      <w:start w:val="0"/>
      <w:numFmt w:val="bullet"/>
      <w:lvlText w:val="•"/>
      <w:lvlJc w:val="left"/>
      <w:pPr>
        <w:ind w:left="1922" w:hanging="117"/>
      </w:pPr>
      <w:rPr>
        <w:rFonts w:hint="default"/>
      </w:rPr>
    </w:lvl>
    <w:lvl w:ilvl="2">
      <w:start w:val="0"/>
      <w:numFmt w:val="bullet"/>
      <w:lvlText w:val="•"/>
      <w:lvlJc w:val="left"/>
      <w:pPr>
        <w:ind w:left="2705" w:hanging="117"/>
      </w:pPr>
      <w:rPr>
        <w:rFonts w:hint="default"/>
      </w:rPr>
    </w:lvl>
    <w:lvl w:ilvl="3">
      <w:start w:val="0"/>
      <w:numFmt w:val="bullet"/>
      <w:lvlText w:val="•"/>
      <w:lvlJc w:val="left"/>
      <w:pPr>
        <w:ind w:left="3488" w:hanging="117"/>
      </w:pPr>
      <w:rPr>
        <w:rFonts w:hint="default"/>
      </w:rPr>
    </w:lvl>
    <w:lvl w:ilvl="4">
      <w:start w:val="0"/>
      <w:numFmt w:val="bullet"/>
      <w:lvlText w:val="•"/>
      <w:lvlJc w:val="left"/>
      <w:pPr>
        <w:ind w:left="4271" w:hanging="117"/>
      </w:pPr>
      <w:rPr>
        <w:rFonts w:hint="default"/>
      </w:rPr>
    </w:lvl>
    <w:lvl w:ilvl="5">
      <w:start w:val="0"/>
      <w:numFmt w:val="bullet"/>
      <w:lvlText w:val="•"/>
      <w:lvlJc w:val="left"/>
      <w:pPr>
        <w:ind w:left="5054" w:hanging="117"/>
      </w:pPr>
      <w:rPr>
        <w:rFonts w:hint="default"/>
      </w:rPr>
    </w:lvl>
    <w:lvl w:ilvl="6">
      <w:start w:val="0"/>
      <w:numFmt w:val="bullet"/>
      <w:lvlText w:val="•"/>
      <w:lvlJc w:val="left"/>
      <w:pPr>
        <w:ind w:left="5837" w:hanging="117"/>
      </w:pPr>
      <w:rPr>
        <w:rFonts w:hint="default"/>
      </w:rPr>
    </w:lvl>
    <w:lvl w:ilvl="7">
      <w:start w:val="0"/>
      <w:numFmt w:val="bullet"/>
      <w:lvlText w:val="•"/>
      <w:lvlJc w:val="left"/>
      <w:pPr>
        <w:ind w:left="6620" w:hanging="117"/>
      </w:pPr>
      <w:rPr>
        <w:rFonts w:hint="default"/>
      </w:rPr>
    </w:lvl>
    <w:lvl w:ilvl="8">
      <w:start w:val="0"/>
      <w:numFmt w:val="bullet"/>
      <w:lvlText w:val="•"/>
      <w:lvlJc w:val="left"/>
      <w:pPr>
        <w:ind w:left="7403" w:hanging="117"/>
      </w:pPr>
      <w:rPr>
        <w:rFonts w:hint="default"/>
      </w:rPr>
    </w:lvl>
  </w:abstractNum>
  <w:abstractNum w:abstractNumId="8">
    <w:multiLevelType w:val="hybridMultilevel"/>
    <w:lvl w:ilvl="0">
      <w:start w:val="0"/>
      <w:numFmt w:val="bullet"/>
      <w:lvlText w:val="-"/>
      <w:lvlJc w:val="left"/>
      <w:pPr>
        <w:ind w:left="1254" w:hanging="126"/>
      </w:pPr>
      <w:rPr>
        <w:rFonts w:hint="default"/>
        <w:w w:val="104"/>
      </w:rPr>
    </w:lvl>
    <w:lvl w:ilvl="1">
      <w:start w:val="0"/>
      <w:numFmt w:val="bullet"/>
      <w:lvlText w:val="•"/>
      <w:lvlJc w:val="left"/>
      <w:pPr>
        <w:ind w:left="2059" w:hanging="126"/>
      </w:pPr>
      <w:rPr>
        <w:rFonts w:hint="default"/>
      </w:rPr>
    </w:lvl>
    <w:lvl w:ilvl="2">
      <w:start w:val="0"/>
      <w:numFmt w:val="bullet"/>
      <w:lvlText w:val="•"/>
      <w:lvlJc w:val="left"/>
      <w:pPr>
        <w:ind w:left="2859" w:hanging="126"/>
      </w:pPr>
      <w:rPr>
        <w:rFonts w:hint="default"/>
      </w:rPr>
    </w:lvl>
    <w:lvl w:ilvl="3">
      <w:start w:val="0"/>
      <w:numFmt w:val="bullet"/>
      <w:lvlText w:val="•"/>
      <w:lvlJc w:val="left"/>
      <w:pPr>
        <w:ind w:left="3659" w:hanging="126"/>
      </w:pPr>
      <w:rPr>
        <w:rFonts w:hint="default"/>
      </w:rPr>
    </w:lvl>
    <w:lvl w:ilvl="4">
      <w:start w:val="0"/>
      <w:numFmt w:val="bullet"/>
      <w:lvlText w:val="•"/>
      <w:lvlJc w:val="left"/>
      <w:pPr>
        <w:ind w:left="4459" w:hanging="126"/>
      </w:pPr>
      <w:rPr>
        <w:rFonts w:hint="default"/>
      </w:rPr>
    </w:lvl>
    <w:lvl w:ilvl="5">
      <w:start w:val="0"/>
      <w:numFmt w:val="bullet"/>
      <w:lvlText w:val="•"/>
      <w:lvlJc w:val="left"/>
      <w:pPr>
        <w:ind w:left="5259" w:hanging="126"/>
      </w:pPr>
      <w:rPr>
        <w:rFonts w:hint="default"/>
      </w:rPr>
    </w:lvl>
    <w:lvl w:ilvl="6">
      <w:start w:val="0"/>
      <w:numFmt w:val="bullet"/>
      <w:lvlText w:val="•"/>
      <w:lvlJc w:val="left"/>
      <w:pPr>
        <w:ind w:left="6059" w:hanging="126"/>
      </w:pPr>
      <w:rPr>
        <w:rFonts w:hint="default"/>
      </w:rPr>
    </w:lvl>
    <w:lvl w:ilvl="7">
      <w:start w:val="0"/>
      <w:numFmt w:val="bullet"/>
      <w:lvlText w:val="•"/>
      <w:lvlJc w:val="left"/>
      <w:pPr>
        <w:ind w:left="6859" w:hanging="126"/>
      </w:pPr>
      <w:rPr>
        <w:rFonts w:hint="default"/>
      </w:rPr>
    </w:lvl>
    <w:lvl w:ilvl="8">
      <w:start w:val="0"/>
      <w:numFmt w:val="bullet"/>
      <w:lvlText w:val="•"/>
      <w:lvlJc w:val="left"/>
      <w:pPr>
        <w:ind w:left="7659" w:hanging="126"/>
      </w:pPr>
      <w:rPr>
        <w:rFonts w:hint="default"/>
      </w:rPr>
    </w:lvl>
  </w:abstractNum>
  <w:abstractNum w:abstractNumId="7">
    <w:multiLevelType w:val="hybridMultilevel"/>
    <w:lvl w:ilvl="0">
      <w:start w:val="2"/>
      <w:numFmt w:val="decimal"/>
      <w:lvlText w:val="%1"/>
      <w:lvlJc w:val="left"/>
      <w:pPr>
        <w:ind w:left="1022" w:hanging="853"/>
        <w:jc w:val="left"/>
      </w:pPr>
      <w:rPr>
        <w:rFonts w:hint="default"/>
      </w:rPr>
    </w:lvl>
    <w:lvl w:ilvl="1">
      <w:start w:val="4"/>
      <w:numFmt w:val="decimal"/>
      <w:lvlText w:val="%1.%2"/>
      <w:lvlJc w:val="left"/>
      <w:pPr>
        <w:ind w:left="1022" w:hanging="853"/>
        <w:jc w:val="left"/>
      </w:pPr>
      <w:rPr>
        <w:rFonts w:hint="default"/>
      </w:rPr>
    </w:lvl>
    <w:lvl w:ilvl="2">
      <w:start w:val="1"/>
      <w:numFmt w:val="decimal"/>
      <w:lvlText w:val="%1.%2.%3"/>
      <w:lvlJc w:val="left"/>
      <w:pPr>
        <w:ind w:left="1022" w:hanging="854"/>
        <w:jc w:val="left"/>
      </w:pPr>
      <w:rPr>
        <w:rFonts w:hint="default"/>
        <w:spacing w:val="-1"/>
        <w:w w:val="102"/>
      </w:rPr>
    </w:lvl>
    <w:lvl w:ilvl="3">
      <w:start w:val="0"/>
      <w:numFmt w:val="bullet"/>
      <w:lvlText w:val="•"/>
      <w:lvlJc w:val="left"/>
      <w:pPr>
        <w:ind w:left="1437" w:hanging="854"/>
      </w:pPr>
      <w:rPr>
        <w:rFonts w:hint="default"/>
        <w:w w:val="102"/>
      </w:rPr>
    </w:lvl>
    <w:lvl w:ilvl="4">
      <w:start w:val="0"/>
      <w:numFmt w:val="bullet"/>
      <w:lvlText w:val="•"/>
      <w:lvlJc w:val="left"/>
      <w:pPr>
        <w:ind w:left="4617" w:hanging="854"/>
      </w:pPr>
      <w:rPr>
        <w:rFonts w:hint="default"/>
      </w:rPr>
    </w:lvl>
    <w:lvl w:ilvl="5">
      <w:start w:val="0"/>
      <w:numFmt w:val="bullet"/>
      <w:lvlText w:val="•"/>
      <w:lvlJc w:val="left"/>
      <w:pPr>
        <w:ind w:left="5676" w:hanging="854"/>
      </w:pPr>
      <w:rPr>
        <w:rFonts w:hint="default"/>
      </w:rPr>
    </w:lvl>
    <w:lvl w:ilvl="6">
      <w:start w:val="0"/>
      <w:numFmt w:val="bullet"/>
      <w:lvlText w:val="•"/>
      <w:lvlJc w:val="left"/>
      <w:pPr>
        <w:ind w:left="6735" w:hanging="854"/>
      </w:pPr>
      <w:rPr>
        <w:rFonts w:hint="default"/>
      </w:rPr>
    </w:lvl>
    <w:lvl w:ilvl="7">
      <w:start w:val="0"/>
      <w:numFmt w:val="bullet"/>
      <w:lvlText w:val="•"/>
      <w:lvlJc w:val="left"/>
      <w:pPr>
        <w:ind w:left="7795" w:hanging="854"/>
      </w:pPr>
      <w:rPr>
        <w:rFonts w:hint="default"/>
      </w:rPr>
    </w:lvl>
    <w:lvl w:ilvl="8">
      <w:start w:val="0"/>
      <w:numFmt w:val="bullet"/>
      <w:lvlText w:val="•"/>
      <w:lvlJc w:val="left"/>
      <w:pPr>
        <w:ind w:left="8854" w:hanging="854"/>
      </w:pPr>
      <w:rPr>
        <w:rFonts w:hint="default"/>
      </w:rPr>
    </w:lvl>
  </w:abstractNum>
  <w:abstractNum w:abstractNumId="6">
    <w:multiLevelType w:val="hybridMultilevel"/>
    <w:lvl w:ilvl="0">
      <w:start w:val="1"/>
      <w:numFmt w:val="decimal"/>
      <w:lvlText w:val="%1."/>
      <w:lvlJc w:val="left"/>
      <w:pPr>
        <w:ind w:left="1306" w:hanging="283"/>
        <w:jc w:val="left"/>
      </w:pPr>
      <w:rPr>
        <w:rFonts w:hint="default" w:ascii="Arial" w:hAnsi="Arial" w:eastAsia="Arial" w:cs="Arial"/>
        <w:spacing w:val="-1"/>
        <w:w w:val="89"/>
        <w:sz w:val="23"/>
        <w:szCs w:val="23"/>
      </w:rPr>
    </w:lvl>
    <w:lvl w:ilvl="1">
      <w:start w:val="0"/>
      <w:numFmt w:val="bullet"/>
      <w:lvlText w:val="•"/>
      <w:lvlJc w:val="left"/>
      <w:pPr>
        <w:ind w:left="2267" w:hanging="283"/>
      </w:pPr>
      <w:rPr>
        <w:rFonts w:hint="default"/>
      </w:rPr>
    </w:lvl>
    <w:lvl w:ilvl="2">
      <w:start w:val="0"/>
      <w:numFmt w:val="bullet"/>
      <w:lvlText w:val="•"/>
      <w:lvlJc w:val="left"/>
      <w:pPr>
        <w:ind w:left="3234" w:hanging="283"/>
      </w:pPr>
      <w:rPr>
        <w:rFonts w:hint="default"/>
      </w:rPr>
    </w:lvl>
    <w:lvl w:ilvl="3">
      <w:start w:val="0"/>
      <w:numFmt w:val="bullet"/>
      <w:lvlText w:val="•"/>
      <w:lvlJc w:val="left"/>
      <w:pPr>
        <w:ind w:left="4201" w:hanging="283"/>
      </w:pPr>
      <w:rPr>
        <w:rFonts w:hint="default"/>
      </w:rPr>
    </w:lvl>
    <w:lvl w:ilvl="4">
      <w:start w:val="0"/>
      <w:numFmt w:val="bullet"/>
      <w:lvlText w:val="•"/>
      <w:lvlJc w:val="left"/>
      <w:pPr>
        <w:ind w:left="5169" w:hanging="283"/>
      </w:pPr>
      <w:rPr>
        <w:rFonts w:hint="default"/>
      </w:rPr>
    </w:lvl>
    <w:lvl w:ilvl="5">
      <w:start w:val="0"/>
      <w:numFmt w:val="bullet"/>
      <w:lvlText w:val="•"/>
      <w:lvlJc w:val="left"/>
      <w:pPr>
        <w:ind w:left="6136" w:hanging="283"/>
      </w:pPr>
      <w:rPr>
        <w:rFonts w:hint="default"/>
      </w:rPr>
    </w:lvl>
    <w:lvl w:ilvl="6">
      <w:start w:val="0"/>
      <w:numFmt w:val="bullet"/>
      <w:lvlText w:val="•"/>
      <w:lvlJc w:val="left"/>
      <w:pPr>
        <w:ind w:left="7103" w:hanging="283"/>
      </w:pPr>
      <w:rPr>
        <w:rFonts w:hint="default"/>
      </w:rPr>
    </w:lvl>
    <w:lvl w:ilvl="7">
      <w:start w:val="0"/>
      <w:numFmt w:val="bullet"/>
      <w:lvlText w:val="•"/>
      <w:lvlJc w:val="left"/>
      <w:pPr>
        <w:ind w:left="8070" w:hanging="283"/>
      </w:pPr>
      <w:rPr>
        <w:rFonts w:hint="default"/>
      </w:rPr>
    </w:lvl>
    <w:lvl w:ilvl="8">
      <w:start w:val="0"/>
      <w:numFmt w:val="bullet"/>
      <w:lvlText w:val="•"/>
      <w:lvlJc w:val="left"/>
      <w:pPr>
        <w:ind w:left="9038" w:hanging="283"/>
      </w:pPr>
      <w:rPr>
        <w:rFonts w:hint="default"/>
      </w:rPr>
    </w:lvl>
  </w:abstractNum>
  <w:abstractNum w:abstractNumId="5">
    <w:multiLevelType w:val="hybridMultilevel"/>
    <w:lvl w:ilvl="0">
      <w:start w:val="7"/>
      <w:numFmt w:val="lowerLetter"/>
      <w:lvlText w:val="(%1)"/>
      <w:lvlJc w:val="left"/>
      <w:pPr>
        <w:ind w:left="1447" w:hanging="432"/>
        <w:jc w:val="left"/>
      </w:pPr>
      <w:rPr>
        <w:rFonts w:hint="default" w:ascii="Arial" w:hAnsi="Arial" w:eastAsia="Arial" w:cs="Arial"/>
        <w:spacing w:val="-1"/>
        <w:w w:val="94"/>
        <w:sz w:val="23"/>
        <w:szCs w:val="23"/>
      </w:rPr>
    </w:lvl>
    <w:lvl w:ilvl="1">
      <w:start w:val="0"/>
      <w:numFmt w:val="bullet"/>
      <w:lvlText w:val="•"/>
      <w:lvlJc w:val="left"/>
      <w:pPr>
        <w:ind w:left="2393" w:hanging="432"/>
      </w:pPr>
      <w:rPr>
        <w:rFonts w:hint="default"/>
      </w:rPr>
    </w:lvl>
    <w:lvl w:ilvl="2">
      <w:start w:val="0"/>
      <w:numFmt w:val="bullet"/>
      <w:lvlText w:val="•"/>
      <w:lvlJc w:val="left"/>
      <w:pPr>
        <w:ind w:left="3346" w:hanging="432"/>
      </w:pPr>
      <w:rPr>
        <w:rFonts w:hint="default"/>
      </w:rPr>
    </w:lvl>
    <w:lvl w:ilvl="3">
      <w:start w:val="0"/>
      <w:numFmt w:val="bullet"/>
      <w:lvlText w:val="•"/>
      <w:lvlJc w:val="left"/>
      <w:pPr>
        <w:ind w:left="4299" w:hanging="432"/>
      </w:pPr>
      <w:rPr>
        <w:rFonts w:hint="default"/>
      </w:rPr>
    </w:lvl>
    <w:lvl w:ilvl="4">
      <w:start w:val="0"/>
      <w:numFmt w:val="bullet"/>
      <w:lvlText w:val="•"/>
      <w:lvlJc w:val="left"/>
      <w:pPr>
        <w:ind w:left="5253" w:hanging="432"/>
      </w:pPr>
      <w:rPr>
        <w:rFonts w:hint="default"/>
      </w:rPr>
    </w:lvl>
    <w:lvl w:ilvl="5">
      <w:start w:val="0"/>
      <w:numFmt w:val="bullet"/>
      <w:lvlText w:val="•"/>
      <w:lvlJc w:val="left"/>
      <w:pPr>
        <w:ind w:left="6206" w:hanging="432"/>
      </w:pPr>
      <w:rPr>
        <w:rFonts w:hint="default"/>
      </w:rPr>
    </w:lvl>
    <w:lvl w:ilvl="6">
      <w:start w:val="0"/>
      <w:numFmt w:val="bullet"/>
      <w:lvlText w:val="•"/>
      <w:lvlJc w:val="left"/>
      <w:pPr>
        <w:ind w:left="7159" w:hanging="432"/>
      </w:pPr>
      <w:rPr>
        <w:rFonts w:hint="default"/>
      </w:rPr>
    </w:lvl>
    <w:lvl w:ilvl="7">
      <w:start w:val="0"/>
      <w:numFmt w:val="bullet"/>
      <w:lvlText w:val="•"/>
      <w:lvlJc w:val="left"/>
      <w:pPr>
        <w:ind w:left="8112" w:hanging="432"/>
      </w:pPr>
      <w:rPr>
        <w:rFonts w:hint="default"/>
      </w:rPr>
    </w:lvl>
    <w:lvl w:ilvl="8">
      <w:start w:val="0"/>
      <w:numFmt w:val="bullet"/>
      <w:lvlText w:val="•"/>
      <w:lvlJc w:val="left"/>
      <w:pPr>
        <w:ind w:left="9066" w:hanging="432"/>
      </w:pPr>
      <w:rPr>
        <w:rFonts w:hint="default"/>
      </w:rPr>
    </w:lvl>
  </w:abstractNum>
  <w:abstractNum w:abstractNumId="4">
    <w:multiLevelType w:val="hybridMultilevel"/>
    <w:lvl w:ilvl="0">
      <w:start w:val="1"/>
      <w:numFmt w:val="lowerLetter"/>
      <w:lvlText w:val="(%1)"/>
      <w:lvlJc w:val="left"/>
      <w:pPr>
        <w:ind w:left="1444" w:hanging="432"/>
        <w:jc w:val="left"/>
      </w:pPr>
      <w:rPr>
        <w:rFonts w:hint="default" w:ascii="Arial" w:hAnsi="Arial" w:eastAsia="Arial" w:cs="Arial"/>
        <w:spacing w:val="-1"/>
        <w:w w:val="94"/>
        <w:sz w:val="23"/>
        <w:szCs w:val="23"/>
      </w:rPr>
    </w:lvl>
    <w:lvl w:ilvl="1">
      <w:start w:val="1"/>
      <w:numFmt w:val="upperRoman"/>
      <w:lvlText w:val="(%2)"/>
      <w:lvlJc w:val="left"/>
      <w:pPr>
        <w:ind w:left="1447" w:hanging="432"/>
        <w:jc w:val="left"/>
      </w:pPr>
      <w:rPr>
        <w:rFonts w:hint="default" w:ascii="Arial" w:hAnsi="Arial" w:eastAsia="Arial" w:cs="Arial"/>
        <w:spacing w:val="-1"/>
        <w:w w:val="97"/>
        <w:sz w:val="23"/>
        <w:szCs w:val="23"/>
      </w:rPr>
    </w:lvl>
    <w:lvl w:ilvl="2">
      <w:start w:val="0"/>
      <w:numFmt w:val="bullet"/>
      <w:lvlText w:val="•"/>
      <w:lvlJc w:val="left"/>
      <w:pPr>
        <w:ind w:left="3346" w:hanging="432"/>
      </w:pPr>
      <w:rPr>
        <w:rFonts w:hint="default"/>
      </w:rPr>
    </w:lvl>
    <w:lvl w:ilvl="3">
      <w:start w:val="0"/>
      <w:numFmt w:val="bullet"/>
      <w:lvlText w:val="•"/>
      <w:lvlJc w:val="left"/>
      <w:pPr>
        <w:ind w:left="4299" w:hanging="432"/>
      </w:pPr>
      <w:rPr>
        <w:rFonts w:hint="default"/>
      </w:rPr>
    </w:lvl>
    <w:lvl w:ilvl="4">
      <w:start w:val="0"/>
      <w:numFmt w:val="bullet"/>
      <w:lvlText w:val="•"/>
      <w:lvlJc w:val="left"/>
      <w:pPr>
        <w:ind w:left="5253" w:hanging="432"/>
      </w:pPr>
      <w:rPr>
        <w:rFonts w:hint="default"/>
      </w:rPr>
    </w:lvl>
    <w:lvl w:ilvl="5">
      <w:start w:val="0"/>
      <w:numFmt w:val="bullet"/>
      <w:lvlText w:val="•"/>
      <w:lvlJc w:val="left"/>
      <w:pPr>
        <w:ind w:left="6206" w:hanging="432"/>
      </w:pPr>
      <w:rPr>
        <w:rFonts w:hint="default"/>
      </w:rPr>
    </w:lvl>
    <w:lvl w:ilvl="6">
      <w:start w:val="0"/>
      <w:numFmt w:val="bullet"/>
      <w:lvlText w:val="•"/>
      <w:lvlJc w:val="left"/>
      <w:pPr>
        <w:ind w:left="7159" w:hanging="432"/>
      </w:pPr>
      <w:rPr>
        <w:rFonts w:hint="default"/>
      </w:rPr>
    </w:lvl>
    <w:lvl w:ilvl="7">
      <w:start w:val="0"/>
      <w:numFmt w:val="bullet"/>
      <w:lvlText w:val="•"/>
      <w:lvlJc w:val="left"/>
      <w:pPr>
        <w:ind w:left="8112" w:hanging="432"/>
      </w:pPr>
      <w:rPr>
        <w:rFonts w:hint="default"/>
      </w:rPr>
    </w:lvl>
    <w:lvl w:ilvl="8">
      <w:start w:val="0"/>
      <w:numFmt w:val="bullet"/>
      <w:lvlText w:val="•"/>
      <w:lvlJc w:val="left"/>
      <w:pPr>
        <w:ind w:left="9066" w:hanging="432"/>
      </w:pPr>
      <w:rPr>
        <w:rFonts w:hint="default"/>
      </w:rPr>
    </w:lvl>
  </w:abstractNum>
  <w:abstractNum w:abstractNumId="3">
    <w:multiLevelType w:val="hybridMultilevel"/>
    <w:lvl w:ilvl="0">
      <w:start w:val="1"/>
      <w:numFmt w:val="decimal"/>
      <w:lvlText w:val="%1"/>
      <w:lvlJc w:val="left"/>
      <w:pPr>
        <w:ind w:left="1016" w:hanging="856"/>
        <w:jc w:val="left"/>
      </w:pPr>
      <w:rPr>
        <w:rFonts w:hint="default" w:ascii="Arial" w:hAnsi="Arial" w:eastAsia="Arial" w:cs="Arial"/>
        <w:w w:val="98"/>
        <w:sz w:val="32"/>
        <w:szCs w:val="32"/>
      </w:rPr>
    </w:lvl>
    <w:lvl w:ilvl="1">
      <w:start w:val="1"/>
      <w:numFmt w:val="decimal"/>
      <w:lvlText w:val="%1.%2"/>
      <w:lvlJc w:val="left"/>
      <w:pPr>
        <w:ind w:left="1018" w:hanging="851"/>
        <w:jc w:val="left"/>
      </w:pPr>
      <w:rPr>
        <w:rFonts w:hint="default"/>
        <w:spacing w:val="-1"/>
        <w:w w:val="100"/>
      </w:rPr>
    </w:lvl>
    <w:lvl w:ilvl="2">
      <w:start w:val="0"/>
      <w:numFmt w:val="bullet"/>
      <w:lvlText w:val="•"/>
      <w:lvlJc w:val="left"/>
      <w:pPr>
        <w:ind w:left="1437" w:hanging="274"/>
      </w:pPr>
      <w:rPr>
        <w:rFonts w:hint="default"/>
        <w:w w:val="94"/>
      </w:rPr>
    </w:lvl>
    <w:lvl w:ilvl="3">
      <w:start w:val="0"/>
      <w:numFmt w:val="bullet"/>
      <w:lvlText w:val="•"/>
      <w:lvlJc w:val="left"/>
      <w:pPr>
        <w:ind w:left="3558" w:hanging="274"/>
      </w:pPr>
      <w:rPr>
        <w:rFonts w:hint="default"/>
      </w:rPr>
    </w:lvl>
    <w:lvl w:ilvl="4">
      <w:start w:val="0"/>
      <w:numFmt w:val="bullet"/>
      <w:lvlText w:val="•"/>
      <w:lvlJc w:val="left"/>
      <w:pPr>
        <w:ind w:left="4617" w:hanging="274"/>
      </w:pPr>
      <w:rPr>
        <w:rFonts w:hint="default"/>
      </w:rPr>
    </w:lvl>
    <w:lvl w:ilvl="5">
      <w:start w:val="0"/>
      <w:numFmt w:val="bullet"/>
      <w:lvlText w:val="•"/>
      <w:lvlJc w:val="left"/>
      <w:pPr>
        <w:ind w:left="5676" w:hanging="274"/>
      </w:pPr>
      <w:rPr>
        <w:rFonts w:hint="default"/>
      </w:rPr>
    </w:lvl>
    <w:lvl w:ilvl="6">
      <w:start w:val="0"/>
      <w:numFmt w:val="bullet"/>
      <w:lvlText w:val="•"/>
      <w:lvlJc w:val="left"/>
      <w:pPr>
        <w:ind w:left="6735" w:hanging="274"/>
      </w:pPr>
      <w:rPr>
        <w:rFonts w:hint="default"/>
      </w:rPr>
    </w:lvl>
    <w:lvl w:ilvl="7">
      <w:start w:val="0"/>
      <w:numFmt w:val="bullet"/>
      <w:lvlText w:val="•"/>
      <w:lvlJc w:val="left"/>
      <w:pPr>
        <w:ind w:left="7795" w:hanging="274"/>
      </w:pPr>
      <w:rPr>
        <w:rFonts w:hint="default"/>
      </w:rPr>
    </w:lvl>
    <w:lvl w:ilvl="8">
      <w:start w:val="0"/>
      <w:numFmt w:val="bullet"/>
      <w:lvlText w:val="•"/>
      <w:lvlJc w:val="left"/>
      <w:pPr>
        <w:ind w:left="8854" w:hanging="274"/>
      </w:pPr>
      <w:rPr>
        <w:rFonts w:hint="default"/>
      </w:rPr>
    </w:lvl>
  </w:abstractNum>
  <w:abstractNum w:abstractNumId="2">
    <w:multiLevelType w:val="hybridMultilevel"/>
    <w:lvl w:ilvl="0">
      <w:start w:val="0"/>
      <w:numFmt w:val="bullet"/>
      <w:lvlText w:val="•"/>
      <w:lvlJc w:val="left"/>
      <w:pPr>
        <w:ind w:left="1444" w:hanging="270"/>
      </w:pPr>
      <w:rPr>
        <w:rFonts w:hint="default"/>
        <w:w w:val="93"/>
      </w:rPr>
    </w:lvl>
    <w:lvl w:ilvl="1">
      <w:start w:val="0"/>
      <w:numFmt w:val="bullet"/>
      <w:lvlText w:val="•"/>
      <w:lvlJc w:val="left"/>
      <w:pPr>
        <w:ind w:left="2393" w:hanging="270"/>
      </w:pPr>
      <w:rPr>
        <w:rFonts w:hint="default"/>
      </w:rPr>
    </w:lvl>
    <w:lvl w:ilvl="2">
      <w:start w:val="0"/>
      <w:numFmt w:val="bullet"/>
      <w:lvlText w:val="•"/>
      <w:lvlJc w:val="left"/>
      <w:pPr>
        <w:ind w:left="3346" w:hanging="270"/>
      </w:pPr>
      <w:rPr>
        <w:rFonts w:hint="default"/>
      </w:rPr>
    </w:lvl>
    <w:lvl w:ilvl="3">
      <w:start w:val="0"/>
      <w:numFmt w:val="bullet"/>
      <w:lvlText w:val="•"/>
      <w:lvlJc w:val="left"/>
      <w:pPr>
        <w:ind w:left="4299" w:hanging="270"/>
      </w:pPr>
      <w:rPr>
        <w:rFonts w:hint="default"/>
      </w:rPr>
    </w:lvl>
    <w:lvl w:ilvl="4">
      <w:start w:val="0"/>
      <w:numFmt w:val="bullet"/>
      <w:lvlText w:val="•"/>
      <w:lvlJc w:val="left"/>
      <w:pPr>
        <w:ind w:left="5253" w:hanging="270"/>
      </w:pPr>
      <w:rPr>
        <w:rFonts w:hint="default"/>
      </w:rPr>
    </w:lvl>
    <w:lvl w:ilvl="5">
      <w:start w:val="0"/>
      <w:numFmt w:val="bullet"/>
      <w:lvlText w:val="•"/>
      <w:lvlJc w:val="left"/>
      <w:pPr>
        <w:ind w:left="6206" w:hanging="270"/>
      </w:pPr>
      <w:rPr>
        <w:rFonts w:hint="default"/>
      </w:rPr>
    </w:lvl>
    <w:lvl w:ilvl="6">
      <w:start w:val="0"/>
      <w:numFmt w:val="bullet"/>
      <w:lvlText w:val="•"/>
      <w:lvlJc w:val="left"/>
      <w:pPr>
        <w:ind w:left="7159" w:hanging="270"/>
      </w:pPr>
      <w:rPr>
        <w:rFonts w:hint="default"/>
      </w:rPr>
    </w:lvl>
    <w:lvl w:ilvl="7">
      <w:start w:val="0"/>
      <w:numFmt w:val="bullet"/>
      <w:lvlText w:val="•"/>
      <w:lvlJc w:val="left"/>
      <w:pPr>
        <w:ind w:left="8112" w:hanging="270"/>
      </w:pPr>
      <w:rPr>
        <w:rFonts w:hint="default"/>
      </w:rPr>
    </w:lvl>
    <w:lvl w:ilvl="8">
      <w:start w:val="0"/>
      <w:numFmt w:val="bullet"/>
      <w:lvlText w:val="•"/>
      <w:lvlJc w:val="left"/>
      <w:pPr>
        <w:ind w:left="9066" w:hanging="270"/>
      </w:pPr>
      <w:rPr>
        <w:rFonts w:hint="default"/>
      </w:rPr>
    </w:lvl>
  </w:abstractNum>
  <w:abstractNum w:abstractNumId="1">
    <w:multiLevelType w:val="hybridMultilevel"/>
    <w:lvl w:ilvl="0">
      <w:start w:val="4"/>
      <w:numFmt w:val="decimal"/>
      <w:lvlText w:val="%1"/>
      <w:lvlJc w:val="left"/>
      <w:pPr>
        <w:ind w:left="997" w:hanging="854"/>
        <w:jc w:val="left"/>
      </w:pPr>
      <w:rPr>
        <w:rFonts w:hint="default"/>
      </w:rPr>
    </w:lvl>
    <w:lvl w:ilvl="1">
      <w:start w:val="1"/>
      <w:numFmt w:val="decimal"/>
      <w:lvlText w:val="%1.%2"/>
      <w:lvlJc w:val="left"/>
      <w:pPr>
        <w:ind w:left="997" w:hanging="854"/>
        <w:jc w:val="left"/>
      </w:pPr>
      <w:rPr>
        <w:rFonts w:hint="default"/>
        <w:spacing w:val="-1"/>
        <w:w w:val="103"/>
      </w:rPr>
    </w:lvl>
    <w:lvl w:ilvl="2">
      <w:start w:val="1"/>
      <w:numFmt w:val="decimal"/>
      <w:lvlText w:val="%1.%2.%3"/>
      <w:lvlJc w:val="left"/>
      <w:pPr>
        <w:ind w:left="997" w:hanging="845"/>
        <w:jc w:val="left"/>
      </w:pPr>
      <w:rPr>
        <w:rFonts w:hint="default" w:ascii="Arial" w:hAnsi="Arial" w:eastAsia="Arial" w:cs="Arial"/>
        <w:spacing w:val="-1"/>
        <w:w w:val="101"/>
        <w:sz w:val="23"/>
        <w:szCs w:val="23"/>
      </w:rPr>
    </w:lvl>
    <w:lvl w:ilvl="3">
      <w:start w:val="0"/>
      <w:numFmt w:val="bullet"/>
      <w:lvlText w:val="•"/>
      <w:lvlJc w:val="left"/>
      <w:pPr>
        <w:ind w:left="3979" w:hanging="845"/>
      </w:pPr>
      <w:rPr>
        <w:rFonts w:hint="default"/>
      </w:rPr>
    </w:lvl>
    <w:lvl w:ilvl="4">
      <w:start w:val="0"/>
      <w:numFmt w:val="bullet"/>
      <w:lvlText w:val="•"/>
      <w:lvlJc w:val="left"/>
      <w:pPr>
        <w:ind w:left="4973" w:hanging="845"/>
      </w:pPr>
      <w:rPr>
        <w:rFonts w:hint="default"/>
      </w:rPr>
    </w:lvl>
    <w:lvl w:ilvl="5">
      <w:start w:val="0"/>
      <w:numFmt w:val="bullet"/>
      <w:lvlText w:val="•"/>
      <w:lvlJc w:val="left"/>
      <w:pPr>
        <w:ind w:left="5966" w:hanging="845"/>
      </w:pPr>
      <w:rPr>
        <w:rFonts w:hint="default"/>
      </w:rPr>
    </w:lvl>
    <w:lvl w:ilvl="6">
      <w:start w:val="0"/>
      <w:numFmt w:val="bullet"/>
      <w:lvlText w:val="•"/>
      <w:lvlJc w:val="left"/>
      <w:pPr>
        <w:ind w:left="6959" w:hanging="845"/>
      </w:pPr>
      <w:rPr>
        <w:rFonts w:hint="default"/>
      </w:rPr>
    </w:lvl>
    <w:lvl w:ilvl="7">
      <w:start w:val="0"/>
      <w:numFmt w:val="bullet"/>
      <w:lvlText w:val="•"/>
      <w:lvlJc w:val="left"/>
      <w:pPr>
        <w:ind w:left="7952" w:hanging="845"/>
      </w:pPr>
      <w:rPr>
        <w:rFonts w:hint="default"/>
      </w:rPr>
    </w:lvl>
    <w:lvl w:ilvl="8">
      <w:start w:val="0"/>
      <w:numFmt w:val="bullet"/>
      <w:lvlText w:val="•"/>
      <w:lvlJc w:val="left"/>
      <w:pPr>
        <w:ind w:left="8946" w:hanging="845"/>
      </w:pPr>
      <w:rPr>
        <w:rFonts w:hint="default"/>
      </w:rPr>
    </w:lvl>
  </w:abstractNum>
  <w:abstractNum w:abstractNumId="0">
    <w:multiLevelType w:val="hybridMultilevel"/>
    <w:lvl w:ilvl="0">
      <w:start w:val="3"/>
      <w:numFmt w:val="decimal"/>
      <w:lvlText w:val="%1"/>
      <w:lvlJc w:val="left"/>
      <w:pPr>
        <w:ind w:left="1002" w:hanging="857"/>
        <w:jc w:val="left"/>
      </w:pPr>
      <w:rPr>
        <w:rFonts w:hint="default"/>
      </w:rPr>
    </w:lvl>
    <w:lvl w:ilvl="1">
      <w:start w:val="2"/>
      <w:numFmt w:val="decimal"/>
      <w:lvlText w:val="%1.%2"/>
      <w:lvlJc w:val="left"/>
      <w:pPr>
        <w:ind w:left="1002" w:hanging="857"/>
        <w:jc w:val="left"/>
      </w:pPr>
      <w:rPr>
        <w:rFonts w:hint="default"/>
        <w:spacing w:val="-2"/>
        <w:w w:val="99"/>
      </w:rPr>
    </w:lvl>
    <w:lvl w:ilvl="2">
      <w:start w:val="0"/>
      <w:numFmt w:val="bullet"/>
      <w:lvlText w:val="•"/>
      <w:lvlJc w:val="left"/>
      <w:pPr>
        <w:ind w:left="2986" w:hanging="857"/>
      </w:pPr>
      <w:rPr>
        <w:rFonts w:hint="default"/>
      </w:rPr>
    </w:lvl>
    <w:lvl w:ilvl="3">
      <w:start w:val="0"/>
      <w:numFmt w:val="bullet"/>
      <w:lvlText w:val="•"/>
      <w:lvlJc w:val="left"/>
      <w:pPr>
        <w:ind w:left="3979" w:hanging="857"/>
      </w:pPr>
      <w:rPr>
        <w:rFonts w:hint="default"/>
      </w:rPr>
    </w:lvl>
    <w:lvl w:ilvl="4">
      <w:start w:val="0"/>
      <w:numFmt w:val="bullet"/>
      <w:lvlText w:val="•"/>
      <w:lvlJc w:val="left"/>
      <w:pPr>
        <w:ind w:left="4973" w:hanging="857"/>
      </w:pPr>
      <w:rPr>
        <w:rFonts w:hint="default"/>
      </w:rPr>
    </w:lvl>
    <w:lvl w:ilvl="5">
      <w:start w:val="0"/>
      <w:numFmt w:val="bullet"/>
      <w:lvlText w:val="•"/>
      <w:lvlJc w:val="left"/>
      <w:pPr>
        <w:ind w:left="5966" w:hanging="857"/>
      </w:pPr>
      <w:rPr>
        <w:rFonts w:hint="default"/>
      </w:rPr>
    </w:lvl>
    <w:lvl w:ilvl="6">
      <w:start w:val="0"/>
      <w:numFmt w:val="bullet"/>
      <w:lvlText w:val="•"/>
      <w:lvlJc w:val="left"/>
      <w:pPr>
        <w:ind w:left="6959" w:hanging="857"/>
      </w:pPr>
      <w:rPr>
        <w:rFonts w:hint="default"/>
      </w:rPr>
    </w:lvl>
    <w:lvl w:ilvl="7">
      <w:start w:val="0"/>
      <w:numFmt w:val="bullet"/>
      <w:lvlText w:val="•"/>
      <w:lvlJc w:val="left"/>
      <w:pPr>
        <w:ind w:left="7952" w:hanging="857"/>
      </w:pPr>
      <w:rPr>
        <w:rFonts w:hint="default"/>
      </w:rPr>
    </w:lvl>
    <w:lvl w:ilvl="8">
      <w:start w:val="0"/>
      <w:numFmt w:val="bullet"/>
      <w:lvlText w:val="•"/>
      <w:lvlJc w:val="left"/>
      <w:pPr>
        <w:ind w:left="8946" w:hanging="857"/>
      </w:pPr>
      <w:rPr>
        <w:rFonts w:hint="default"/>
      </w:rPr>
    </w:lvl>
  </w:abstract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98"/>
      <w:ind w:left="882" w:hanging="482"/>
    </w:pPr>
    <w:rPr>
      <w:rFonts w:ascii="Arial" w:hAnsi="Arial" w:eastAsia="Arial" w:cs="Arial"/>
      <w:b/>
      <w:bCs/>
      <w:sz w:val="24"/>
      <w:szCs w:val="24"/>
    </w:rPr>
  </w:style>
  <w:style w:styleId="TOC2" w:type="paragraph">
    <w:name w:val="TOC 2"/>
    <w:basedOn w:val="Normal"/>
    <w:uiPriority w:val="1"/>
    <w:qFormat/>
    <w:pPr>
      <w:spacing w:before="137"/>
      <w:ind w:left="1357" w:hanging="504"/>
    </w:pPr>
    <w:rPr>
      <w:rFonts w:ascii="Arial" w:hAnsi="Arial" w:eastAsia="Arial" w:cs="Arial"/>
      <w:b/>
      <w:bCs/>
      <w:sz w:val="24"/>
      <w:szCs w:val="24"/>
    </w:rPr>
  </w:style>
  <w:style w:styleId="BodyText" w:type="paragraph">
    <w:name w:val="Body Text"/>
    <w:basedOn w:val="Normal"/>
    <w:uiPriority w:val="1"/>
    <w:qFormat/>
    <w:pPr/>
    <w:rPr>
      <w:rFonts w:ascii="Arial" w:hAnsi="Arial" w:eastAsia="Arial" w:cs="Arial"/>
      <w:sz w:val="23"/>
      <w:szCs w:val="23"/>
    </w:rPr>
  </w:style>
  <w:style w:styleId="Heading1" w:type="paragraph">
    <w:name w:val="Heading 1"/>
    <w:basedOn w:val="Normal"/>
    <w:uiPriority w:val="1"/>
    <w:qFormat/>
    <w:pPr>
      <w:ind w:left="220"/>
      <w:outlineLvl w:val="1"/>
    </w:pPr>
    <w:rPr>
      <w:rFonts w:ascii="Arial" w:hAnsi="Arial" w:eastAsia="Arial" w:cs="Arial"/>
      <w:b/>
      <w:bCs/>
      <w:sz w:val="28"/>
      <w:szCs w:val="28"/>
    </w:rPr>
  </w:style>
  <w:style w:styleId="Heading2" w:type="paragraph">
    <w:name w:val="Heading 2"/>
    <w:basedOn w:val="Normal"/>
    <w:uiPriority w:val="1"/>
    <w:qFormat/>
    <w:pPr>
      <w:spacing w:before="78"/>
      <w:ind w:left="400"/>
      <w:outlineLvl w:val="2"/>
    </w:pPr>
    <w:rPr>
      <w:rFonts w:ascii="Arial" w:hAnsi="Arial" w:eastAsia="Arial" w:cs="Arial"/>
      <w:b/>
      <w:bCs/>
      <w:sz w:val="24"/>
      <w:szCs w:val="24"/>
    </w:rPr>
  </w:style>
  <w:style w:styleId="Heading3" w:type="paragraph">
    <w:name w:val="Heading 3"/>
    <w:basedOn w:val="Normal"/>
    <w:uiPriority w:val="1"/>
    <w:qFormat/>
    <w:pPr>
      <w:ind w:left="400"/>
      <w:outlineLvl w:val="3"/>
    </w:pPr>
    <w:rPr>
      <w:rFonts w:ascii="Arial" w:hAnsi="Arial" w:eastAsia="Arial" w:cs="Arial"/>
      <w:sz w:val="24"/>
      <w:szCs w:val="24"/>
    </w:rPr>
  </w:style>
  <w:style w:styleId="ListParagraph" w:type="paragraph">
    <w:name w:val="List Paragraph"/>
    <w:basedOn w:val="Normal"/>
    <w:uiPriority w:val="1"/>
    <w:qFormat/>
    <w:pPr>
      <w:ind w:left="340" w:hanging="12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oter" Target="footer1.xml"/><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image" Target="media/image21.jpeg"/><Relationship Id="rId33" Type="http://schemas.openxmlformats.org/officeDocument/2006/relationships/hyperlink" Target="mailto:Iewis@leeds.gov" TargetMode="External"/><Relationship Id="rId34" Type="http://schemas.openxmlformats.org/officeDocument/2006/relationships/footer" Target="footer8.xml"/><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hyperlink" Target="mailto:frm@leeds.gov.uk" TargetMode="External"/><Relationship Id="rId38" Type="http://schemas.openxmlformats.org/officeDocument/2006/relationships/footer" Target="footer9.xml"/><Relationship Id="rId39" Type="http://schemas.openxmlformats.org/officeDocument/2006/relationships/footer" Target="footer10.xm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hyperlink" Target="http://www.metoffice.gov.uk/binaries/content/assets/mohippo/pdf/ukcp18/uoe.icasp.v2.pdf" TargetMode="External"/><Relationship Id="rId54" Type="http://schemas.openxmlformats.org/officeDocument/2006/relationships/footer" Target="footer11.xml"/><Relationship Id="rId55" Type="http://schemas.openxmlformats.org/officeDocument/2006/relationships/image" Target="media/image37.jpeg"/><Relationship Id="rId56" Type="http://schemas.openxmlformats.org/officeDocument/2006/relationships/image" Target="media/image38.png"/><Relationship Id="rId57" Type="http://schemas.openxmlformats.org/officeDocument/2006/relationships/footer" Target="footer12.xml"/><Relationship Id="rId58" Type="http://schemas.openxmlformats.org/officeDocument/2006/relationships/footer" Target="footer13.xml"/><Relationship Id="rId59" Type="http://schemas.openxmlformats.org/officeDocument/2006/relationships/image" Target="media/image39.jpeg"/><Relationship Id="rId60" Type="http://schemas.openxmlformats.org/officeDocument/2006/relationships/footer" Target="footer14.xml"/><Relationship Id="rId61" Type="http://schemas.openxmlformats.org/officeDocument/2006/relationships/footer" Target="footer15.xml"/><Relationship Id="rId62" Type="http://schemas.openxmlformats.org/officeDocument/2006/relationships/image" Target="media/image40.jpeg"/><Relationship Id="rId63" Type="http://schemas.openxmlformats.org/officeDocument/2006/relationships/image" Target="media/image41.jpeg"/><Relationship Id="rId64" Type="http://schemas.openxmlformats.org/officeDocument/2006/relationships/image" Target="media/image42.jpeg"/><Relationship Id="rId65" Type="http://schemas.openxmlformats.org/officeDocument/2006/relationships/image" Target="media/image43.jpeg"/><Relationship Id="rId66" Type="http://schemas.openxmlformats.org/officeDocument/2006/relationships/image" Target="media/image44.jpeg"/><Relationship Id="rId67" Type="http://schemas.openxmlformats.org/officeDocument/2006/relationships/image" Target="media/image45.jpeg"/><Relationship Id="rId68" Type="http://schemas.openxmlformats.org/officeDocument/2006/relationships/footer" Target="footer16.xml"/><Relationship Id="rId69" Type="http://schemas.openxmlformats.org/officeDocument/2006/relationships/footer" Target="footer17.xml"/><Relationship Id="rId70" Type="http://schemas.openxmlformats.org/officeDocument/2006/relationships/footer" Target="footer18.xml"/><Relationship Id="rId71" Type="http://schemas.openxmlformats.org/officeDocument/2006/relationships/footer" Target="footer19.xml"/><Relationship Id="rId72" Type="http://schemas.openxmlformats.org/officeDocument/2006/relationships/footer" Target="footer20.xml"/><Relationship Id="rId73" Type="http://schemas.openxmlformats.org/officeDocument/2006/relationships/footer" Target="footer21.xml"/><Relationship Id="rId74" Type="http://schemas.openxmlformats.org/officeDocument/2006/relationships/footer" Target="footer22.xml"/><Relationship Id="rId75" Type="http://schemas.openxmlformats.org/officeDocument/2006/relationships/footer" Target="footer23.xml"/><Relationship Id="rId76" Type="http://schemas.openxmlformats.org/officeDocument/2006/relationships/footer" Target="footer24.xml"/><Relationship Id="rId77" Type="http://schemas.openxmlformats.org/officeDocument/2006/relationships/footer" Target="footer25.xml"/><Relationship Id="rId78" Type="http://schemas.openxmlformats.org/officeDocument/2006/relationships/footer" Target="footer26.xml"/><Relationship Id="rId79" Type="http://schemas.openxmlformats.org/officeDocument/2006/relationships/footer" Target="footer27.xml"/><Relationship Id="rId80" Type="http://schemas.openxmlformats.org/officeDocument/2006/relationships/footer" Target="footer28.xml"/><Relationship Id="rId81" Type="http://schemas.openxmlformats.org/officeDocument/2006/relationships/footer" Target="footer29.xml"/><Relationship Id="rId82" Type="http://schemas.openxmlformats.org/officeDocument/2006/relationships/footer" Target="footer30.xml"/><Relationship Id="rId83" Type="http://schemas.openxmlformats.org/officeDocument/2006/relationships/footer" Target="footer31.xml"/><Relationship Id="rId84" Type="http://schemas.openxmlformats.org/officeDocument/2006/relationships/footer" Target="footer32.xml"/><Relationship Id="rId85" Type="http://schemas.openxmlformats.org/officeDocument/2006/relationships/footer" Target="footer33.xml"/><Relationship Id="rId86" Type="http://schemas.openxmlformats.org/officeDocument/2006/relationships/footer" Target="footer34.xml"/><Relationship Id="rId87" Type="http://schemas.openxmlformats.org/officeDocument/2006/relationships/image" Target="media/image46.jpeg"/><Relationship Id="rId88" Type="http://schemas.openxmlformats.org/officeDocument/2006/relationships/footer" Target="footer35.xml"/><Relationship Id="rId89" Type="http://schemas.openxmlformats.org/officeDocument/2006/relationships/footer" Target="footer36.xml"/><Relationship Id="rId90" Type="http://schemas.openxmlformats.org/officeDocument/2006/relationships/image" Target="media/image47.png"/><Relationship Id="rId91" Type="http://schemas.openxmlformats.org/officeDocument/2006/relationships/footer" Target="footer37.xml"/><Relationship Id="rId92" Type="http://schemas.openxmlformats.org/officeDocument/2006/relationships/footer" Target="footer38.xml"/><Relationship Id="rId93" Type="http://schemas.openxmlformats.org/officeDocument/2006/relationships/image" Target="media/image48.jpeg"/><Relationship Id="rId94" Type="http://schemas.openxmlformats.org/officeDocument/2006/relationships/footer" Target="footer39.xml"/><Relationship Id="rId95" Type="http://schemas.openxmlformats.org/officeDocument/2006/relationships/footer" Target="footer40.xml"/><Relationship Id="rId96" Type="http://schemas.openxmlformats.org/officeDocument/2006/relationships/image" Target="media/image49.jpeg"/><Relationship Id="rId97" Type="http://schemas.openxmlformats.org/officeDocument/2006/relationships/footer" Target="footer41.xml"/><Relationship Id="rId98" Type="http://schemas.openxmlformats.org/officeDocument/2006/relationships/image" Target="media/image50.png"/><Relationship Id="rId99" Type="http://schemas.openxmlformats.org/officeDocument/2006/relationships/image" Target="media/image51.png"/><Relationship Id="rId100" Type="http://schemas.openxmlformats.org/officeDocument/2006/relationships/image" Target="media/image52.png"/><Relationship Id="rId101" Type="http://schemas.openxmlformats.org/officeDocument/2006/relationships/image" Target="media/image53.png"/><Relationship Id="rId102" Type="http://schemas.openxmlformats.org/officeDocument/2006/relationships/image" Target="media/image54.png"/><Relationship Id="rId103" Type="http://schemas.openxmlformats.org/officeDocument/2006/relationships/image" Target="media/image55.png"/><Relationship Id="rId104" Type="http://schemas.openxmlformats.org/officeDocument/2006/relationships/image" Target="media/image56.png"/><Relationship Id="rId105" Type="http://schemas.openxmlformats.org/officeDocument/2006/relationships/image" Target="media/image57.png"/><Relationship Id="rId106" Type="http://schemas.openxmlformats.org/officeDocument/2006/relationships/image" Target="media/image58.png"/><Relationship Id="rId107" Type="http://schemas.openxmlformats.org/officeDocument/2006/relationships/image" Target="media/image59.png"/><Relationship Id="rId108" Type="http://schemas.openxmlformats.org/officeDocument/2006/relationships/image" Target="media/image60.png"/><Relationship Id="rId109" Type="http://schemas.openxmlformats.org/officeDocument/2006/relationships/image" Target="media/image61.png"/><Relationship Id="rId110" Type="http://schemas.openxmlformats.org/officeDocument/2006/relationships/image" Target="media/image62.png"/><Relationship Id="rId111" Type="http://schemas.openxmlformats.org/officeDocument/2006/relationships/image" Target="media/image63.png"/><Relationship Id="rId112" Type="http://schemas.openxmlformats.org/officeDocument/2006/relationships/image" Target="media/image64.png"/><Relationship Id="rId113" Type="http://schemas.openxmlformats.org/officeDocument/2006/relationships/image" Target="media/image65.png"/><Relationship Id="rId114" Type="http://schemas.openxmlformats.org/officeDocument/2006/relationships/image" Target="media/image66.png"/><Relationship Id="rId115" Type="http://schemas.openxmlformats.org/officeDocument/2006/relationships/image" Target="media/image67.png"/><Relationship Id="rId116" Type="http://schemas.openxmlformats.org/officeDocument/2006/relationships/image" Target="media/image68.png"/><Relationship Id="rId117" Type="http://schemas.openxmlformats.org/officeDocument/2006/relationships/image" Target="media/image69.png"/><Relationship Id="rId118" Type="http://schemas.openxmlformats.org/officeDocument/2006/relationships/image" Target="media/image70.png"/><Relationship Id="rId119" Type="http://schemas.openxmlformats.org/officeDocument/2006/relationships/image" Target="media/image71.png"/><Relationship Id="rId120" Type="http://schemas.openxmlformats.org/officeDocument/2006/relationships/image" Target="media/image72.png"/><Relationship Id="rId121" Type="http://schemas.openxmlformats.org/officeDocument/2006/relationships/image" Target="media/image73.png"/><Relationship Id="rId122" Type="http://schemas.openxmlformats.org/officeDocument/2006/relationships/image" Target="media/image74.png"/><Relationship Id="rId123" Type="http://schemas.openxmlformats.org/officeDocument/2006/relationships/image" Target="media/image75.png"/><Relationship Id="rId124" Type="http://schemas.openxmlformats.org/officeDocument/2006/relationships/image" Target="media/image76.png"/><Relationship Id="rId125" Type="http://schemas.openxmlformats.org/officeDocument/2006/relationships/image" Target="media/image77.png"/><Relationship Id="rId126" Type="http://schemas.openxmlformats.org/officeDocument/2006/relationships/image" Target="media/image78.png"/><Relationship Id="rId127" Type="http://schemas.openxmlformats.org/officeDocument/2006/relationships/image" Target="media/image79.png"/><Relationship Id="rId128" Type="http://schemas.openxmlformats.org/officeDocument/2006/relationships/footer" Target="footer42.xml"/><Relationship Id="rId129" Type="http://schemas.openxmlformats.org/officeDocument/2006/relationships/image" Target="media/image80.jpeg"/><Relationship Id="rId130" Type="http://schemas.openxmlformats.org/officeDocument/2006/relationships/footer" Target="footer43.xml"/><Relationship Id="rId131" Type="http://schemas.openxmlformats.org/officeDocument/2006/relationships/footer" Target="footer44.xml"/><Relationship Id="rId132" Type="http://schemas.openxmlformats.org/officeDocument/2006/relationships/footer" Target="footer45.xml"/><Relationship Id="rId133" Type="http://schemas.openxmlformats.org/officeDocument/2006/relationships/hyperlink" Target="http://www.gov.uk/guidance/flood-risk-assessments-climate-change-allowances#table-1" TargetMode="External"/><Relationship Id="rId134" Type="http://schemas.openxmlformats.org/officeDocument/2006/relationships/footer" Target="footer46.xml"/><Relationship Id="rId135" Type="http://schemas.openxmlformats.org/officeDocument/2006/relationships/image" Target="media/image81.jpeg"/><Relationship Id="rId136" Type="http://schemas.openxmlformats.org/officeDocument/2006/relationships/image" Target="media/image82.jpeg"/><Relationship Id="rId137" Type="http://schemas.openxmlformats.org/officeDocument/2006/relationships/footer" Target="footer47.xml"/><Relationship Id="rId138" Type="http://schemas.openxmlformats.org/officeDocument/2006/relationships/footer" Target="footer48.xml"/><Relationship Id="rId139" Type="http://schemas.openxmlformats.org/officeDocument/2006/relationships/image" Target="media/image83.png"/><Relationship Id="rId1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2019-08-14T12:13:21Z</dcterms:created>
  <dcterms:modified xsi:type="dcterms:W3CDTF">2019-08-14T12:13:21Z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2019-03-06T00:00:00Z</vt:filetime>
  </property>
  <property fmtid="{D5CDD505-2E9C-101B-9397-08002B2CF9AE}" pid="3" name="Creator">
    <vt:lpwstr>Bluebeam Stapler 2016.5.2</vt:lpwstr>
  </property>
  <property fmtid="{D5CDD505-2E9C-101B-9397-08002B2CF9AE}" pid="4" name="LastSaved">
    <vt:filetime>2019-08-14T00:00:00Z</vt:filetime>
  </property>
</Properties>
</file>