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AA49" w14:textId="1E2F4990" w:rsidR="005A27E0" w:rsidRPr="0046407E" w:rsidRDefault="005A27E0" w:rsidP="00B46DD2">
      <w:pPr>
        <w:pStyle w:val="NoSpacing"/>
        <w:rPr>
          <w:b/>
          <w:bCs/>
          <w:sz w:val="24"/>
          <w:szCs w:val="24"/>
        </w:rPr>
      </w:pPr>
      <w:r w:rsidRPr="0046407E">
        <w:rPr>
          <w:b/>
          <w:bCs/>
          <w:sz w:val="24"/>
          <w:szCs w:val="24"/>
        </w:rPr>
        <w:t>Sheffield City Council: 202</w:t>
      </w:r>
      <w:r w:rsidR="00C03B62" w:rsidRPr="0046407E">
        <w:rPr>
          <w:b/>
          <w:bCs/>
          <w:sz w:val="24"/>
          <w:szCs w:val="24"/>
        </w:rPr>
        <w:t>1</w:t>
      </w:r>
      <w:r w:rsidRPr="0046407E">
        <w:rPr>
          <w:b/>
          <w:bCs/>
          <w:sz w:val="24"/>
          <w:szCs w:val="24"/>
        </w:rPr>
        <w:t xml:space="preserve"> –2</w:t>
      </w:r>
      <w:r w:rsidR="00C03B62" w:rsidRPr="0046407E">
        <w:rPr>
          <w:b/>
          <w:bCs/>
          <w:sz w:val="24"/>
          <w:szCs w:val="24"/>
        </w:rPr>
        <w:t>022</w:t>
      </w:r>
      <w:r w:rsidRPr="0046407E">
        <w:rPr>
          <w:b/>
          <w:bCs/>
          <w:sz w:val="24"/>
          <w:szCs w:val="24"/>
        </w:rPr>
        <w:t xml:space="preserve"> Parking Account and Transparency Code </w:t>
      </w:r>
    </w:p>
    <w:p w14:paraId="43124B01" w14:textId="77777777" w:rsidR="00B46DD2" w:rsidRDefault="00B46DD2" w:rsidP="00B46DD2">
      <w:pPr>
        <w:pStyle w:val="NoSpacing"/>
      </w:pPr>
    </w:p>
    <w:p w14:paraId="64C57461" w14:textId="77777777" w:rsidR="005A27E0" w:rsidRPr="006A298D" w:rsidRDefault="005A27E0" w:rsidP="00B46DD2">
      <w:pPr>
        <w:pStyle w:val="NoSpacing"/>
        <w:rPr>
          <w:b/>
          <w:bCs/>
        </w:rPr>
      </w:pPr>
      <w:r w:rsidRPr="006A298D">
        <w:rPr>
          <w:b/>
          <w:bCs/>
        </w:rPr>
        <w:t xml:space="preserve">1.0 INTRODUCTION </w:t>
      </w:r>
    </w:p>
    <w:p w14:paraId="7E6C69D5" w14:textId="77777777" w:rsidR="00B46DD2" w:rsidRDefault="00B46DD2" w:rsidP="00B46DD2">
      <w:pPr>
        <w:pStyle w:val="NoSpacing"/>
      </w:pPr>
    </w:p>
    <w:p w14:paraId="060EA07B" w14:textId="2FD44BCB" w:rsidR="005A27E0" w:rsidRDefault="005A27E0" w:rsidP="00B46DD2">
      <w:pPr>
        <w:pStyle w:val="NoSpacing"/>
      </w:pPr>
      <w:r>
        <w:t xml:space="preserve">1.1 The Department for Communities and Local Government issued guidance on the </w:t>
      </w:r>
    </w:p>
    <w:p w14:paraId="7A2F5018" w14:textId="31D3337A" w:rsidR="005A27E0" w:rsidRDefault="005A27E0" w:rsidP="00B46DD2">
      <w:pPr>
        <w:pStyle w:val="NoSpacing"/>
      </w:pPr>
      <w:r>
        <w:t xml:space="preserve">Local Government Transparency code in October 2014. </w:t>
      </w:r>
    </w:p>
    <w:p w14:paraId="0E6AA74A" w14:textId="77777777" w:rsidR="00B46DD2" w:rsidRDefault="00B46DD2" w:rsidP="00B46DD2">
      <w:pPr>
        <w:pStyle w:val="NoSpacing"/>
      </w:pPr>
    </w:p>
    <w:p w14:paraId="04209884" w14:textId="77777777" w:rsidR="005A27E0" w:rsidRDefault="005A27E0" w:rsidP="00B46DD2">
      <w:pPr>
        <w:pStyle w:val="NoSpacing"/>
      </w:pPr>
      <w:r>
        <w:t xml:space="preserve">1.2 The local government transparency code is issued to meet the government’s desire </w:t>
      </w:r>
    </w:p>
    <w:p w14:paraId="7187B3BA" w14:textId="77777777" w:rsidR="005A27E0" w:rsidRDefault="005A27E0" w:rsidP="00B46DD2">
      <w:pPr>
        <w:pStyle w:val="NoSpacing"/>
      </w:pPr>
      <w:r>
        <w:t xml:space="preserve">to place more power into citizens’ hands to increase democratic accountability. It will </w:t>
      </w:r>
    </w:p>
    <w:p w14:paraId="7E06D41D" w14:textId="77777777" w:rsidR="005A27E0" w:rsidRDefault="005A27E0" w:rsidP="00B46DD2">
      <w:pPr>
        <w:pStyle w:val="NoSpacing"/>
      </w:pPr>
      <w:r>
        <w:t xml:space="preserve">make it easier for local people to contribute to the local decision making process and </w:t>
      </w:r>
    </w:p>
    <w:p w14:paraId="67044BF4" w14:textId="5B362373" w:rsidR="005A27E0" w:rsidRDefault="005A27E0" w:rsidP="00B46DD2">
      <w:pPr>
        <w:pStyle w:val="NoSpacing"/>
      </w:pPr>
      <w:r>
        <w:t>help shape public services.</w:t>
      </w:r>
    </w:p>
    <w:p w14:paraId="46FAD921" w14:textId="77777777" w:rsidR="00C03B62" w:rsidRDefault="00C03B62" w:rsidP="00B46DD2">
      <w:pPr>
        <w:pStyle w:val="NoSpacing"/>
      </w:pPr>
    </w:p>
    <w:p w14:paraId="2AE2AD61" w14:textId="77777777" w:rsidR="005A27E0" w:rsidRDefault="005A27E0" w:rsidP="00B46DD2">
      <w:pPr>
        <w:pStyle w:val="NoSpacing"/>
      </w:pPr>
      <w:r>
        <w:t xml:space="preserve">1.3 The Local Government Transparency code is a wide ranging code which includes </w:t>
      </w:r>
    </w:p>
    <w:p w14:paraId="55221EA1" w14:textId="77777777" w:rsidR="005A27E0" w:rsidRDefault="005A27E0" w:rsidP="00B46DD2">
      <w:pPr>
        <w:pStyle w:val="NoSpacing"/>
      </w:pPr>
      <w:r>
        <w:t xml:space="preserve">the requirement for Local Authorities to publish data including a breakdown of income </w:t>
      </w:r>
    </w:p>
    <w:p w14:paraId="18FDEFC4" w14:textId="77777777" w:rsidR="005A27E0" w:rsidRDefault="005A27E0" w:rsidP="00B46DD2">
      <w:pPr>
        <w:pStyle w:val="NoSpacing"/>
      </w:pPr>
      <w:r>
        <w:t xml:space="preserve">and expenditure on the authority’s parking account, how the authority has spent a </w:t>
      </w:r>
    </w:p>
    <w:p w14:paraId="60E3ED8B" w14:textId="77777777" w:rsidR="005A27E0" w:rsidRDefault="005A27E0" w:rsidP="00B46DD2">
      <w:pPr>
        <w:pStyle w:val="NoSpacing"/>
      </w:pPr>
      <w:r>
        <w:t xml:space="preserve">surplus on its parking account and the number of marked out controlled on and off-street </w:t>
      </w:r>
    </w:p>
    <w:p w14:paraId="231CE84E" w14:textId="0A376F85" w:rsidR="005A27E0" w:rsidRDefault="005A27E0" w:rsidP="00B46DD2">
      <w:pPr>
        <w:pStyle w:val="NoSpacing"/>
      </w:pPr>
      <w:r>
        <w:t xml:space="preserve">parking spaces within their area, or an estimate of the number of spaces </w:t>
      </w:r>
      <w:r w:rsidR="0046407E">
        <w:t>were</w:t>
      </w:r>
      <w:r>
        <w:t xml:space="preserve"> </w:t>
      </w:r>
    </w:p>
    <w:p w14:paraId="2708C703" w14:textId="2068A57A" w:rsidR="005A27E0" w:rsidRDefault="005A27E0" w:rsidP="00B46DD2">
      <w:pPr>
        <w:pStyle w:val="NoSpacing"/>
      </w:pPr>
      <w:r>
        <w:t xml:space="preserve">controlled parking space is not marked out in individual parking bays or spaces. </w:t>
      </w:r>
    </w:p>
    <w:p w14:paraId="69A0EEAB" w14:textId="77777777" w:rsidR="00C03B62" w:rsidRDefault="00C03B62" w:rsidP="00B46DD2">
      <w:pPr>
        <w:pStyle w:val="NoSpacing"/>
      </w:pPr>
    </w:p>
    <w:p w14:paraId="16C78D4B" w14:textId="0153179E" w:rsidR="005A27E0" w:rsidRDefault="005A27E0" w:rsidP="00B46DD2">
      <w:pPr>
        <w:pStyle w:val="NoSpacing"/>
      </w:pPr>
      <w:r>
        <w:t>1.4 This paper sets out this information for the 202</w:t>
      </w:r>
      <w:r w:rsidR="00C03B62">
        <w:t>1</w:t>
      </w:r>
      <w:r>
        <w:t>/2</w:t>
      </w:r>
      <w:r w:rsidR="00C03B62">
        <w:t>2</w:t>
      </w:r>
      <w:r>
        <w:t xml:space="preserve"> financial year. </w:t>
      </w:r>
    </w:p>
    <w:p w14:paraId="6BBDC3AA" w14:textId="04AEE866" w:rsidR="00C03B62" w:rsidRDefault="00C03B62" w:rsidP="00B46DD2">
      <w:pPr>
        <w:pStyle w:val="NoSpacing"/>
      </w:pPr>
    </w:p>
    <w:p w14:paraId="451632FF" w14:textId="77777777" w:rsidR="00C03B62" w:rsidRDefault="00C03B62" w:rsidP="00B46DD2">
      <w:pPr>
        <w:pStyle w:val="NoSpacing"/>
      </w:pPr>
    </w:p>
    <w:p w14:paraId="00842980" w14:textId="6A084499" w:rsidR="005A27E0" w:rsidRPr="006A298D" w:rsidRDefault="005A27E0" w:rsidP="00B46DD2">
      <w:pPr>
        <w:pStyle w:val="NoSpacing"/>
        <w:rPr>
          <w:b/>
          <w:bCs/>
        </w:rPr>
      </w:pPr>
      <w:r w:rsidRPr="006A298D">
        <w:rPr>
          <w:b/>
          <w:bCs/>
        </w:rPr>
        <w:t xml:space="preserve">2.0 SUMMARY </w:t>
      </w:r>
    </w:p>
    <w:p w14:paraId="5A3C7FEA" w14:textId="77777777" w:rsidR="00C03B62" w:rsidRDefault="00C03B62" w:rsidP="00B46DD2">
      <w:pPr>
        <w:pStyle w:val="NoSpacing"/>
      </w:pPr>
    </w:p>
    <w:p w14:paraId="6938D044" w14:textId="77777777" w:rsidR="005A27E0" w:rsidRDefault="005A27E0" w:rsidP="00B46DD2">
      <w:pPr>
        <w:pStyle w:val="NoSpacing"/>
      </w:pPr>
      <w:r>
        <w:t xml:space="preserve">2.1 The uses to which income from parking can be put are set out in Section 55 (4) of </w:t>
      </w:r>
    </w:p>
    <w:p w14:paraId="439AA675" w14:textId="77777777" w:rsidR="005A27E0" w:rsidRDefault="005A27E0" w:rsidP="00B46DD2">
      <w:pPr>
        <w:pStyle w:val="NoSpacing"/>
      </w:pPr>
      <w:r>
        <w:t xml:space="preserve">the Road Traffic Regulation Act 1984. This covers income from parking charges, parking </w:t>
      </w:r>
    </w:p>
    <w:p w14:paraId="1EF0AF12" w14:textId="5E042825" w:rsidR="005A27E0" w:rsidRDefault="005A27E0" w:rsidP="00B46DD2">
      <w:pPr>
        <w:pStyle w:val="NoSpacing"/>
      </w:pPr>
      <w:r>
        <w:t xml:space="preserve">permits and Penalty Charge Notices (often referred to as fines). </w:t>
      </w:r>
    </w:p>
    <w:p w14:paraId="6085021C" w14:textId="77777777" w:rsidR="00C03B62" w:rsidRDefault="00C03B62" w:rsidP="00B46DD2">
      <w:pPr>
        <w:pStyle w:val="NoSpacing"/>
      </w:pPr>
    </w:p>
    <w:p w14:paraId="127913D8" w14:textId="133C4C36" w:rsidR="005A27E0" w:rsidRDefault="005A27E0" w:rsidP="00B46DD2">
      <w:pPr>
        <w:pStyle w:val="NoSpacing"/>
      </w:pPr>
      <w:r>
        <w:t xml:space="preserve">2.2 The operation of on and </w:t>
      </w:r>
      <w:r w:rsidR="0046407E">
        <w:t>off-street</w:t>
      </w:r>
      <w:r>
        <w:t xml:space="preserve"> parking spaces, the management of </w:t>
      </w:r>
    </w:p>
    <w:p w14:paraId="49FAF1D3" w14:textId="77777777" w:rsidR="005A27E0" w:rsidRDefault="005A27E0" w:rsidP="00B46DD2">
      <w:pPr>
        <w:pStyle w:val="NoSpacing"/>
      </w:pPr>
      <w:r>
        <w:t xml:space="preserve">parking through the introduction of parking restrictions and use of parking permits </w:t>
      </w:r>
    </w:p>
    <w:p w14:paraId="3B1C19DF" w14:textId="77777777" w:rsidR="005A27E0" w:rsidRDefault="005A27E0" w:rsidP="00B46DD2">
      <w:pPr>
        <w:pStyle w:val="NoSpacing"/>
      </w:pPr>
      <w:r>
        <w:t xml:space="preserve">contribute to the management of traffic in the city. Traffic management is a key part of </w:t>
      </w:r>
    </w:p>
    <w:p w14:paraId="40196145" w14:textId="77777777" w:rsidR="005A27E0" w:rsidRDefault="005A27E0" w:rsidP="00B46DD2">
      <w:pPr>
        <w:pStyle w:val="NoSpacing"/>
      </w:pPr>
      <w:r>
        <w:t xml:space="preserve">the Local Transport Plan, a statutory document that sets out how transport will help </w:t>
      </w:r>
    </w:p>
    <w:p w14:paraId="28B56511" w14:textId="69AED0E0" w:rsidR="005A27E0" w:rsidRDefault="005A27E0" w:rsidP="00B46DD2">
      <w:pPr>
        <w:pStyle w:val="NoSpacing"/>
      </w:pPr>
      <w:r>
        <w:t xml:space="preserve">support the development of the Sheffield City Region over the next 15 years. </w:t>
      </w:r>
    </w:p>
    <w:p w14:paraId="72900002" w14:textId="77777777" w:rsidR="00C03B62" w:rsidRDefault="00C03B62" w:rsidP="00B46DD2">
      <w:pPr>
        <w:pStyle w:val="NoSpacing"/>
      </w:pPr>
    </w:p>
    <w:p w14:paraId="51F2FE36" w14:textId="77777777" w:rsidR="005A27E0" w:rsidRDefault="005A27E0" w:rsidP="00B46DD2">
      <w:pPr>
        <w:pStyle w:val="NoSpacing"/>
      </w:pPr>
      <w:r>
        <w:t xml:space="preserve">2.3 Traffic management through parking restrictions and their enforcement also </w:t>
      </w:r>
    </w:p>
    <w:p w14:paraId="720F50EE" w14:textId="77777777" w:rsidR="005A27E0" w:rsidRDefault="005A27E0" w:rsidP="00B46DD2">
      <w:pPr>
        <w:pStyle w:val="NoSpacing"/>
      </w:pPr>
      <w:r>
        <w:t xml:space="preserve">enables the Council to help deliver its ‘‘Vision for Excellent Transport in Sheffield”, by </w:t>
      </w:r>
    </w:p>
    <w:p w14:paraId="50A0A934" w14:textId="77777777" w:rsidR="005A27E0" w:rsidRDefault="005A27E0" w:rsidP="00B46DD2">
      <w:pPr>
        <w:pStyle w:val="NoSpacing"/>
      </w:pPr>
      <w:r>
        <w:t xml:space="preserve">investing in facilities to enable people to make informed choices about the way they </w:t>
      </w:r>
    </w:p>
    <w:p w14:paraId="3E881BB6" w14:textId="77777777" w:rsidR="005A27E0" w:rsidRDefault="005A27E0" w:rsidP="00B46DD2">
      <w:pPr>
        <w:pStyle w:val="NoSpacing"/>
      </w:pPr>
      <w:r>
        <w:t xml:space="preserve">travel and helping transport contribute to the social, economic and environmental </w:t>
      </w:r>
    </w:p>
    <w:p w14:paraId="069BFD92" w14:textId="195D3661" w:rsidR="005A27E0" w:rsidRDefault="005A27E0" w:rsidP="00B46DD2">
      <w:pPr>
        <w:pStyle w:val="NoSpacing"/>
      </w:pPr>
      <w:r>
        <w:t xml:space="preserve">improvements. </w:t>
      </w:r>
    </w:p>
    <w:p w14:paraId="27FBDF36" w14:textId="77777777" w:rsidR="00C03B62" w:rsidRDefault="00C03B62" w:rsidP="00B46DD2">
      <w:pPr>
        <w:pStyle w:val="NoSpacing"/>
      </w:pPr>
    </w:p>
    <w:p w14:paraId="0203F93E" w14:textId="77777777" w:rsidR="00C03B62" w:rsidRDefault="00C03B62" w:rsidP="00B46DD2">
      <w:pPr>
        <w:pStyle w:val="NoSpacing"/>
      </w:pPr>
    </w:p>
    <w:p w14:paraId="2D4C56CA" w14:textId="77777777" w:rsidR="00D93E30" w:rsidRDefault="00D93E30" w:rsidP="00B46DD2">
      <w:pPr>
        <w:pStyle w:val="NoSpacing"/>
      </w:pPr>
    </w:p>
    <w:p w14:paraId="72BF33CE" w14:textId="77777777" w:rsidR="00D93E30" w:rsidRDefault="00D93E30" w:rsidP="00B46DD2">
      <w:pPr>
        <w:pStyle w:val="NoSpacing"/>
      </w:pPr>
    </w:p>
    <w:p w14:paraId="484C1D12" w14:textId="77777777" w:rsidR="00D93E30" w:rsidRDefault="00D93E30" w:rsidP="00B46DD2">
      <w:pPr>
        <w:pStyle w:val="NoSpacing"/>
      </w:pPr>
    </w:p>
    <w:p w14:paraId="566D1F24" w14:textId="77777777" w:rsidR="00D93E30" w:rsidRDefault="00D93E30" w:rsidP="00B46DD2">
      <w:pPr>
        <w:pStyle w:val="NoSpacing"/>
      </w:pPr>
    </w:p>
    <w:p w14:paraId="3674996D" w14:textId="77777777" w:rsidR="00D93E30" w:rsidRDefault="00D93E30" w:rsidP="00B46DD2">
      <w:pPr>
        <w:pStyle w:val="NoSpacing"/>
      </w:pPr>
    </w:p>
    <w:p w14:paraId="46C87325" w14:textId="77777777" w:rsidR="00D93E30" w:rsidRDefault="00D93E30" w:rsidP="00B46DD2">
      <w:pPr>
        <w:pStyle w:val="NoSpacing"/>
      </w:pPr>
    </w:p>
    <w:p w14:paraId="08D6FA4A" w14:textId="77777777" w:rsidR="00D93E30" w:rsidRDefault="00D93E30" w:rsidP="00B46DD2">
      <w:pPr>
        <w:pStyle w:val="NoSpacing"/>
      </w:pPr>
    </w:p>
    <w:p w14:paraId="28426528" w14:textId="77777777" w:rsidR="00D93E30" w:rsidRDefault="00D93E30" w:rsidP="00B46DD2">
      <w:pPr>
        <w:pStyle w:val="NoSpacing"/>
      </w:pPr>
    </w:p>
    <w:p w14:paraId="3520DC71" w14:textId="77777777" w:rsidR="00D93E30" w:rsidRDefault="00D93E30" w:rsidP="00B46DD2">
      <w:pPr>
        <w:pStyle w:val="NoSpacing"/>
      </w:pPr>
    </w:p>
    <w:p w14:paraId="79A231C5" w14:textId="77777777" w:rsidR="00D93E30" w:rsidRDefault="00D93E30" w:rsidP="00B46DD2">
      <w:pPr>
        <w:pStyle w:val="NoSpacing"/>
      </w:pPr>
    </w:p>
    <w:p w14:paraId="295B8575" w14:textId="48B59858" w:rsidR="005A27E0" w:rsidRPr="006A298D" w:rsidRDefault="005A27E0" w:rsidP="00B46DD2">
      <w:pPr>
        <w:pStyle w:val="NoSpacing"/>
        <w:rPr>
          <w:b/>
          <w:bCs/>
        </w:rPr>
      </w:pPr>
      <w:r w:rsidRPr="006A298D">
        <w:rPr>
          <w:b/>
          <w:bCs/>
        </w:rPr>
        <w:lastRenderedPageBreak/>
        <w:t xml:space="preserve">3.0 BACKGROUND </w:t>
      </w:r>
    </w:p>
    <w:p w14:paraId="0312FD43" w14:textId="77777777" w:rsidR="00C03B62" w:rsidRDefault="00C03B62" w:rsidP="00B46DD2">
      <w:pPr>
        <w:pStyle w:val="NoSpacing"/>
      </w:pPr>
    </w:p>
    <w:p w14:paraId="371BB4EB" w14:textId="6D7D82E2" w:rsidR="005A27E0" w:rsidRDefault="005A27E0" w:rsidP="00B46DD2">
      <w:pPr>
        <w:pStyle w:val="NoSpacing"/>
      </w:pPr>
      <w:r>
        <w:t xml:space="preserve">3.1 The Council receives income from parking via a number of sources including </w:t>
      </w:r>
    </w:p>
    <w:p w14:paraId="3CF865ED" w14:textId="77777777" w:rsidR="005A27E0" w:rsidRDefault="005A27E0" w:rsidP="00B46DD2">
      <w:pPr>
        <w:pStyle w:val="NoSpacing"/>
      </w:pPr>
      <w:r>
        <w:t xml:space="preserve">from Pay and Display machines, parking permits and Penalty Charge Notices (PCNs). </w:t>
      </w:r>
    </w:p>
    <w:p w14:paraId="206B04AC" w14:textId="77777777" w:rsidR="005A27E0" w:rsidRDefault="005A27E0" w:rsidP="00B46DD2">
      <w:pPr>
        <w:pStyle w:val="NoSpacing"/>
      </w:pPr>
      <w:r>
        <w:t xml:space="preserve">Pay and display income </w:t>
      </w:r>
    </w:p>
    <w:p w14:paraId="03203DC3" w14:textId="77777777" w:rsidR="00C03B62" w:rsidRDefault="00C03B62" w:rsidP="00B46DD2">
      <w:pPr>
        <w:pStyle w:val="NoSpacing"/>
      </w:pPr>
    </w:p>
    <w:p w14:paraId="449F1094" w14:textId="0A8A9FC7" w:rsidR="005A27E0" w:rsidRDefault="005A27E0" w:rsidP="00B46DD2">
      <w:pPr>
        <w:pStyle w:val="NoSpacing"/>
      </w:pPr>
      <w:r>
        <w:t xml:space="preserve">3.2 The Council operates pay and display parking in a range of car parks and </w:t>
      </w:r>
    </w:p>
    <w:p w14:paraId="254BCC4B" w14:textId="77777777" w:rsidR="005A27E0" w:rsidRDefault="005A27E0" w:rsidP="00B46DD2">
      <w:pPr>
        <w:pStyle w:val="NoSpacing"/>
      </w:pPr>
      <w:r>
        <w:t xml:space="preserve">on-street parking spaces, both within the City Centre and in suburban </w:t>
      </w:r>
    </w:p>
    <w:p w14:paraId="67E91A82" w14:textId="77777777" w:rsidR="005A27E0" w:rsidRDefault="005A27E0" w:rsidP="00B46DD2">
      <w:pPr>
        <w:pStyle w:val="NoSpacing"/>
      </w:pPr>
      <w:r>
        <w:t xml:space="preserve">areas. In response to customer demands, the Council introduced a new range </w:t>
      </w:r>
    </w:p>
    <w:p w14:paraId="74AACF14" w14:textId="69D0CDF1" w:rsidR="005A27E0" w:rsidRDefault="005A27E0" w:rsidP="00B46DD2">
      <w:pPr>
        <w:pStyle w:val="NoSpacing"/>
      </w:pPr>
      <w:r>
        <w:t xml:space="preserve">of on and </w:t>
      </w:r>
      <w:r w:rsidR="0046407E">
        <w:t>off-street</w:t>
      </w:r>
      <w:r>
        <w:t xml:space="preserve"> parking tariffs in the City Centre in April 2013. Also</w:t>
      </w:r>
      <w:r w:rsidR="0046407E">
        <w:t>,</w:t>
      </w:r>
      <w:r>
        <w:t xml:space="preserve"> in response to </w:t>
      </w:r>
    </w:p>
    <w:p w14:paraId="57D73B02" w14:textId="77777777" w:rsidR="005A27E0" w:rsidRDefault="005A27E0" w:rsidP="00B46DD2">
      <w:pPr>
        <w:pStyle w:val="NoSpacing"/>
      </w:pPr>
      <w:r>
        <w:t xml:space="preserve">customer feedback, time limits within all on street (and on most off street) spaces in the </w:t>
      </w:r>
    </w:p>
    <w:p w14:paraId="76FFA898" w14:textId="77777777" w:rsidR="005A27E0" w:rsidRDefault="005A27E0" w:rsidP="00B46DD2">
      <w:pPr>
        <w:pStyle w:val="NoSpacing"/>
      </w:pPr>
      <w:r>
        <w:t xml:space="preserve">City Centre area were removed, although long stay parking is discouraged by relatively </w:t>
      </w:r>
    </w:p>
    <w:p w14:paraId="48F3CC80" w14:textId="77777777" w:rsidR="005A27E0" w:rsidRDefault="005A27E0" w:rsidP="00B46DD2">
      <w:pPr>
        <w:pStyle w:val="NoSpacing"/>
      </w:pPr>
      <w:r>
        <w:t xml:space="preserve">higher tariffs. </w:t>
      </w:r>
    </w:p>
    <w:p w14:paraId="74E56EEF" w14:textId="77777777" w:rsidR="00C03B62" w:rsidRDefault="00C03B62" w:rsidP="00B46DD2">
      <w:pPr>
        <w:pStyle w:val="NoSpacing"/>
      </w:pPr>
    </w:p>
    <w:p w14:paraId="4BF918F3" w14:textId="06EE093F" w:rsidR="005A27E0" w:rsidRDefault="005A27E0" w:rsidP="00B46DD2">
      <w:pPr>
        <w:pStyle w:val="NoSpacing"/>
      </w:pPr>
      <w:r>
        <w:t xml:space="preserve">3.3 At the same time the City Centre parking tariffs were changed, the days </w:t>
      </w:r>
    </w:p>
    <w:p w14:paraId="2E3F02F0" w14:textId="77777777" w:rsidR="005A27E0" w:rsidRDefault="005A27E0" w:rsidP="00B46DD2">
      <w:pPr>
        <w:pStyle w:val="NoSpacing"/>
      </w:pPr>
      <w:r>
        <w:t xml:space="preserve">and times of operation of the City Centre Controlled Parking Zone were increased. The </w:t>
      </w:r>
    </w:p>
    <w:p w14:paraId="426070CD" w14:textId="77777777" w:rsidR="005A27E0" w:rsidRDefault="005A27E0" w:rsidP="00B46DD2">
      <w:pPr>
        <w:pStyle w:val="NoSpacing"/>
      </w:pPr>
      <w:r>
        <w:t xml:space="preserve">tariff structure was also changed to allow special reduced rates for evening and Sunday </w:t>
      </w:r>
    </w:p>
    <w:p w14:paraId="08D44A7C" w14:textId="77777777" w:rsidR="005A27E0" w:rsidRDefault="005A27E0" w:rsidP="00B46DD2">
      <w:pPr>
        <w:pStyle w:val="NoSpacing"/>
      </w:pPr>
      <w:r>
        <w:t xml:space="preserve">parking. </w:t>
      </w:r>
    </w:p>
    <w:p w14:paraId="77480FEA" w14:textId="77777777" w:rsidR="00C03B62" w:rsidRDefault="00C03B62" w:rsidP="00B46DD2">
      <w:pPr>
        <w:pStyle w:val="NoSpacing"/>
      </w:pPr>
    </w:p>
    <w:p w14:paraId="533A1AA3" w14:textId="183AB44F" w:rsidR="005A27E0" w:rsidRPr="00763EDA" w:rsidRDefault="005A27E0" w:rsidP="00B46DD2">
      <w:pPr>
        <w:pStyle w:val="NoSpacing"/>
      </w:pPr>
      <w:r w:rsidRPr="00763EDA">
        <w:t xml:space="preserve">3.4 Sheffield City Council has </w:t>
      </w:r>
      <w:r w:rsidR="00E54063" w:rsidRPr="00763EDA">
        <w:t>several</w:t>
      </w:r>
      <w:r w:rsidRPr="00763EDA">
        <w:t xml:space="preserve"> sites for provision of both on-street and </w:t>
      </w:r>
    </w:p>
    <w:p w14:paraId="771CC3C4" w14:textId="77777777" w:rsidR="005A27E0" w:rsidRPr="00763EDA" w:rsidRDefault="005A27E0" w:rsidP="00B46DD2">
      <w:pPr>
        <w:pStyle w:val="NoSpacing"/>
      </w:pPr>
      <w:r w:rsidRPr="00763EDA">
        <w:t xml:space="preserve">off- street parking. The machines in operation operate on both a cash and cashless </w:t>
      </w:r>
    </w:p>
    <w:p w14:paraId="00C8554F" w14:textId="362DFD5F" w:rsidR="005A27E0" w:rsidRDefault="005A27E0" w:rsidP="00763EDA">
      <w:pPr>
        <w:pStyle w:val="NoSpacing"/>
      </w:pPr>
      <w:r w:rsidRPr="00763EDA">
        <w:t xml:space="preserve">provision. </w:t>
      </w:r>
    </w:p>
    <w:p w14:paraId="7306F966" w14:textId="77777777" w:rsidR="0046407E" w:rsidRDefault="0046407E" w:rsidP="00B46DD2">
      <w:pPr>
        <w:pStyle w:val="NoSpacing"/>
      </w:pPr>
    </w:p>
    <w:p w14:paraId="207D75BE" w14:textId="0A798599" w:rsidR="005A27E0" w:rsidRPr="0046407E" w:rsidRDefault="005A27E0" w:rsidP="00B46DD2">
      <w:pPr>
        <w:pStyle w:val="NoSpacing"/>
        <w:rPr>
          <w:b/>
          <w:bCs/>
        </w:rPr>
      </w:pPr>
      <w:r w:rsidRPr="0046407E">
        <w:rPr>
          <w:b/>
          <w:bCs/>
        </w:rPr>
        <w:t xml:space="preserve">Parking Permits </w:t>
      </w:r>
    </w:p>
    <w:p w14:paraId="2A10F96E" w14:textId="77777777" w:rsidR="00C03B62" w:rsidRDefault="00C03B62" w:rsidP="00B46DD2">
      <w:pPr>
        <w:pStyle w:val="NoSpacing"/>
      </w:pPr>
    </w:p>
    <w:p w14:paraId="081ABCCA" w14:textId="22978689" w:rsidR="005A27E0" w:rsidRDefault="005A27E0" w:rsidP="00B46DD2">
      <w:pPr>
        <w:pStyle w:val="NoSpacing"/>
      </w:pPr>
      <w:r>
        <w:t xml:space="preserve">3.5 Permit parking schemes are aimed at easing parking problems that had often been </w:t>
      </w:r>
    </w:p>
    <w:p w14:paraId="04C94A4B" w14:textId="77777777" w:rsidR="005A27E0" w:rsidRDefault="005A27E0" w:rsidP="00B46DD2">
      <w:pPr>
        <w:pStyle w:val="NoSpacing"/>
      </w:pPr>
      <w:r>
        <w:t xml:space="preserve">experienced for many years. Measures include the introduction of permit parking, pay </w:t>
      </w:r>
    </w:p>
    <w:p w14:paraId="3933E438" w14:textId="77777777" w:rsidR="005A27E0" w:rsidRDefault="005A27E0" w:rsidP="00B46DD2">
      <w:pPr>
        <w:pStyle w:val="NoSpacing"/>
      </w:pPr>
      <w:r>
        <w:t xml:space="preserve">and display parking and waiting restrictions. In helping manage parking demand, the </w:t>
      </w:r>
    </w:p>
    <w:p w14:paraId="16C706AF" w14:textId="77777777" w:rsidR="005A27E0" w:rsidRDefault="005A27E0" w:rsidP="00B46DD2">
      <w:pPr>
        <w:pStyle w:val="NoSpacing"/>
      </w:pPr>
      <w:r>
        <w:t xml:space="preserve">schemes can also help improve residents’ ability to park near their properties, create a </w:t>
      </w:r>
    </w:p>
    <w:p w14:paraId="6C582A8F" w14:textId="77777777" w:rsidR="005A27E0" w:rsidRDefault="005A27E0" w:rsidP="00B46DD2">
      <w:pPr>
        <w:pStyle w:val="NoSpacing"/>
      </w:pPr>
      <w:r>
        <w:t xml:space="preserve">turnover of parking spaces to benefit visitors to the area and help the operation of local </w:t>
      </w:r>
    </w:p>
    <w:p w14:paraId="0D6598A1" w14:textId="77777777" w:rsidR="005A27E0" w:rsidRDefault="005A27E0" w:rsidP="00B46DD2">
      <w:pPr>
        <w:pStyle w:val="NoSpacing"/>
      </w:pPr>
      <w:r>
        <w:t xml:space="preserve">businesses. </w:t>
      </w:r>
    </w:p>
    <w:p w14:paraId="25B98AB9" w14:textId="77777777" w:rsidR="00C03B62" w:rsidRDefault="00C03B62" w:rsidP="00B46DD2">
      <w:pPr>
        <w:pStyle w:val="NoSpacing"/>
      </w:pPr>
    </w:p>
    <w:p w14:paraId="0D9D0287" w14:textId="683DCB9F" w:rsidR="005A27E0" w:rsidRDefault="005A27E0" w:rsidP="00B46DD2">
      <w:pPr>
        <w:pStyle w:val="NoSpacing"/>
      </w:pPr>
      <w:r>
        <w:t xml:space="preserve">3.6 Within permit parking schemes, income comes from a variety of sources </w:t>
      </w:r>
    </w:p>
    <w:p w14:paraId="5B76A4B2" w14:textId="35F3E6D8" w:rsidR="005A27E0" w:rsidRDefault="005A27E0" w:rsidP="00B46DD2">
      <w:pPr>
        <w:pStyle w:val="NoSpacing"/>
      </w:pPr>
      <w:r>
        <w:t xml:space="preserve">including: </w:t>
      </w:r>
    </w:p>
    <w:p w14:paraId="68EBB6DF" w14:textId="77777777" w:rsidR="00D93E30" w:rsidRDefault="00D93E30" w:rsidP="00B46DD2">
      <w:pPr>
        <w:pStyle w:val="NoSpacing"/>
      </w:pPr>
    </w:p>
    <w:p w14:paraId="71992E95" w14:textId="0D10CBD7" w:rsidR="005A27E0" w:rsidRDefault="00C03B62" w:rsidP="00B46DD2">
      <w:pPr>
        <w:pStyle w:val="NoSpacing"/>
      </w:pPr>
      <w:r>
        <w:t xml:space="preserve"> </w:t>
      </w:r>
      <w:r>
        <w:tab/>
      </w:r>
      <w:r w:rsidR="005A27E0">
        <w:t xml:space="preserve">• Resident permits </w:t>
      </w:r>
    </w:p>
    <w:p w14:paraId="1C9CF5E1" w14:textId="77777777" w:rsidR="005A27E0" w:rsidRDefault="005A27E0" w:rsidP="00C03B62">
      <w:pPr>
        <w:pStyle w:val="NoSpacing"/>
        <w:ind w:firstLine="720"/>
      </w:pPr>
      <w:r>
        <w:t xml:space="preserve">• Business permits </w:t>
      </w:r>
    </w:p>
    <w:p w14:paraId="4C917402" w14:textId="77777777" w:rsidR="005A27E0" w:rsidRDefault="005A27E0" w:rsidP="00076DC2">
      <w:pPr>
        <w:pStyle w:val="NoSpacing"/>
        <w:ind w:firstLine="720"/>
      </w:pPr>
      <w:r>
        <w:t xml:space="preserve">• Visitors permits </w:t>
      </w:r>
    </w:p>
    <w:p w14:paraId="031C3E35" w14:textId="2905096C" w:rsidR="005A27E0" w:rsidRDefault="005A27E0" w:rsidP="00076DC2">
      <w:pPr>
        <w:pStyle w:val="NoSpacing"/>
        <w:ind w:firstLine="720"/>
      </w:pPr>
      <w:r>
        <w:t xml:space="preserve">• Trade permits </w:t>
      </w:r>
    </w:p>
    <w:p w14:paraId="6D8B23AF" w14:textId="77777777" w:rsidR="005A27E0" w:rsidRDefault="005A27E0" w:rsidP="00076DC2">
      <w:pPr>
        <w:pStyle w:val="NoSpacing"/>
        <w:ind w:firstLine="720"/>
      </w:pPr>
      <w:r>
        <w:t>• Green permits</w:t>
      </w:r>
    </w:p>
    <w:p w14:paraId="0DE4E5C5" w14:textId="77777777" w:rsidR="005A27E0" w:rsidRDefault="005A27E0" w:rsidP="00076DC2">
      <w:pPr>
        <w:pStyle w:val="NoSpacing"/>
        <w:ind w:left="720"/>
      </w:pPr>
      <w:r>
        <w:t>• Carers permits</w:t>
      </w:r>
    </w:p>
    <w:p w14:paraId="214F5E0E" w14:textId="5E5C4F8C" w:rsidR="005A27E0" w:rsidRDefault="005A27E0" w:rsidP="00076DC2">
      <w:pPr>
        <w:pStyle w:val="NoSpacing"/>
        <w:ind w:firstLine="720"/>
      </w:pPr>
      <w:r>
        <w:t>• NHS permits</w:t>
      </w:r>
    </w:p>
    <w:p w14:paraId="353248BB" w14:textId="77777777" w:rsidR="00D93E30" w:rsidRDefault="00D93E30" w:rsidP="00DB7ECC">
      <w:pPr>
        <w:pStyle w:val="NoSpacing"/>
      </w:pPr>
    </w:p>
    <w:p w14:paraId="7CD80E5B" w14:textId="01268E69" w:rsidR="005A27E0" w:rsidRPr="005339A5" w:rsidRDefault="005A27E0" w:rsidP="00B46DD2">
      <w:pPr>
        <w:pStyle w:val="NoSpacing"/>
      </w:pPr>
      <w:r>
        <w:t xml:space="preserve">3.8 </w:t>
      </w:r>
      <w:r w:rsidRPr="005339A5">
        <w:t>Approximately 1</w:t>
      </w:r>
      <w:r w:rsidR="005339A5" w:rsidRPr="005339A5">
        <w:t>1</w:t>
      </w:r>
      <w:r w:rsidRPr="005339A5">
        <w:t>,</w:t>
      </w:r>
      <w:r w:rsidR="005339A5" w:rsidRPr="005339A5">
        <w:t>4</w:t>
      </w:r>
      <w:r w:rsidRPr="005339A5">
        <w:t>1</w:t>
      </w:r>
      <w:r w:rsidR="005339A5" w:rsidRPr="005339A5">
        <w:t>4</w:t>
      </w:r>
      <w:r w:rsidRPr="005339A5">
        <w:t xml:space="preserve"> permits were issued in 202</w:t>
      </w:r>
      <w:r w:rsidR="006A298D" w:rsidRPr="005339A5">
        <w:t>1</w:t>
      </w:r>
      <w:r w:rsidRPr="005339A5">
        <w:t>/2</w:t>
      </w:r>
      <w:r w:rsidR="006A298D" w:rsidRPr="005339A5">
        <w:t>2</w:t>
      </w:r>
      <w:r w:rsidRPr="005339A5">
        <w:t xml:space="preserve">, with the income from permits </w:t>
      </w:r>
    </w:p>
    <w:p w14:paraId="07ABC002" w14:textId="77777777" w:rsidR="005A27E0" w:rsidRPr="005339A5" w:rsidRDefault="005A27E0" w:rsidP="00B46DD2">
      <w:pPr>
        <w:pStyle w:val="NoSpacing"/>
      </w:pPr>
      <w:r w:rsidRPr="005339A5">
        <w:t xml:space="preserve">contributing to the scheme’s enforcement, maintenance and administration. </w:t>
      </w:r>
    </w:p>
    <w:p w14:paraId="62F1C572" w14:textId="651CF7A9" w:rsidR="005A27E0" w:rsidRDefault="005A27E0" w:rsidP="00B46DD2">
      <w:pPr>
        <w:pStyle w:val="NoSpacing"/>
      </w:pPr>
      <w:r w:rsidRPr="005339A5">
        <w:t>Penalty Charge Notices</w:t>
      </w:r>
      <w:r>
        <w:t xml:space="preserve"> </w:t>
      </w:r>
    </w:p>
    <w:p w14:paraId="23560469" w14:textId="77777777" w:rsidR="00D93E30" w:rsidRDefault="00D93E30" w:rsidP="00B46DD2">
      <w:pPr>
        <w:pStyle w:val="NoSpacing"/>
      </w:pPr>
    </w:p>
    <w:p w14:paraId="70309382" w14:textId="77777777" w:rsidR="005A27E0" w:rsidRDefault="005A27E0" w:rsidP="00B46DD2">
      <w:pPr>
        <w:pStyle w:val="NoSpacing"/>
      </w:pPr>
      <w:r>
        <w:t xml:space="preserve">3.9 The Council’s Civil Enforcement Officers enforce parking restrictions across the city. </w:t>
      </w:r>
    </w:p>
    <w:p w14:paraId="1297CE0D" w14:textId="6671C154" w:rsidR="005A27E0" w:rsidRDefault="005A27E0" w:rsidP="00B46DD2">
      <w:pPr>
        <w:pStyle w:val="NoSpacing"/>
      </w:pPr>
      <w:r>
        <w:t xml:space="preserve">The cost of a PCN depends on the offence </w:t>
      </w:r>
      <w:r w:rsidR="00DB7ECC">
        <w:t>committed</w:t>
      </w:r>
      <w:r>
        <w:t xml:space="preserve"> and are set by law. There are no </w:t>
      </w:r>
    </w:p>
    <w:p w14:paraId="64C88AE2" w14:textId="77777777" w:rsidR="005A27E0" w:rsidRDefault="005A27E0" w:rsidP="00B46DD2">
      <w:pPr>
        <w:pStyle w:val="NoSpacing"/>
      </w:pPr>
      <w:r>
        <w:t xml:space="preserve">plans to change them at present. Enforcement is carried out via foot patrols and, since </w:t>
      </w:r>
    </w:p>
    <w:p w14:paraId="7C84E8D9" w14:textId="77777777" w:rsidR="005A27E0" w:rsidRDefault="005A27E0" w:rsidP="00B46DD2">
      <w:pPr>
        <w:pStyle w:val="NoSpacing"/>
      </w:pPr>
      <w:r>
        <w:t xml:space="preserve">October 2013, by a camera enforcement vehicle - but only in certain circumstances. In </w:t>
      </w:r>
    </w:p>
    <w:p w14:paraId="11E5CA7D" w14:textId="3BACB96A" w:rsidR="005A27E0" w:rsidRDefault="005A27E0" w:rsidP="00B46DD2">
      <w:pPr>
        <w:pStyle w:val="NoSpacing"/>
      </w:pPr>
      <w:r>
        <w:lastRenderedPageBreak/>
        <w:t>April 2015 legislation was altered to only allow the vehicle to enforce;</w:t>
      </w:r>
    </w:p>
    <w:p w14:paraId="6C51F624" w14:textId="77777777" w:rsidR="006A298D" w:rsidRDefault="006A298D" w:rsidP="00B46DD2">
      <w:pPr>
        <w:pStyle w:val="NoSpacing"/>
      </w:pPr>
    </w:p>
    <w:p w14:paraId="3795E86A" w14:textId="77777777" w:rsidR="005A27E0" w:rsidRDefault="005A27E0" w:rsidP="006A298D">
      <w:pPr>
        <w:pStyle w:val="NoSpacing"/>
        <w:ind w:firstLine="720"/>
      </w:pPr>
      <w:r>
        <w:t>• a bus lane</w:t>
      </w:r>
    </w:p>
    <w:p w14:paraId="0D01FD88" w14:textId="77777777" w:rsidR="005A27E0" w:rsidRDefault="005A27E0" w:rsidP="006A298D">
      <w:pPr>
        <w:pStyle w:val="NoSpacing"/>
        <w:ind w:firstLine="720"/>
      </w:pPr>
      <w:r>
        <w:t>• a bus stop clearway or bus stand clearway</w:t>
      </w:r>
    </w:p>
    <w:p w14:paraId="206807C6" w14:textId="77777777" w:rsidR="005A27E0" w:rsidRDefault="005A27E0" w:rsidP="006A298D">
      <w:pPr>
        <w:pStyle w:val="NoSpacing"/>
        <w:ind w:firstLine="720"/>
      </w:pPr>
      <w:r>
        <w:t xml:space="preserve">• a Keep Clear zig-zag area outside schools; or </w:t>
      </w:r>
    </w:p>
    <w:p w14:paraId="51FF07B4" w14:textId="77777777" w:rsidR="005A27E0" w:rsidRDefault="005A27E0" w:rsidP="006A298D">
      <w:pPr>
        <w:pStyle w:val="NoSpacing"/>
        <w:ind w:firstLine="720"/>
      </w:pPr>
      <w:r>
        <w:t xml:space="preserve">• a red route. </w:t>
      </w:r>
    </w:p>
    <w:p w14:paraId="3BB7D2C1" w14:textId="77777777" w:rsidR="006A298D" w:rsidRDefault="006A298D" w:rsidP="00B46DD2">
      <w:pPr>
        <w:pStyle w:val="NoSpacing"/>
      </w:pPr>
    </w:p>
    <w:p w14:paraId="3FD756E3" w14:textId="74169DBC" w:rsidR="005A27E0" w:rsidRPr="006A298D" w:rsidRDefault="005A27E0" w:rsidP="00B46DD2">
      <w:pPr>
        <w:pStyle w:val="NoSpacing"/>
        <w:rPr>
          <w:b/>
          <w:bCs/>
        </w:rPr>
      </w:pPr>
      <w:r w:rsidRPr="006A298D">
        <w:rPr>
          <w:b/>
          <w:bCs/>
        </w:rPr>
        <w:t>4.0 202</w:t>
      </w:r>
      <w:r w:rsidR="004F2DBD">
        <w:rPr>
          <w:b/>
          <w:bCs/>
        </w:rPr>
        <w:t>1</w:t>
      </w:r>
      <w:r w:rsidRPr="006A298D">
        <w:rPr>
          <w:b/>
          <w:bCs/>
        </w:rPr>
        <w:t>/2</w:t>
      </w:r>
      <w:r w:rsidR="004F2DBD">
        <w:rPr>
          <w:b/>
          <w:bCs/>
        </w:rPr>
        <w:t>2</w:t>
      </w:r>
      <w:r w:rsidRPr="006A298D">
        <w:rPr>
          <w:b/>
          <w:bCs/>
        </w:rPr>
        <w:t xml:space="preserve"> PARKING ACCOUNT </w:t>
      </w:r>
    </w:p>
    <w:p w14:paraId="759AA28F" w14:textId="77777777" w:rsidR="006A298D" w:rsidRDefault="006A298D" w:rsidP="00B46DD2">
      <w:pPr>
        <w:pStyle w:val="NoSpacing"/>
      </w:pPr>
    </w:p>
    <w:p w14:paraId="432D1BC8" w14:textId="161D1AD2" w:rsidR="005A27E0" w:rsidRDefault="005A27E0" w:rsidP="00B46DD2">
      <w:pPr>
        <w:pStyle w:val="NoSpacing"/>
      </w:pPr>
      <w:r>
        <w:t xml:space="preserve">4.1 Pay and display income, parking permit income and penalty charge notice income </w:t>
      </w:r>
    </w:p>
    <w:p w14:paraId="348F8EEA" w14:textId="77777777" w:rsidR="005A27E0" w:rsidRDefault="005A27E0" w:rsidP="00B46DD2">
      <w:pPr>
        <w:pStyle w:val="NoSpacing"/>
      </w:pPr>
      <w:r>
        <w:t xml:space="preserve">jointly make up the ‘parking account’, the use of which is regulated by Section 55 (4) of </w:t>
      </w:r>
    </w:p>
    <w:p w14:paraId="026A76E3" w14:textId="77777777" w:rsidR="005A27E0" w:rsidRDefault="005A27E0" w:rsidP="00B46DD2">
      <w:pPr>
        <w:pStyle w:val="NoSpacing"/>
      </w:pPr>
      <w:r>
        <w:t xml:space="preserve">the Road Traffic Regulation Act 1984. This Act sets out the purposes for which income </w:t>
      </w:r>
    </w:p>
    <w:p w14:paraId="495F87B4" w14:textId="485B3199" w:rsidR="005A27E0" w:rsidRDefault="005A27E0" w:rsidP="00B46DD2">
      <w:pPr>
        <w:pStyle w:val="NoSpacing"/>
      </w:pPr>
      <w:r>
        <w:t xml:space="preserve">beyond the costs of running the parking service can be used: </w:t>
      </w:r>
    </w:p>
    <w:p w14:paraId="6D8A98EA" w14:textId="77777777" w:rsidR="006A298D" w:rsidRDefault="006A298D" w:rsidP="00B46DD2">
      <w:pPr>
        <w:pStyle w:val="NoSpacing"/>
      </w:pPr>
    </w:p>
    <w:p w14:paraId="70E5E8CB" w14:textId="6C0C43A9" w:rsidR="005A27E0" w:rsidRDefault="005A27E0" w:rsidP="006A298D">
      <w:pPr>
        <w:pStyle w:val="NoSpacing"/>
        <w:ind w:firstLine="720"/>
      </w:pPr>
      <w:r>
        <w:t xml:space="preserve">• Provision and maintenance of </w:t>
      </w:r>
      <w:r w:rsidR="0016303E">
        <w:t>off-street</w:t>
      </w:r>
      <w:r>
        <w:t xml:space="preserve"> parking </w:t>
      </w:r>
    </w:p>
    <w:p w14:paraId="3F20B3E0" w14:textId="77777777" w:rsidR="005A27E0" w:rsidRDefault="005A27E0" w:rsidP="006A298D">
      <w:pPr>
        <w:pStyle w:val="NoSpacing"/>
        <w:ind w:firstLine="720"/>
      </w:pPr>
      <w:r>
        <w:t>• Funding public transport</w:t>
      </w:r>
    </w:p>
    <w:p w14:paraId="64A1633A" w14:textId="77777777" w:rsidR="005A27E0" w:rsidRDefault="005A27E0" w:rsidP="006A298D">
      <w:pPr>
        <w:pStyle w:val="NoSpacing"/>
        <w:ind w:firstLine="720"/>
      </w:pPr>
      <w:r>
        <w:t xml:space="preserve">• Highway and road improvements and maintenance </w:t>
      </w:r>
    </w:p>
    <w:p w14:paraId="1E689385" w14:textId="77777777" w:rsidR="005A27E0" w:rsidRDefault="005A27E0" w:rsidP="006A298D">
      <w:pPr>
        <w:pStyle w:val="NoSpacing"/>
        <w:ind w:firstLine="720"/>
      </w:pPr>
      <w:r>
        <w:t xml:space="preserve">• Reducing environmental pollution </w:t>
      </w:r>
    </w:p>
    <w:p w14:paraId="2CF01AED" w14:textId="77777777" w:rsidR="005A27E0" w:rsidRDefault="005A27E0" w:rsidP="006A298D">
      <w:pPr>
        <w:pStyle w:val="NoSpacing"/>
        <w:ind w:firstLine="720"/>
      </w:pPr>
      <w:r>
        <w:t xml:space="preserve">• Improvement and maintenance of public open space </w:t>
      </w:r>
    </w:p>
    <w:p w14:paraId="1DF11CAA" w14:textId="77777777" w:rsidR="006A298D" w:rsidRDefault="006A298D" w:rsidP="00B46DD2">
      <w:pPr>
        <w:pStyle w:val="NoSpacing"/>
      </w:pPr>
    </w:p>
    <w:p w14:paraId="19CE6CCE" w14:textId="68C30DB1" w:rsidR="005A27E0" w:rsidRDefault="005A27E0" w:rsidP="00B46DD2">
      <w:pPr>
        <w:pStyle w:val="NoSpacing"/>
      </w:pPr>
      <w:r>
        <w:t xml:space="preserve">4.2 Many of these functions are carried out by the Council’s </w:t>
      </w:r>
    </w:p>
    <w:p w14:paraId="1F30D0A3" w14:textId="77777777" w:rsidR="005A27E0" w:rsidRDefault="005A27E0" w:rsidP="00B46DD2">
      <w:pPr>
        <w:pStyle w:val="NoSpacing"/>
      </w:pPr>
      <w:r>
        <w:t xml:space="preserve">Development Services department, which includes Transport Traffic and Parking </w:t>
      </w:r>
    </w:p>
    <w:p w14:paraId="2EC0C0BA" w14:textId="77777777" w:rsidR="005A27E0" w:rsidRDefault="005A27E0" w:rsidP="00B46DD2">
      <w:pPr>
        <w:pStyle w:val="NoSpacing"/>
      </w:pPr>
      <w:r>
        <w:t xml:space="preserve">Services and Highways Maintenance Divisions. Any surplus income from the parking </w:t>
      </w:r>
    </w:p>
    <w:p w14:paraId="33AE6C4C" w14:textId="45E565AC" w:rsidR="005A27E0" w:rsidRDefault="005A27E0" w:rsidP="00B46DD2">
      <w:pPr>
        <w:pStyle w:val="NoSpacing"/>
      </w:pPr>
      <w:r>
        <w:t xml:space="preserve">account is currently spent on Highway Maintenance. </w:t>
      </w:r>
    </w:p>
    <w:p w14:paraId="0C7A4F01" w14:textId="77777777" w:rsidR="006A298D" w:rsidRDefault="006A298D" w:rsidP="00B46DD2">
      <w:pPr>
        <w:pStyle w:val="NoSpacing"/>
      </w:pPr>
    </w:p>
    <w:p w14:paraId="457D7973" w14:textId="16D78DB4" w:rsidR="005A27E0" w:rsidRDefault="005A27E0" w:rsidP="00B46DD2">
      <w:pPr>
        <w:pStyle w:val="NoSpacing"/>
      </w:pPr>
      <w:r>
        <w:t>4.3 In terms of the 202</w:t>
      </w:r>
      <w:r w:rsidR="006A298D">
        <w:t>1</w:t>
      </w:r>
      <w:r>
        <w:t>/2</w:t>
      </w:r>
      <w:r w:rsidR="006A298D">
        <w:t>2</w:t>
      </w:r>
      <w:r>
        <w:t xml:space="preserve"> financial year, the parking account summary (including direct </w:t>
      </w:r>
    </w:p>
    <w:p w14:paraId="79A90272" w14:textId="77777777" w:rsidR="005A27E0" w:rsidRDefault="005A27E0" w:rsidP="00B46DD2">
      <w:pPr>
        <w:pStyle w:val="NoSpacing"/>
      </w:pPr>
      <w:r>
        <w:t>costs and an allocation of indirect costs) is as follows:</w:t>
      </w:r>
    </w:p>
    <w:p w14:paraId="614EDB6E" w14:textId="2255FA85" w:rsidR="006A298D" w:rsidRDefault="006A298D" w:rsidP="00B46DD2">
      <w:pPr>
        <w:pStyle w:val="NoSpacing"/>
      </w:pPr>
    </w:p>
    <w:tbl>
      <w:tblPr>
        <w:tblW w:w="6800" w:type="dxa"/>
        <w:tblLook w:val="04A0" w:firstRow="1" w:lastRow="0" w:firstColumn="1" w:lastColumn="0" w:noHBand="0" w:noVBand="1"/>
      </w:tblPr>
      <w:tblGrid>
        <w:gridCol w:w="2694"/>
        <w:gridCol w:w="3146"/>
        <w:gridCol w:w="960"/>
      </w:tblGrid>
      <w:tr w:rsidR="006E5D32" w:rsidRPr="008B63CD" w14:paraId="63A5687A" w14:textId="77777777" w:rsidTr="00AF2DFC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2770" w14:textId="77777777" w:rsidR="006E5D32" w:rsidRPr="008B63CD" w:rsidRDefault="006E5D32" w:rsidP="008B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F34B" w14:textId="77777777" w:rsidR="006E5D32" w:rsidRPr="008B63CD" w:rsidRDefault="006E5D32" w:rsidP="008B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81B8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2021-22</w:t>
            </w:r>
          </w:p>
        </w:tc>
      </w:tr>
      <w:tr w:rsidR="006E5D32" w:rsidRPr="008B63CD" w14:paraId="7B25B263" w14:textId="77777777" w:rsidTr="00AF2DFC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5FB17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E9B58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6D928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000's</w:t>
            </w:r>
          </w:p>
        </w:tc>
      </w:tr>
      <w:tr w:rsidR="006E5D32" w:rsidRPr="008B63CD" w14:paraId="15D71CB0" w14:textId="77777777" w:rsidTr="00AF2DFC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7E84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Pay and Display income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8636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On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352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3,610</w:t>
            </w:r>
          </w:p>
        </w:tc>
      </w:tr>
      <w:tr w:rsidR="006E5D32" w:rsidRPr="008B63CD" w14:paraId="3AC090A9" w14:textId="77777777" w:rsidTr="00AF2DFC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54FD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Pay and Display income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71F0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Off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14B0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1,410</w:t>
            </w:r>
          </w:p>
        </w:tc>
      </w:tr>
      <w:tr w:rsidR="006E5D32" w:rsidRPr="008B63CD" w14:paraId="19DAFBA2" w14:textId="77777777" w:rsidTr="00AF2DFC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6C61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Penalty Charge Notice income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7591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205A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3,621</w:t>
            </w:r>
          </w:p>
        </w:tc>
      </w:tr>
      <w:tr w:rsidR="006E5D32" w:rsidRPr="008B63CD" w14:paraId="7128BE14" w14:textId="77777777" w:rsidTr="00AF2DFC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2EA7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Permit income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6402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E87D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</w:tr>
      <w:tr w:rsidR="006E5D32" w:rsidRPr="008B63CD" w14:paraId="2E6DFD07" w14:textId="77777777" w:rsidTr="00AF2DFC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E7B9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Parking Bay Suspension income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71C1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A3C1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6E5D32" w:rsidRPr="008B63CD" w14:paraId="03D59FAE" w14:textId="77777777" w:rsidTr="00AF2DFC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CE2F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Other income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B657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E657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6E5D32" w:rsidRPr="008B63CD" w14:paraId="65872661" w14:textId="77777777" w:rsidTr="00AF2DFC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5B844B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EFFED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C6F4F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9,452</w:t>
            </w:r>
          </w:p>
        </w:tc>
      </w:tr>
      <w:tr w:rsidR="006E5D32" w:rsidRPr="008B63CD" w14:paraId="64AD95F1" w14:textId="77777777" w:rsidTr="00AF2DFC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3AAC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8D62" w14:textId="77777777" w:rsidR="006E5D32" w:rsidRPr="008B63CD" w:rsidRDefault="006E5D32" w:rsidP="008B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271F" w14:textId="77777777" w:rsidR="006E5D32" w:rsidRPr="008B63CD" w:rsidRDefault="006E5D32" w:rsidP="008B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5D32" w:rsidRPr="008B63CD" w14:paraId="6B144174" w14:textId="77777777" w:rsidTr="00AF2DFC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5E3BE7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Expenditure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D08B4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426E0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000's</w:t>
            </w:r>
          </w:p>
        </w:tc>
      </w:tr>
      <w:tr w:rsidR="006E5D32" w:rsidRPr="008B63CD" w14:paraId="5496036D" w14:textId="77777777" w:rsidTr="00AF2DFC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F66E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Staff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9407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A3EA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1,584</w:t>
            </w:r>
          </w:p>
        </w:tc>
      </w:tr>
      <w:tr w:rsidR="006E5D32" w:rsidRPr="008B63CD" w14:paraId="4F042365" w14:textId="77777777" w:rsidTr="00AF2DFC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4804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Premises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7CA6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E8B5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6E5D32" w:rsidRPr="008B63CD" w14:paraId="23770A4F" w14:textId="77777777" w:rsidTr="00AF2DFC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CA02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Premises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348" w14:textId="75875C3E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Provision of </w:t>
            </w:r>
            <w:r w:rsidR="00E54063"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off-street</w:t>
            </w:r>
            <w:r w:rsidR="00AF2D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parking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ED9A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646</w:t>
            </w:r>
          </w:p>
        </w:tc>
      </w:tr>
      <w:tr w:rsidR="006E5D32" w:rsidRPr="008B63CD" w14:paraId="558ED155" w14:textId="77777777" w:rsidTr="00AF2DFC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389D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Supplies and Services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B68D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247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635</w:t>
            </w:r>
          </w:p>
        </w:tc>
      </w:tr>
      <w:tr w:rsidR="006E5D32" w:rsidRPr="008B63CD" w14:paraId="4186D5F6" w14:textId="77777777" w:rsidTr="00AF2DFC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72A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Transport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3591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EC52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6E5D32" w:rsidRPr="008B63CD" w14:paraId="67B674C2" w14:textId="77777777" w:rsidTr="00AF2DFC">
        <w:trPr>
          <w:trHeight w:val="2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25D7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Support Services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A363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189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color w:val="000000"/>
                <w:lang w:eastAsia="en-GB"/>
              </w:rPr>
              <w:t>1,748</w:t>
            </w:r>
          </w:p>
        </w:tc>
      </w:tr>
      <w:tr w:rsidR="006E5D32" w:rsidRPr="008B63CD" w14:paraId="53386448" w14:textId="77777777" w:rsidTr="00AF2DFC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AA14F6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2FD14" w14:textId="77777777" w:rsidR="006E5D32" w:rsidRPr="008B63CD" w:rsidRDefault="006E5D32" w:rsidP="008B6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BF9BB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63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4,891</w:t>
            </w:r>
          </w:p>
        </w:tc>
      </w:tr>
      <w:tr w:rsidR="006E5D32" w:rsidRPr="008B63CD" w14:paraId="71F2F518" w14:textId="77777777" w:rsidTr="00AF2DFC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06D5" w14:textId="77777777" w:rsidR="006E5D32" w:rsidRPr="008B63CD" w:rsidRDefault="006E5D32" w:rsidP="008B6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E9B5" w14:textId="77777777" w:rsidR="006E5D32" w:rsidRPr="008B63CD" w:rsidRDefault="006E5D32" w:rsidP="008B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0EBB" w14:textId="77777777" w:rsidR="006E5D32" w:rsidRPr="008B63CD" w:rsidRDefault="006E5D32" w:rsidP="008B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54F0405" w14:textId="1D5DF889" w:rsidR="006A298D" w:rsidRDefault="006A298D">
      <w:pPr>
        <w:pStyle w:val="NoSpacing"/>
      </w:pPr>
    </w:p>
    <w:p w14:paraId="39145D23" w14:textId="4D313FDB" w:rsidR="00763EDA" w:rsidRDefault="00763EDA">
      <w:pPr>
        <w:pStyle w:val="NoSpacing"/>
      </w:pPr>
      <w:r>
        <w:lastRenderedPageBreak/>
        <w:t>5.0 Parking spaces</w:t>
      </w:r>
    </w:p>
    <w:p w14:paraId="756B99C9" w14:textId="582C4B4F" w:rsidR="00AF382D" w:rsidRDefault="00ED1F3B">
      <w:pPr>
        <w:pStyle w:val="NoSpacing"/>
      </w:pPr>
      <w:r>
        <w:t xml:space="preserve">Across Sheffield City we have </w:t>
      </w:r>
      <w:r w:rsidR="005429B8">
        <w:t xml:space="preserve">17 car parks in the City centre and 6 outside the City centre in the parking permit zone area. </w:t>
      </w:r>
    </w:p>
    <w:p w14:paraId="2EC9EE2C" w14:textId="1363BF8D" w:rsidR="00763EDA" w:rsidRDefault="004F24D5">
      <w:pPr>
        <w:pStyle w:val="NoSpacing"/>
      </w:pPr>
      <w:r w:rsidRPr="004F24D5">
        <w:t xml:space="preserve">The rapid rate of technological change </w:t>
      </w:r>
      <w:r>
        <w:t>h</w:t>
      </w:r>
      <w:r w:rsidRPr="004F24D5">
        <w:t xml:space="preserve">as brought consumers a greater choice in how we make payments. According to the UK Finance payment report 2020 debit card has overtaken cash, used in over 4 in 10 payments. By 2024 UK finance have forecasted that 50% of all payments will be accounted for </w:t>
      </w:r>
      <w:proofErr w:type="spellStart"/>
      <w:r w:rsidRPr="004F24D5">
        <w:t>via</w:t>
      </w:r>
      <w:proofErr w:type="spellEnd"/>
      <w:r w:rsidRPr="004F24D5">
        <w:t xml:space="preserve"> debit card in the UK of this total nearly two thirds will be contactless. Contactless payments have also grown in popularity with 8 out of 10 adults using contactless payment in 2020 (UK Payments. Market Summary 2020).</w:t>
      </w:r>
    </w:p>
    <w:p w14:paraId="74B851B2" w14:textId="5E2312D2" w:rsidR="00C44814" w:rsidRDefault="00C44814">
      <w:pPr>
        <w:pStyle w:val="NoSpacing"/>
      </w:pPr>
    </w:p>
    <w:p w14:paraId="0295F78E" w14:textId="2FE4C434" w:rsidR="00C44814" w:rsidRDefault="00C44814">
      <w:pPr>
        <w:pStyle w:val="NoSpacing"/>
      </w:pPr>
      <w:r w:rsidRPr="00C44814">
        <w:t>In Sheffield, we have around 345 Pay and Display machines</w:t>
      </w:r>
      <w:r w:rsidR="001C4499">
        <w:t xml:space="preserve"> and the following </w:t>
      </w:r>
      <w:r w:rsidR="008B34B9">
        <w:t>breakdown</w:t>
      </w:r>
      <w:r w:rsidR="001C4499">
        <w:t xml:space="preserve"> is provided</w:t>
      </w:r>
      <w:r w:rsidR="00093F78">
        <w:t xml:space="preserve"> on number of pay and display bays across Sheffield</w:t>
      </w:r>
      <w:r w:rsidR="006C46C2">
        <w:t xml:space="preserve"> city</w:t>
      </w:r>
      <w:r w:rsidR="00093F78">
        <w:t xml:space="preserve"> by on and off street</w:t>
      </w:r>
      <w:r w:rsidR="006C46C2">
        <w:t>, please note for on street these are estimates as bays are unmarked</w:t>
      </w:r>
      <w:r w:rsidR="00093F78">
        <w:t>:</w:t>
      </w:r>
    </w:p>
    <w:p w14:paraId="6723EC40" w14:textId="682B3C39" w:rsidR="00093F78" w:rsidRDefault="00093F78">
      <w:pPr>
        <w:pStyle w:val="NoSpacing"/>
      </w:pPr>
    </w:p>
    <w:tbl>
      <w:tblPr>
        <w:tblW w:w="7962" w:type="dxa"/>
        <w:tblInd w:w="113" w:type="dxa"/>
        <w:tblLook w:val="04A0" w:firstRow="1" w:lastRow="0" w:firstColumn="1" w:lastColumn="0" w:noHBand="0" w:noVBand="1"/>
      </w:tblPr>
      <w:tblGrid>
        <w:gridCol w:w="1900"/>
        <w:gridCol w:w="1360"/>
        <w:gridCol w:w="1867"/>
        <w:gridCol w:w="1527"/>
        <w:gridCol w:w="1308"/>
      </w:tblGrid>
      <w:tr w:rsidR="00021FC4" w:rsidRPr="00756FD1" w14:paraId="72726A6E" w14:textId="77777777" w:rsidTr="00E6682D">
        <w:trPr>
          <w:trHeight w:val="5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5D5951" w14:textId="77777777" w:rsidR="00021FC4" w:rsidRPr="00756FD1" w:rsidRDefault="00021FC4" w:rsidP="00C7281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56FD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384693" w14:textId="77777777" w:rsidR="00021FC4" w:rsidRPr="00756FD1" w:rsidRDefault="00021FC4" w:rsidP="00C7281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56FD1">
              <w:rPr>
                <w:rFonts w:ascii="Arial" w:eastAsia="Times New Roman" w:hAnsi="Arial" w:cs="Arial"/>
                <w:color w:val="000000"/>
                <w:lang w:eastAsia="en-GB"/>
              </w:rPr>
              <w:t>City Centre On Street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F8608D" w14:textId="1CD04F0A" w:rsidR="00021FC4" w:rsidRPr="00756FD1" w:rsidRDefault="00021FC4" w:rsidP="00C7281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E6682D">
              <w:rPr>
                <w:rFonts w:ascii="Arial" w:eastAsia="Times New Roman" w:hAnsi="Arial" w:cs="Arial"/>
                <w:color w:val="000000"/>
                <w:lang w:eastAsia="en-GB"/>
              </w:rPr>
              <w:t xml:space="preserve">arking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E6682D">
              <w:rPr>
                <w:rFonts w:ascii="Arial" w:eastAsia="Times New Roman" w:hAnsi="Arial" w:cs="Arial"/>
                <w:color w:val="000000"/>
                <w:lang w:eastAsia="en-GB"/>
              </w:rPr>
              <w:t xml:space="preserve">ermit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Z</w:t>
            </w:r>
            <w:r w:rsidR="00E6682D">
              <w:rPr>
                <w:rFonts w:ascii="Arial" w:eastAsia="Times New Roman" w:hAnsi="Arial" w:cs="Arial"/>
                <w:color w:val="000000"/>
                <w:lang w:eastAsia="en-GB"/>
              </w:rPr>
              <w:t>ones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On Street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9CD17A" w14:textId="77777777" w:rsidR="00021FC4" w:rsidRPr="00756FD1" w:rsidRDefault="00021FC4" w:rsidP="00C7281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City Centre Off- Street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1CD70A" w14:textId="77777777" w:rsidR="00021FC4" w:rsidRPr="00756FD1" w:rsidRDefault="00021FC4" w:rsidP="00C7281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PPZ Off-Street</w:t>
            </w:r>
          </w:p>
        </w:tc>
      </w:tr>
      <w:tr w:rsidR="00021FC4" w:rsidRPr="00756FD1" w14:paraId="3D371B77" w14:textId="77777777" w:rsidTr="00E6682D">
        <w:trPr>
          <w:trHeight w:val="8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9FC37A" w14:textId="77777777" w:rsidR="00021FC4" w:rsidRPr="00756FD1" w:rsidRDefault="00021FC4" w:rsidP="00C7281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56FD1">
              <w:rPr>
                <w:rFonts w:ascii="Arial" w:eastAsia="Times New Roman" w:hAnsi="Arial" w:cs="Arial"/>
                <w:color w:val="000000"/>
                <w:lang w:eastAsia="en-GB"/>
              </w:rPr>
              <w:t>Number of Bays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158E" w14:textId="77777777" w:rsidR="00021FC4" w:rsidRPr="00756FD1" w:rsidRDefault="00021FC4" w:rsidP="00C7281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1286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6DAB5" w14:textId="5B85C87C" w:rsidR="00021FC4" w:rsidRPr="00904D5D" w:rsidRDefault="00904D5D" w:rsidP="00C7281A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904D5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4,216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0F771" w14:textId="7B7B961B" w:rsidR="00021FC4" w:rsidRPr="00756FD1" w:rsidRDefault="00021FC4" w:rsidP="00C7281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  <w:r w:rsidR="006B39F1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91E7" w14:textId="77777777" w:rsidR="00021FC4" w:rsidRPr="00756FD1" w:rsidRDefault="00021FC4" w:rsidP="00C7281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107</w:t>
            </w:r>
          </w:p>
        </w:tc>
      </w:tr>
    </w:tbl>
    <w:p w14:paraId="5DB242E7" w14:textId="77777777" w:rsidR="00093F78" w:rsidRPr="005A27E0" w:rsidRDefault="00093F78">
      <w:pPr>
        <w:pStyle w:val="NoSpacing"/>
      </w:pPr>
    </w:p>
    <w:sectPr w:rsidR="00093F78" w:rsidRPr="005A2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E0"/>
    <w:rsid w:val="000172A3"/>
    <w:rsid w:val="00021FC4"/>
    <w:rsid w:val="0004020F"/>
    <w:rsid w:val="00076DC2"/>
    <w:rsid w:val="00093F78"/>
    <w:rsid w:val="0016303E"/>
    <w:rsid w:val="00170A0D"/>
    <w:rsid w:val="001C4499"/>
    <w:rsid w:val="002969A8"/>
    <w:rsid w:val="002A1A17"/>
    <w:rsid w:val="0046407E"/>
    <w:rsid w:val="004B0585"/>
    <w:rsid w:val="004F24D5"/>
    <w:rsid w:val="004F2DBD"/>
    <w:rsid w:val="005339A5"/>
    <w:rsid w:val="005429B8"/>
    <w:rsid w:val="005A27E0"/>
    <w:rsid w:val="005C17DD"/>
    <w:rsid w:val="006A298D"/>
    <w:rsid w:val="006B39F1"/>
    <w:rsid w:val="006C46C2"/>
    <w:rsid w:val="006E5D32"/>
    <w:rsid w:val="00763EDA"/>
    <w:rsid w:val="00774126"/>
    <w:rsid w:val="008B34B9"/>
    <w:rsid w:val="008B63CD"/>
    <w:rsid w:val="00904D5D"/>
    <w:rsid w:val="00AF2DFC"/>
    <w:rsid w:val="00AF382D"/>
    <w:rsid w:val="00B1778B"/>
    <w:rsid w:val="00B46DD2"/>
    <w:rsid w:val="00BB124E"/>
    <w:rsid w:val="00C03B62"/>
    <w:rsid w:val="00C44814"/>
    <w:rsid w:val="00D93E30"/>
    <w:rsid w:val="00DB7ECC"/>
    <w:rsid w:val="00E54063"/>
    <w:rsid w:val="00E6682D"/>
    <w:rsid w:val="00E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87A7"/>
  <w15:chartTrackingRefBased/>
  <w15:docId w15:val="{60939E4F-E105-419A-AEF6-9D9626C5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Elliott</dc:creator>
  <cp:keywords/>
  <dc:description/>
  <cp:lastModifiedBy>Sabia Hanif</cp:lastModifiedBy>
  <cp:revision>31</cp:revision>
  <dcterms:created xsi:type="dcterms:W3CDTF">2022-11-22T14:49:00Z</dcterms:created>
  <dcterms:modified xsi:type="dcterms:W3CDTF">2022-11-23T17:41:00Z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2022-09-27T15:01:35Z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e9c9828c-2281-4b56-9a07-be76d17b76dd</vt:lpwstr>
  </property>
  <property fmtid="{D5CDD505-2E9C-101B-9397-08002B2CF9AE}" pid="8" name="MSIP_Label_c8588358-c3f1-4695-a290-e2f70d15689d_ContentBits">
    <vt:lpwstr>0</vt:lpwstr>
  </property>
</Properties>
</file>